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B01B2" w14:textId="38A6D32A" w:rsidR="00E203C2" w:rsidRDefault="00E203C2" w:rsidP="00D20A1E">
      <w:pPr>
        <w:widowControl/>
      </w:pPr>
      <w:bookmarkStart w:id="0" w:name="_GoBack"/>
      <w:bookmarkEnd w:id="0"/>
      <w:r>
        <w:rPr>
          <w:noProof/>
          <w:lang w:eastAsia="en-GB" w:bidi="ar-SA"/>
        </w:rPr>
        <w:drawing>
          <wp:inline distT="0" distB="0" distL="0" distR="0" wp14:anchorId="381B01CD" wp14:editId="381B01C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81B01B3" w14:textId="77777777" w:rsidR="00E203C2" w:rsidRDefault="00E203C2" w:rsidP="00D20A1E">
      <w:pPr>
        <w:widowControl/>
      </w:pPr>
    </w:p>
    <w:p w14:paraId="68F91A87" w14:textId="77777777" w:rsidR="00BF5AE0" w:rsidRPr="004765E7" w:rsidRDefault="00BF5AE0" w:rsidP="00D20A1E">
      <w:pPr>
        <w:pStyle w:val="FSTitle"/>
        <w:widowControl/>
        <w:rPr>
          <w:b/>
        </w:rPr>
      </w:pPr>
      <w:r w:rsidRPr="004765E7">
        <w:rPr>
          <w:b/>
        </w:rPr>
        <w:t>Supporting document 1</w:t>
      </w:r>
    </w:p>
    <w:p w14:paraId="377B9F16" w14:textId="77777777" w:rsidR="00BF5AE0" w:rsidRDefault="00BF5AE0" w:rsidP="00D20A1E">
      <w:pPr>
        <w:widowControl/>
      </w:pPr>
    </w:p>
    <w:p w14:paraId="1C92D401" w14:textId="70C18150" w:rsidR="00BF5AE0" w:rsidRPr="00D966E5" w:rsidRDefault="00724F32" w:rsidP="00D20A1E">
      <w:pPr>
        <w:pStyle w:val="FSTitle"/>
        <w:widowControl/>
      </w:pPr>
      <w:r>
        <w:t>Technical and nutrition</w:t>
      </w:r>
      <w:r w:rsidRPr="00D966E5">
        <w:t xml:space="preserve"> </w:t>
      </w:r>
      <w:r w:rsidR="00BF5AE0" w:rsidRPr="00D966E5">
        <w:t>assessment – Application A1104</w:t>
      </w:r>
    </w:p>
    <w:p w14:paraId="47DBE901" w14:textId="77777777" w:rsidR="00BF5AE0" w:rsidRPr="00D966E5" w:rsidRDefault="00BF5AE0" w:rsidP="00D20A1E">
      <w:pPr>
        <w:widowControl/>
      </w:pPr>
    </w:p>
    <w:p w14:paraId="25124FC5" w14:textId="10A2122C" w:rsidR="00590581" w:rsidRDefault="005F2EB6" w:rsidP="00D20A1E">
      <w:pPr>
        <w:pStyle w:val="FSTitle"/>
        <w:widowControl/>
      </w:pPr>
      <w:r>
        <w:t xml:space="preserve">Voluntary </w:t>
      </w:r>
      <w:r>
        <w:rPr>
          <w:lang w:val="en-AU"/>
        </w:rPr>
        <w:t>Addition of Vitamins &amp; Minerals to N</w:t>
      </w:r>
      <w:r>
        <w:t xml:space="preserve">ut- and Seed-based Beverages </w:t>
      </w:r>
    </w:p>
    <w:p w14:paraId="35F28570" w14:textId="77777777" w:rsidR="00590581" w:rsidRPr="00B37BF0" w:rsidRDefault="00590581" w:rsidP="00047581">
      <w:pPr>
        <w:widowControl/>
        <w:pBdr>
          <w:bottom w:val="single" w:sz="12" w:space="0" w:color="auto"/>
        </w:pBdr>
        <w:spacing w:line="280" w:lineRule="exact"/>
        <w:rPr>
          <w:rFonts w:cs="Arial"/>
          <w:bCs/>
        </w:rPr>
      </w:pPr>
    </w:p>
    <w:p w14:paraId="381B01BB" w14:textId="02F5D6EE" w:rsidR="00092CDA" w:rsidRPr="00092CDA" w:rsidRDefault="00092CDA" w:rsidP="00D20A1E">
      <w:pPr>
        <w:pStyle w:val="Heading1"/>
        <w:widowControl/>
      </w:pPr>
      <w:bookmarkStart w:id="1" w:name="_Toc286391001"/>
      <w:bookmarkStart w:id="2" w:name="_Toc300933414"/>
      <w:bookmarkStart w:id="3" w:name="_Toc427672143"/>
      <w:bookmarkStart w:id="4" w:name="_Toc427678209"/>
      <w:r w:rsidRPr="00092CDA">
        <w:t xml:space="preserve">Executive </w:t>
      </w:r>
      <w:r w:rsidR="00B12F1E">
        <w:t>s</w:t>
      </w:r>
      <w:r w:rsidRPr="00092CDA">
        <w:t>ummary</w:t>
      </w:r>
      <w:bookmarkEnd w:id="1"/>
      <w:bookmarkEnd w:id="2"/>
      <w:bookmarkEnd w:id="3"/>
      <w:bookmarkEnd w:id="4"/>
    </w:p>
    <w:p w14:paraId="39A89239" w14:textId="54F68026" w:rsidR="00C37157" w:rsidRDefault="009B508A" w:rsidP="00D20A1E">
      <w:pPr>
        <w:widowControl/>
      </w:pPr>
      <w:r>
        <w:t>Nut</w:t>
      </w:r>
      <w:r w:rsidR="00321767">
        <w:t>-</w:t>
      </w:r>
      <w:r>
        <w:t xml:space="preserve"> and seed-based beverages are relatively new to the Australian and New Zealand markets and</w:t>
      </w:r>
      <w:r w:rsidRPr="00664749">
        <w:t xml:space="preserve"> </w:t>
      </w:r>
      <w:r>
        <w:t>there ha</w:t>
      </w:r>
      <w:r w:rsidR="003E44E3">
        <w:t>s been steady growth in the nut</w:t>
      </w:r>
      <w:r w:rsidR="00321767">
        <w:t xml:space="preserve">- </w:t>
      </w:r>
      <w:r>
        <w:t>and seed-based beverage market over the past few years.</w:t>
      </w:r>
      <w:r w:rsidRPr="00EC5420">
        <w:t xml:space="preserve"> </w:t>
      </w:r>
      <w:r w:rsidR="006760B7">
        <w:t>R</w:t>
      </w:r>
      <w:r>
        <w:t xml:space="preserve">ecent national nutrition survey information </w:t>
      </w:r>
      <w:r w:rsidR="006760B7">
        <w:t xml:space="preserve">indicates </w:t>
      </w:r>
      <w:r>
        <w:t>that nut</w:t>
      </w:r>
      <w:r w:rsidR="00321767">
        <w:t>-</w:t>
      </w:r>
      <w:r>
        <w:t xml:space="preserve"> and cereal-based beverages are consumed </w:t>
      </w:r>
      <w:r w:rsidR="00B27228">
        <w:t>by less than 1% of the population</w:t>
      </w:r>
      <w:r w:rsidR="006760B7">
        <w:t>. Nut</w:t>
      </w:r>
      <w:r w:rsidR="00321767">
        <w:t>-</w:t>
      </w:r>
      <w:r w:rsidR="006760B7">
        <w:t xml:space="preserve"> and seed-</w:t>
      </w:r>
      <w:r w:rsidR="006760B7" w:rsidRPr="00985881">
        <w:t>based beverages were consumed in similar quantities and ways to milk, with around 83% of eating occasions involving consumption with breakfast cereal or use in a beverage such as in tea or coffee and, to a lesser extent, as a beverage in its own right</w:t>
      </w:r>
      <w:r w:rsidR="00B27228" w:rsidRPr="00985881">
        <w:t xml:space="preserve">. </w:t>
      </w:r>
      <w:r w:rsidR="006760B7" w:rsidRPr="00985881">
        <w:t>Little research is</w:t>
      </w:r>
      <w:r w:rsidR="006760B7">
        <w:t xml:space="preserve"> available on how consumers perceive </w:t>
      </w:r>
      <w:r w:rsidR="00075E2F">
        <w:t xml:space="preserve">nut- </w:t>
      </w:r>
      <w:r w:rsidR="006760B7">
        <w:t>and seed-based beverages.</w:t>
      </w:r>
      <w:r w:rsidR="0039057C">
        <w:t xml:space="preserve"> </w:t>
      </w:r>
      <w:r w:rsidR="006760B7">
        <w:t>However</w:t>
      </w:r>
      <w:r w:rsidR="00E44DE1">
        <w:t>, it is reasonable to assume</w:t>
      </w:r>
      <w:r w:rsidR="00E44DE1" w:rsidRPr="00E44DE1">
        <w:t xml:space="preserve"> </w:t>
      </w:r>
      <w:r w:rsidR="00E44DE1">
        <w:t>that consume</w:t>
      </w:r>
      <w:r w:rsidR="00F64B12">
        <w:t>rs</w:t>
      </w:r>
      <w:r w:rsidR="00E44DE1">
        <w:t xml:space="preserve"> </w:t>
      </w:r>
      <w:r w:rsidR="00F64B12">
        <w:t xml:space="preserve">perceive </w:t>
      </w:r>
      <w:r w:rsidR="00075E2F">
        <w:t xml:space="preserve">nut- </w:t>
      </w:r>
      <w:r w:rsidR="00E44DE1">
        <w:t>and seed-based beverages as a milk substitute</w:t>
      </w:r>
      <w:r w:rsidR="00690AD9">
        <w:t>,</w:t>
      </w:r>
      <w:r w:rsidR="00E44DE1">
        <w:t xml:space="preserve"> similar </w:t>
      </w:r>
      <w:r w:rsidR="00690AD9">
        <w:t xml:space="preserve">to </w:t>
      </w:r>
      <w:r w:rsidR="00E44DE1">
        <w:t>soy-based beverage</w:t>
      </w:r>
      <w:r w:rsidR="00690AD9">
        <w:t>s</w:t>
      </w:r>
      <w:r w:rsidR="00E44DE1">
        <w:t xml:space="preserve">, </w:t>
      </w:r>
      <w:r w:rsidR="004E53A1">
        <w:t xml:space="preserve">which is </w:t>
      </w:r>
      <w:r w:rsidR="00F64B12">
        <w:t>another</w:t>
      </w:r>
      <w:r w:rsidR="00E44DE1">
        <w:t xml:space="preserve"> milk substitute.</w:t>
      </w:r>
      <w:r w:rsidR="00D437A9">
        <w:t xml:space="preserve"> </w:t>
      </w:r>
      <w:r w:rsidR="002A284C">
        <w:t>Consumer r</w:t>
      </w:r>
      <w:r w:rsidR="00D437A9">
        <w:t>esearch</w:t>
      </w:r>
      <w:r w:rsidR="002A284C">
        <w:t xml:space="preserve"> from two 2002 studies</w:t>
      </w:r>
      <w:r w:rsidR="00D437A9">
        <w:t xml:space="preserve"> on the perceptions of unfortified soy-based beverage indicates that </w:t>
      </w:r>
      <w:r w:rsidR="00321767">
        <w:t>this beverage</w:t>
      </w:r>
      <w:r w:rsidR="00D437A9">
        <w:t xml:space="preserve"> may be viewed </w:t>
      </w:r>
      <w:r w:rsidR="00D47E75">
        <w:t>as</w:t>
      </w:r>
      <w:r w:rsidR="00D437A9">
        <w:t xml:space="preserve"> </w:t>
      </w:r>
      <w:r w:rsidR="000F78C4">
        <w:t>healthier</w:t>
      </w:r>
      <w:r w:rsidR="00D437A9">
        <w:t xml:space="preserve"> than milk, which may also be the case for unfortified nut-and seed-based beverages.</w:t>
      </w:r>
    </w:p>
    <w:p w14:paraId="50248317" w14:textId="77777777" w:rsidR="006413B5" w:rsidRDefault="006413B5" w:rsidP="00D20A1E">
      <w:pPr>
        <w:widowControl/>
      </w:pPr>
    </w:p>
    <w:p w14:paraId="73C98FA6" w14:textId="1DF613B7" w:rsidR="00FA7D44" w:rsidRPr="003F4745" w:rsidRDefault="00977A37" w:rsidP="00D20A1E">
      <w:pPr>
        <w:widowControl/>
      </w:pPr>
      <w:r>
        <w:rPr>
          <w:szCs w:val="20"/>
          <w:lang w:val="en-AU"/>
        </w:rPr>
        <w:t>In all the available national nutrition surveys</w:t>
      </w:r>
      <w:r w:rsidR="0039057C">
        <w:rPr>
          <w:szCs w:val="20"/>
          <w:lang w:val="en-AU"/>
        </w:rPr>
        <w:t>,</w:t>
      </w:r>
      <w:r>
        <w:rPr>
          <w:szCs w:val="20"/>
          <w:lang w:val="en-AU"/>
        </w:rPr>
        <w:t xml:space="preserve"> m</w:t>
      </w:r>
      <w:r w:rsidR="00877CD5">
        <w:rPr>
          <w:szCs w:val="20"/>
          <w:lang w:val="en-AU"/>
        </w:rPr>
        <w:t>ilk</w:t>
      </w:r>
      <w:r w:rsidR="00877CD5" w:rsidRPr="00AE4577">
        <w:rPr>
          <w:szCs w:val="20"/>
          <w:lang w:val="en-AU"/>
        </w:rPr>
        <w:t xml:space="preserve"> </w:t>
      </w:r>
      <w:r w:rsidR="005B174B" w:rsidRPr="00AE4577">
        <w:rPr>
          <w:szCs w:val="20"/>
          <w:lang w:val="en-AU"/>
        </w:rPr>
        <w:t xml:space="preserve">is </w:t>
      </w:r>
      <w:r>
        <w:rPr>
          <w:szCs w:val="20"/>
          <w:lang w:val="en-AU"/>
        </w:rPr>
        <w:t xml:space="preserve">reported to be an </w:t>
      </w:r>
      <w:r w:rsidR="005B174B" w:rsidRPr="00AE4577">
        <w:rPr>
          <w:szCs w:val="20"/>
          <w:lang w:val="en-AU"/>
        </w:rPr>
        <w:t>important contributor</w:t>
      </w:r>
      <w:r w:rsidR="005B174B" w:rsidRPr="00AE4577">
        <w:t xml:space="preserve"> (</w:t>
      </w:r>
      <w:r w:rsidR="005B174B" w:rsidRPr="00AE4577">
        <w:rPr>
          <w:rFonts w:cs="Arial"/>
        </w:rPr>
        <w:t>≥</w:t>
      </w:r>
      <w:r w:rsidR="005B174B" w:rsidRPr="00AE4577">
        <w:t xml:space="preserve">20%) </w:t>
      </w:r>
      <w:r w:rsidR="005B174B" w:rsidRPr="00AE4577">
        <w:rPr>
          <w:szCs w:val="20"/>
          <w:lang w:val="en-AU"/>
        </w:rPr>
        <w:t xml:space="preserve">to the intakes of many vitamins and minerals, particularly calcium, phosphorus, </w:t>
      </w:r>
      <w:r w:rsidR="00326E1B">
        <w:rPr>
          <w:szCs w:val="20"/>
          <w:lang w:val="en-AU"/>
        </w:rPr>
        <w:t>retinol equivalents</w:t>
      </w:r>
      <w:r w:rsidR="005B174B" w:rsidRPr="00AE4577">
        <w:rPr>
          <w:szCs w:val="20"/>
          <w:lang w:val="en-AU"/>
        </w:rPr>
        <w:t>, riboflavin, vitamins B</w:t>
      </w:r>
      <w:r w:rsidR="005B174B" w:rsidRPr="00AE4577">
        <w:rPr>
          <w:szCs w:val="20"/>
          <w:vertAlign w:val="subscript"/>
          <w:lang w:val="en-AU"/>
        </w:rPr>
        <w:t>6</w:t>
      </w:r>
      <w:r w:rsidR="005B174B" w:rsidRPr="00AE4577">
        <w:rPr>
          <w:szCs w:val="20"/>
          <w:lang w:val="en-AU"/>
        </w:rPr>
        <w:t xml:space="preserve"> and B</w:t>
      </w:r>
      <w:r w:rsidR="005B174B" w:rsidRPr="00AE4577">
        <w:rPr>
          <w:szCs w:val="20"/>
          <w:vertAlign w:val="subscript"/>
          <w:lang w:val="en-AU"/>
        </w:rPr>
        <w:t xml:space="preserve">12 </w:t>
      </w:r>
      <w:r w:rsidR="005B174B" w:rsidRPr="00AE4577">
        <w:rPr>
          <w:szCs w:val="20"/>
          <w:lang w:val="en-AU"/>
        </w:rPr>
        <w:t>and iodine; particularly for young children. Milk is also an important source of energy (13</w:t>
      </w:r>
      <w:r w:rsidR="00321767">
        <w:rPr>
          <w:szCs w:val="20"/>
          <w:lang w:val="en-AU"/>
        </w:rPr>
        <w:t>–</w:t>
      </w:r>
      <w:r w:rsidR="005B174B" w:rsidRPr="00AE4577">
        <w:rPr>
          <w:szCs w:val="20"/>
          <w:lang w:val="en-AU"/>
        </w:rPr>
        <w:t>14%) and protein (18</w:t>
      </w:r>
      <w:r w:rsidR="00321767">
        <w:rPr>
          <w:szCs w:val="20"/>
          <w:lang w:val="en-AU"/>
        </w:rPr>
        <w:t>–</w:t>
      </w:r>
      <w:r w:rsidR="005B174B" w:rsidRPr="00AE4577">
        <w:rPr>
          <w:szCs w:val="20"/>
          <w:lang w:val="en-AU"/>
        </w:rPr>
        <w:t>19%) for young children</w:t>
      </w:r>
      <w:r>
        <w:rPr>
          <w:szCs w:val="20"/>
          <w:lang w:val="en-AU"/>
        </w:rPr>
        <w:t xml:space="preserve"> aged 2</w:t>
      </w:r>
      <w:r w:rsidR="001C28A7">
        <w:rPr>
          <w:szCs w:val="20"/>
          <w:lang w:val="en-AU"/>
        </w:rPr>
        <w:noBreakHyphen/>
      </w:r>
      <w:r>
        <w:rPr>
          <w:szCs w:val="20"/>
          <w:lang w:val="en-AU"/>
        </w:rPr>
        <w:t>3</w:t>
      </w:r>
      <w:r w:rsidR="001C28A7">
        <w:rPr>
          <w:szCs w:val="20"/>
          <w:lang w:val="en-AU"/>
        </w:rPr>
        <w:t> </w:t>
      </w:r>
      <w:r>
        <w:rPr>
          <w:szCs w:val="20"/>
          <w:lang w:val="en-AU"/>
        </w:rPr>
        <w:t>years</w:t>
      </w:r>
      <w:r w:rsidR="005B174B" w:rsidRPr="00AE4577">
        <w:rPr>
          <w:szCs w:val="20"/>
          <w:lang w:val="en-AU"/>
        </w:rPr>
        <w:t>.</w:t>
      </w:r>
    </w:p>
    <w:p w14:paraId="7C06014A" w14:textId="77777777" w:rsidR="00FA7D44" w:rsidRDefault="00FA7D44" w:rsidP="00D20A1E">
      <w:pPr>
        <w:widowControl/>
      </w:pPr>
    </w:p>
    <w:p w14:paraId="5856CB83" w14:textId="32F7D435" w:rsidR="009B508A" w:rsidRDefault="00E45D8E" w:rsidP="00D20A1E">
      <w:pPr>
        <w:widowControl/>
      </w:pPr>
      <w:r>
        <w:t xml:space="preserve">The concentrations of vitamins, minerals and protein currently </w:t>
      </w:r>
      <w:r w:rsidR="009672A0">
        <w:t xml:space="preserve">in </w:t>
      </w:r>
      <w:r w:rsidR="00075E2F">
        <w:t xml:space="preserve">nut- </w:t>
      </w:r>
      <w:r>
        <w:t xml:space="preserve">and seed-based beverages are generally lower than those present naturally in full cream </w:t>
      </w:r>
      <w:r w:rsidR="00321FCF">
        <w:t>cow</w:t>
      </w:r>
      <w:r w:rsidR="00103D2A">
        <w:t>’</w:t>
      </w:r>
      <w:r w:rsidR="00321FCF">
        <w:t>s</w:t>
      </w:r>
      <w:r>
        <w:t xml:space="preserve"> milk.</w:t>
      </w:r>
      <w:r w:rsidRPr="00E45D8E">
        <w:t xml:space="preserve"> </w:t>
      </w:r>
      <w:r w:rsidR="006E6F30">
        <w:t xml:space="preserve">With the exception of coconut-based </w:t>
      </w:r>
      <w:r w:rsidR="00703DC1">
        <w:t>milk substitutes</w:t>
      </w:r>
      <w:r w:rsidR="006E6F30">
        <w:t xml:space="preserve">, </w:t>
      </w:r>
      <w:r w:rsidR="00075E2F">
        <w:t xml:space="preserve">nut- </w:t>
      </w:r>
      <w:r w:rsidR="006E6F30">
        <w:t xml:space="preserve">and seed-based beverages have a lower fat and energy content than full cream </w:t>
      </w:r>
      <w:r w:rsidR="00FA56B6">
        <w:t>cow’s</w:t>
      </w:r>
      <w:r w:rsidR="006E6F30">
        <w:t xml:space="preserve"> milk. </w:t>
      </w:r>
      <w:r w:rsidR="006413B5" w:rsidRPr="00915A9B">
        <w:t>The</w:t>
      </w:r>
      <w:r w:rsidR="003E44E3">
        <w:t xml:space="preserve"> protein content of </w:t>
      </w:r>
      <w:r w:rsidR="00075E2F">
        <w:t xml:space="preserve">nut- </w:t>
      </w:r>
      <w:r w:rsidR="006413B5" w:rsidRPr="00915A9B">
        <w:t xml:space="preserve">and seed-based beverages is comparable to cereal-based beverages, </w:t>
      </w:r>
      <w:r w:rsidR="00877CD5">
        <w:t>but</w:t>
      </w:r>
      <w:r w:rsidR="00877CD5" w:rsidRPr="00915A9B">
        <w:t xml:space="preserve"> </w:t>
      </w:r>
      <w:r w:rsidR="001E565E">
        <w:t xml:space="preserve">is </w:t>
      </w:r>
      <w:r w:rsidR="006413B5" w:rsidRPr="00915A9B">
        <w:t xml:space="preserve">lower than </w:t>
      </w:r>
      <w:r w:rsidR="00877CD5">
        <w:t xml:space="preserve">that </w:t>
      </w:r>
      <w:r w:rsidR="006413B5" w:rsidRPr="00915A9B">
        <w:t xml:space="preserve">in </w:t>
      </w:r>
      <w:r w:rsidR="004D10E7">
        <w:t xml:space="preserve">full cream </w:t>
      </w:r>
      <w:r w:rsidR="00321FCF">
        <w:t>cow</w:t>
      </w:r>
      <w:r w:rsidR="00171383">
        <w:t>’</w:t>
      </w:r>
      <w:r w:rsidR="00321FCF">
        <w:t>s</w:t>
      </w:r>
      <w:r w:rsidR="004D10E7">
        <w:t xml:space="preserve"> </w:t>
      </w:r>
      <w:r w:rsidR="004E23E1">
        <w:t xml:space="preserve">milk and </w:t>
      </w:r>
      <w:r w:rsidR="005B174B">
        <w:t>legume</w:t>
      </w:r>
      <w:r w:rsidR="004E23E1">
        <w:t>-based beverages.</w:t>
      </w:r>
    </w:p>
    <w:p w14:paraId="21AC59D6" w14:textId="77777777" w:rsidR="006413B5" w:rsidRDefault="006413B5" w:rsidP="00D20A1E">
      <w:pPr>
        <w:widowControl/>
      </w:pPr>
    </w:p>
    <w:p w14:paraId="3116A4A5" w14:textId="68E2607A" w:rsidR="004E23E1" w:rsidRDefault="00075E2F" w:rsidP="00D20A1E">
      <w:pPr>
        <w:widowControl/>
      </w:pPr>
      <w:r>
        <w:rPr>
          <w:lang w:bidi="ar-SA"/>
        </w:rPr>
        <w:t xml:space="preserve">Nut- </w:t>
      </w:r>
      <w:r w:rsidR="004E23E1">
        <w:rPr>
          <w:lang w:bidi="ar-SA"/>
        </w:rPr>
        <w:t xml:space="preserve">and seed-based beverages are manufactured in a similar way to beverages derived from cereals </w:t>
      </w:r>
      <w:r w:rsidR="005B174B">
        <w:rPr>
          <w:lang w:bidi="ar-SA"/>
        </w:rPr>
        <w:t>or</w:t>
      </w:r>
      <w:r w:rsidR="004E23E1">
        <w:rPr>
          <w:lang w:bidi="ar-SA"/>
        </w:rPr>
        <w:t xml:space="preserve"> legumes including the process of vitamin and mineral addition.</w:t>
      </w:r>
      <w:r w:rsidR="005B174B">
        <w:rPr>
          <w:lang w:bidi="ar-SA"/>
        </w:rPr>
        <w:t xml:space="preserve"> </w:t>
      </w:r>
      <w:r w:rsidR="004E23E1">
        <w:t xml:space="preserve">Up to 95% of anti-nutritional factors </w:t>
      </w:r>
      <w:r w:rsidR="00877CD5">
        <w:t xml:space="preserve">(for example phytates, oxalate) </w:t>
      </w:r>
      <w:r w:rsidR="004E23E1">
        <w:t xml:space="preserve">present in nuts and seeds are likely to be removed during manufacture of </w:t>
      </w:r>
      <w:r>
        <w:t xml:space="preserve">nut- </w:t>
      </w:r>
      <w:r w:rsidR="00F0075B">
        <w:t xml:space="preserve">and seed-based </w:t>
      </w:r>
      <w:r w:rsidR="004E23E1">
        <w:t>beverages</w:t>
      </w:r>
      <w:r w:rsidR="004E23E1" w:rsidRPr="001E4219">
        <w:t>.</w:t>
      </w:r>
      <w:r w:rsidR="004E23E1">
        <w:t xml:space="preserve"> Therefore, it is unlikely that any residual constituents would impact appreciably on the absorption of added</w:t>
      </w:r>
      <w:r w:rsidR="003E44E3">
        <w:t xml:space="preserve"> vitamins and minerals from </w:t>
      </w:r>
      <w:r>
        <w:t xml:space="preserve">nut- </w:t>
      </w:r>
      <w:r w:rsidR="004E23E1">
        <w:t xml:space="preserve">and seed-based beverages. </w:t>
      </w:r>
    </w:p>
    <w:p w14:paraId="78F65436" w14:textId="77777777" w:rsidR="006413B5" w:rsidRDefault="006413B5" w:rsidP="00D20A1E">
      <w:pPr>
        <w:widowControl/>
        <w:rPr>
          <w:szCs w:val="20"/>
          <w:lang w:val="en-AU"/>
        </w:rPr>
      </w:pPr>
    </w:p>
    <w:p w14:paraId="5302B515" w14:textId="77777777" w:rsidR="00FF5F6C" w:rsidRDefault="005B174B" w:rsidP="00D20A1E">
      <w:pPr>
        <w:widowControl/>
        <w:rPr>
          <w:szCs w:val="22"/>
          <w:lang w:val="en-US"/>
        </w:rPr>
      </w:pPr>
      <w:r>
        <w:rPr>
          <w:szCs w:val="22"/>
          <w:lang w:val="en-US"/>
        </w:rPr>
        <w:t>In relation to</w:t>
      </w:r>
      <w:r w:rsidR="00FA7D44">
        <w:rPr>
          <w:szCs w:val="22"/>
          <w:lang w:val="en-US"/>
        </w:rPr>
        <w:t xml:space="preserve"> population</w:t>
      </w:r>
      <w:r>
        <w:rPr>
          <w:szCs w:val="22"/>
          <w:lang w:val="en-US"/>
        </w:rPr>
        <w:t xml:space="preserve"> nutrient intakes, t</w:t>
      </w:r>
      <w:r w:rsidR="006413B5" w:rsidRPr="00237123">
        <w:rPr>
          <w:szCs w:val="22"/>
          <w:lang w:val="en-US"/>
        </w:rPr>
        <w:t xml:space="preserve">he </w:t>
      </w:r>
      <w:r w:rsidR="004C75EA">
        <w:rPr>
          <w:szCs w:val="22"/>
          <w:lang w:val="en-US"/>
        </w:rPr>
        <w:t xml:space="preserve">estimated </w:t>
      </w:r>
      <w:r w:rsidR="006413B5" w:rsidRPr="00237123">
        <w:rPr>
          <w:szCs w:val="22"/>
          <w:lang w:val="en-US"/>
        </w:rPr>
        <w:t>mean intakes of calcium</w:t>
      </w:r>
      <w:r w:rsidR="00E706F1">
        <w:rPr>
          <w:szCs w:val="22"/>
          <w:lang w:val="en-US"/>
        </w:rPr>
        <w:t xml:space="preserve">, </w:t>
      </w:r>
      <w:r w:rsidR="006413B5" w:rsidRPr="00237123">
        <w:rPr>
          <w:szCs w:val="22"/>
          <w:lang w:val="en-US"/>
        </w:rPr>
        <w:t xml:space="preserve">magnesium, phosphorus, zinc, </w:t>
      </w:r>
      <w:r w:rsidR="007132B0">
        <w:rPr>
          <w:szCs w:val="22"/>
          <w:lang w:val="en-US"/>
        </w:rPr>
        <w:t>vitamin A</w:t>
      </w:r>
      <w:r w:rsidR="006413B5" w:rsidRPr="00237123">
        <w:rPr>
          <w:szCs w:val="22"/>
          <w:lang w:val="en-US"/>
        </w:rPr>
        <w:t>, riboflavin, thiamin, vitamins B</w:t>
      </w:r>
      <w:r w:rsidR="006413B5" w:rsidRPr="00237123">
        <w:rPr>
          <w:szCs w:val="22"/>
          <w:vertAlign w:val="subscript"/>
          <w:lang w:val="en-US"/>
        </w:rPr>
        <w:t>6</w:t>
      </w:r>
      <w:r w:rsidR="006413B5" w:rsidRPr="00237123">
        <w:rPr>
          <w:szCs w:val="22"/>
          <w:lang w:val="en-US"/>
        </w:rPr>
        <w:t>, B</w:t>
      </w:r>
      <w:r w:rsidR="006413B5" w:rsidRPr="00237123">
        <w:rPr>
          <w:szCs w:val="22"/>
          <w:vertAlign w:val="subscript"/>
          <w:lang w:val="en-US"/>
        </w:rPr>
        <w:t>12</w:t>
      </w:r>
      <w:r w:rsidR="006413B5" w:rsidRPr="00237123">
        <w:rPr>
          <w:szCs w:val="22"/>
          <w:lang w:val="en-US"/>
        </w:rPr>
        <w:t xml:space="preserve"> and D </w:t>
      </w:r>
      <w:r w:rsidR="00977A37">
        <w:rPr>
          <w:szCs w:val="22"/>
          <w:lang w:val="en-US"/>
        </w:rPr>
        <w:t>were in the same range in recent surveys as those reported in the 1995 Au</w:t>
      </w:r>
      <w:r w:rsidR="009932F6">
        <w:rPr>
          <w:szCs w:val="22"/>
          <w:lang w:val="en-US"/>
        </w:rPr>
        <w:t>s</w:t>
      </w:r>
      <w:r w:rsidR="00977A37">
        <w:rPr>
          <w:szCs w:val="22"/>
          <w:lang w:val="en-US"/>
        </w:rPr>
        <w:t>NNS and 1997 NZNNS.</w:t>
      </w:r>
    </w:p>
    <w:p w14:paraId="1E249146" w14:textId="1651E4BD" w:rsidR="00AF4FCB" w:rsidRDefault="00AF4FCB" w:rsidP="00D20A1E">
      <w:pPr>
        <w:widowControl/>
        <w:rPr>
          <w:szCs w:val="22"/>
          <w:lang w:val="en-US"/>
        </w:rPr>
      </w:pPr>
      <w:r>
        <w:rPr>
          <w:szCs w:val="22"/>
          <w:lang w:val="en-US"/>
        </w:rPr>
        <w:br w:type="page"/>
      </w:r>
    </w:p>
    <w:p w14:paraId="4D69CF5D" w14:textId="50D0A62E" w:rsidR="006413B5" w:rsidRDefault="00977A37" w:rsidP="00D20A1E">
      <w:pPr>
        <w:widowControl/>
      </w:pPr>
      <w:r>
        <w:rPr>
          <w:szCs w:val="22"/>
          <w:lang w:val="en-US"/>
        </w:rPr>
        <w:lastRenderedPageBreak/>
        <w:t>In the A500 assessment</w:t>
      </w:r>
      <w:r w:rsidR="0039057C">
        <w:rPr>
          <w:szCs w:val="22"/>
          <w:lang w:val="en-US"/>
        </w:rPr>
        <w:t>,</w:t>
      </w:r>
      <w:r>
        <w:rPr>
          <w:szCs w:val="22"/>
          <w:lang w:val="en-US"/>
        </w:rPr>
        <w:t xml:space="preserve"> </w:t>
      </w:r>
      <w:r w:rsidR="00E1678C">
        <w:rPr>
          <w:szCs w:val="22"/>
          <w:lang w:val="en-US"/>
        </w:rPr>
        <w:t xml:space="preserve">estimated </w:t>
      </w:r>
      <w:r>
        <w:rPr>
          <w:szCs w:val="22"/>
          <w:lang w:val="en-US"/>
        </w:rPr>
        <w:t xml:space="preserve">nutrient intakes </w:t>
      </w:r>
      <w:r w:rsidR="009932F6">
        <w:rPr>
          <w:szCs w:val="22"/>
          <w:lang w:val="en-US"/>
        </w:rPr>
        <w:t xml:space="preserve">from the 1995 and 1997 surveys </w:t>
      </w:r>
      <w:r w:rsidR="00C71D3C">
        <w:rPr>
          <w:szCs w:val="22"/>
          <w:lang w:val="en-US"/>
        </w:rPr>
        <w:t>were</w:t>
      </w:r>
      <w:r w:rsidR="00C71D3C" w:rsidRPr="00237123">
        <w:rPr>
          <w:szCs w:val="22"/>
          <w:lang w:val="en-US"/>
        </w:rPr>
        <w:t xml:space="preserve"> </w:t>
      </w:r>
      <w:r w:rsidR="006413B5" w:rsidRPr="00237123">
        <w:rPr>
          <w:szCs w:val="22"/>
          <w:lang w:val="en-US"/>
        </w:rPr>
        <w:t xml:space="preserve">lower for non-dairy consumers </w:t>
      </w:r>
      <w:r w:rsidR="00C37157">
        <w:rPr>
          <w:szCs w:val="22"/>
          <w:lang w:val="en-US"/>
        </w:rPr>
        <w:t>than</w:t>
      </w:r>
      <w:r w:rsidR="006413B5" w:rsidRPr="00237123">
        <w:rPr>
          <w:szCs w:val="22"/>
          <w:lang w:val="en-US"/>
        </w:rPr>
        <w:t xml:space="preserve"> </w:t>
      </w:r>
      <w:r w:rsidR="005B174B">
        <w:rPr>
          <w:szCs w:val="22"/>
          <w:lang w:val="en-US"/>
        </w:rPr>
        <w:t xml:space="preserve">for </w:t>
      </w:r>
      <w:r w:rsidR="006413B5" w:rsidRPr="00237123">
        <w:rPr>
          <w:szCs w:val="22"/>
          <w:lang w:val="en-US"/>
        </w:rPr>
        <w:t>the general population</w:t>
      </w:r>
      <w:r w:rsidR="005B174B">
        <w:rPr>
          <w:szCs w:val="22"/>
          <w:lang w:val="en-US"/>
        </w:rPr>
        <w:t>;</w:t>
      </w:r>
      <w:r w:rsidR="006413B5">
        <w:rPr>
          <w:szCs w:val="22"/>
          <w:lang w:val="en-US"/>
        </w:rPr>
        <w:t xml:space="preserve"> the greatest difference </w:t>
      </w:r>
      <w:r w:rsidR="00C71D3C">
        <w:rPr>
          <w:szCs w:val="22"/>
          <w:lang w:val="en-US"/>
        </w:rPr>
        <w:t>being for calcium intakes (</w:t>
      </w:r>
      <w:r w:rsidR="00C37157">
        <w:rPr>
          <w:szCs w:val="22"/>
          <w:lang w:val="en-US"/>
        </w:rPr>
        <w:t>59</w:t>
      </w:r>
      <w:r w:rsidR="00321767">
        <w:rPr>
          <w:szCs w:val="22"/>
          <w:lang w:val="en-US"/>
        </w:rPr>
        <w:t>–</w:t>
      </w:r>
      <w:r w:rsidR="00C37157">
        <w:rPr>
          <w:szCs w:val="22"/>
          <w:lang w:val="en-US"/>
        </w:rPr>
        <w:t>66% lower</w:t>
      </w:r>
      <w:r w:rsidR="00C71D3C">
        <w:rPr>
          <w:szCs w:val="22"/>
          <w:lang w:val="en-US"/>
        </w:rPr>
        <w:t>)</w:t>
      </w:r>
      <w:r w:rsidR="006413B5">
        <w:rPr>
          <w:szCs w:val="22"/>
          <w:lang w:val="en-US"/>
        </w:rPr>
        <w:t>.</w:t>
      </w:r>
      <w:r w:rsidR="008D513C">
        <w:rPr>
          <w:lang w:val="en-US"/>
        </w:rPr>
        <w:t xml:space="preserve"> </w:t>
      </w:r>
      <w:r w:rsidR="00C71D3C">
        <w:rPr>
          <w:lang w:val="en-US"/>
        </w:rPr>
        <w:t>E</w:t>
      </w:r>
      <w:r w:rsidR="006413B5">
        <w:rPr>
          <w:lang w:val="en-US"/>
        </w:rPr>
        <w:t>stimated mean protein</w:t>
      </w:r>
      <w:r w:rsidR="005B174B">
        <w:rPr>
          <w:lang w:val="en-US"/>
        </w:rPr>
        <w:t xml:space="preserve"> and fat</w:t>
      </w:r>
      <w:r w:rsidR="006413B5">
        <w:rPr>
          <w:lang w:val="en-US"/>
        </w:rPr>
        <w:t xml:space="preserve"> intakes </w:t>
      </w:r>
      <w:r w:rsidR="00C71D3C">
        <w:rPr>
          <w:lang w:val="en-US"/>
        </w:rPr>
        <w:t xml:space="preserve">were </w:t>
      </w:r>
      <w:r w:rsidR="006B063D">
        <w:rPr>
          <w:lang w:val="en-US"/>
        </w:rPr>
        <w:t>17</w:t>
      </w:r>
      <w:r w:rsidR="00C37157">
        <w:rPr>
          <w:lang w:val="en-US"/>
        </w:rPr>
        <w:t>–</w:t>
      </w:r>
      <w:r w:rsidR="006413B5">
        <w:rPr>
          <w:lang w:val="en-US"/>
        </w:rPr>
        <w:t xml:space="preserve">22% lower </w:t>
      </w:r>
      <w:r w:rsidR="005B174B">
        <w:rPr>
          <w:lang w:val="en-US"/>
        </w:rPr>
        <w:t>and 21–25% lower</w:t>
      </w:r>
      <w:r w:rsidR="00F0075B">
        <w:rPr>
          <w:lang w:val="en-US"/>
        </w:rPr>
        <w:t>, respectively</w:t>
      </w:r>
      <w:r w:rsidR="006413B5">
        <w:rPr>
          <w:lang w:val="en-US"/>
        </w:rPr>
        <w:t>.</w:t>
      </w:r>
      <w:r w:rsidR="008D513C" w:rsidRPr="008D513C">
        <w:t xml:space="preserve"> </w:t>
      </w:r>
      <w:r>
        <w:t>Based on the A500 Assessment and the fact that overall nutrient intakes from more recent surveys are similar to those in 1995 and 1997</w:t>
      </w:r>
      <w:r w:rsidR="0039057C">
        <w:t>,</w:t>
      </w:r>
      <w:r>
        <w:t xml:space="preserve"> it </w:t>
      </w:r>
      <w:r w:rsidR="006066E9">
        <w:t>is assumed</w:t>
      </w:r>
      <w:r>
        <w:t xml:space="preserve"> that those</w:t>
      </w:r>
      <w:r w:rsidR="006D573B">
        <w:t xml:space="preserve"> non-dairy</w:t>
      </w:r>
      <w:r>
        <w:t xml:space="preserve"> c</w:t>
      </w:r>
      <w:r w:rsidR="00F0075B">
        <w:t xml:space="preserve">onsumers using unfortified </w:t>
      </w:r>
      <w:r w:rsidR="00075E2F">
        <w:t xml:space="preserve">nut- </w:t>
      </w:r>
      <w:r w:rsidR="00F0075B">
        <w:t xml:space="preserve">and seed-based beverages as a </w:t>
      </w:r>
      <w:r>
        <w:t xml:space="preserve">complete </w:t>
      </w:r>
      <w:r w:rsidR="00F0075B">
        <w:t xml:space="preserve">milk replacement </w:t>
      </w:r>
      <w:r w:rsidR="00EF315B">
        <w:t>may</w:t>
      </w:r>
      <w:r w:rsidR="00F0075B">
        <w:t xml:space="preserve"> be at </w:t>
      </w:r>
      <w:r>
        <w:t xml:space="preserve">a </w:t>
      </w:r>
      <w:r w:rsidR="00F0075B">
        <w:t xml:space="preserve">similar </w:t>
      </w:r>
      <w:r>
        <w:t xml:space="preserve">level of </w:t>
      </w:r>
      <w:r w:rsidR="00F0075B">
        <w:t xml:space="preserve">risk of reduced nutrient intakes as </w:t>
      </w:r>
      <w:r w:rsidR="00E1678C">
        <w:t xml:space="preserve">the </w:t>
      </w:r>
      <w:r w:rsidR="00F0075B">
        <w:t>non-dairy consumers</w:t>
      </w:r>
      <w:r w:rsidR="00E1678C">
        <w:t xml:space="preserve"> previously assessed</w:t>
      </w:r>
      <w:r w:rsidR="006D573B">
        <w:t xml:space="preserve"> (i.e. cereal-based beverage non-dairy consumers)</w:t>
      </w:r>
      <w:r w:rsidR="00F0075B">
        <w:t xml:space="preserve">. </w:t>
      </w:r>
      <w:r w:rsidR="00E1678C">
        <w:rPr>
          <w:szCs w:val="22"/>
          <w:lang w:val="en-US"/>
        </w:rPr>
        <w:t xml:space="preserve">The </w:t>
      </w:r>
      <w:r w:rsidR="0053379D">
        <w:rPr>
          <w:szCs w:val="22"/>
          <w:lang w:val="en-US"/>
        </w:rPr>
        <w:t>A500</w:t>
      </w:r>
      <w:r w:rsidR="00C37157">
        <w:rPr>
          <w:szCs w:val="22"/>
          <w:lang w:val="en-US"/>
        </w:rPr>
        <w:t xml:space="preserve"> </w:t>
      </w:r>
      <w:r w:rsidR="00E1678C">
        <w:rPr>
          <w:szCs w:val="22"/>
          <w:lang w:val="en-US"/>
        </w:rPr>
        <w:t>Assessment indicated</w:t>
      </w:r>
      <w:r w:rsidR="00774977">
        <w:rPr>
          <w:szCs w:val="22"/>
          <w:lang w:val="en-US"/>
        </w:rPr>
        <w:t xml:space="preserve"> </w:t>
      </w:r>
      <w:r w:rsidR="0039057C">
        <w:rPr>
          <w:szCs w:val="22"/>
          <w:lang w:val="en-US"/>
        </w:rPr>
        <w:t xml:space="preserve">that </w:t>
      </w:r>
      <w:r w:rsidR="0053379D">
        <w:t>c</w:t>
      </w:r>
      <w:r w:rsidR="0053379D" w:rsidRPr="005A22C2">
        <w:t xml:space="preserve">hildren </w:t>
      </w:r>
      <w:r w:rsidR="006D573B">
        <w:t>were</w:t>
      </w:r>
      <w:r w:rsidR="008D513C" w:rsidRPr="005A22C2">
        <w:t xml:space="preserve"> </w:t>
      </w:r>
      <w:r w:rsidR="006D573B">
        <w:t xml:space="preserve">likely to be at </w:t>
      </w:r>
      <w:r w:rsidR="008D513C" w:rsidRPr="005A22C2">
        <w:t xml:space="preserve">greater risk </w:t>
      </w:r>
      <w:r w:rsidR="00EF315B">
        <w:t>of</w:t>
      </w:r>
      <w:r w:rsidR="00EF315B" w:rsidRPr="005A22C2">
        <w:t xml:space="preserve"> </w:t>
      </w:r>
      <w:r w:rsidR="00EF315B">
        <w:t xml:space="preserve">impaired </w:t>
      </w:r>
      <w:r w:rsidR="00FA7D44">
        <w:t xml:space="preserve">normal </w:t>
      </w:r>
      <w:r w:rsidR="00FA7D44" w:rsidRPr="005A22C2">
        <w:t xml:space="preserve">growth and development </w:t>
      </w:r>
      <w:r w:rsidR="008D513C" w:rsidRPr="005A22C2">
        <w:t xml:space="preserve">from inadequate </w:t>
      </w:r>
      <w:r w:rsidR="00FA7D44">
        <w:t>nutrient</w:t>
      </w:r>
      <w:r w:rsidR="008D513C" w:rsidRPr="005A22C2">
        <w:t xml:space="preserve"> intakes</w:t>
      </w:r>
      <w:r w:rsidR="008D513C">
        <w:t>.</w:t>
      </w:r>
    </w:p>
    <w:p w14:paraId="19AC147F" w14:textId="77777777" w:rsidR="006413B5" w:rsidRDefault="006413B5" w:rsidP="00D20A1E">
      <w:pPr>
        <w:widowControl/>
      </w:pPr>
    </w:p>
    <w:p w14:paraId="7F5528A0" w14:textId="599E508B" w:rsidR="00DE620A" w:rsidRDefault="003E44E3" w:rsidP="00D20A1E">
      <w:pPr>
        <w:widowControl/>
      </w:pPr>
      <w:r>
        <w:t xml:space="preserve">Fortification of </w:t>
      </w:r>
      <w:r w:rsidR="00075E2F">
        <w:t xml:space="preserve">nut- </w:t>
      </w:r>
      <w:r w:rsidR="00E82B66">
        <w:t xml:space="preserve">and seed-based beverages </w:t>
      </w:r>
      <w:r w:rsidR="00C37157">
        <w:t xml:space="preserve">will </w:t>
      </w:r>
      <w:r w:rsidR="00E82B66">
        <w:t xml:space="preserve">raise </w:t>
      </w:r>
      <w:r w:rsidR="00C37157">
        <w:t xml:space="preserve">the micronutrient profile of </w:t>
      </w:r>
      <w:r w:rsidR="00075E2F">
        <w:t xml:space="preserve">nut- </w:t>
      </w:r>
      <w:r w:rsidR="00C37157">
        <w:t xml:space="preserve">and seed-based beverages closer to </w:t>
      </w:r>
      <w:r w:rsidR="00F54F30">
        <w:t xml:space="preserve">that of </w:t>
      </w:r>
      <w:r w:rsidR="00C37157">
        <w:t>full cream cow</w:t>
      </w:r>
      <w:r w:rsidR="00F54F30">
        <w:t>’</w:t>
      </w:r>
      <w:r w:rsidR="00C37157">
        <w:t>s milk</w:t>
      </w:r>
      <w:r w:rsidR="00E82B66">
        <w:t xml:space="preserve">. Consumption of these </w:t>
      </w:r>
      <w:r w:rsidR="00977A37">
        <w:t xml:space="preserve">fortified </w:t>
      </w:r>
      <w:r w:rsidR="00E82B66">
        <w:t>beverages is expected to</w:t>
      </w:r>
      <w:r w:rsidR="00E82B66" w:rsidRPr="00E82B66">
        <w:t xml:space="preserve"> </w:t>
      </w:r>
      <w:r w:rsidR="00E82B66" w:rsidRPr="003F4745">
        <w:t xml:space="preserve">increase vitamin and mineral </w:t>
      </w:r>
      <w:r w:rsidR="00E82B66">
        <w:t xml:space="preserve">intake </w:t>
      </w:r>
      <w:r w:rsidR="00E82B66" w:rsidRPr="003F4745">
        <w:t xml:space="preserve">by those who do not consume dairy foods or </w:t>
      </w:r>
      <w:r w:rsidR="00E82B66">
        <w:t>other fortified plant-based milk substitutes</w:t>
      </w:r>
      <w:r w:rsidR="00C37157">
        <w:t xml:space="preserve">. </w:t>
      </w:r>
      <w:r w:rsidR="00E82B66">
        <w:t xml:space="preserve">Such fortification </w:t>
      </w:r>
      <w:r w:rsidR="00C37157">
        <w:t>may</w:t>
      </w:r>
      <w:r w:rsidR="00E82B66">
        <w:t xml:space="preserve"> also</w:t>
      </w:r>
      <w:r w:rsidR="00C37157">
        <w:t xml:space="preserve"> </w:t>
      </w:r>
      <w:r w:rsidR="00E82B66">
        <w:t>accord more closely with</w:t>
      </w:r>
      <w:r w:rsidR="00C37157">
        <w:t xml:space="preserve"> consumer assumptions around their nutritional value. </w:t>
      </w:r>
      <w:r w:rsidR="00E4307C">
        <w:t xml:space="preserve">Consumption of </w:t>
      </w:r>
      <w:r w:rsidR="00075E2F">
        <w:t xml:space="preserve">nut- </w:t>
      </w:r>
      <w:r w:rsidR="00E4307C" w:rsidRPr="005A22C2">
        <w:t>and seed-based beverages</w:t>
      </w:r>
      <w:r w:rsidR="006066E9">
        <w:t xml:space="preserve"> as a milk substitute</w:t>
      </w:r>
      <w:r w:rsidR="00D41170">
        <w:t>,</w:t>
      </w:r>
      <w:r w:rsidR="00E4307C" w:rsidRPr="005A22C2">
        <w:t xml:space="preserve"> </w:t>
      </w:r>
      <w:r w:rsidR="00E4307C">
        <w:t>with f</w:t>
      </w:r>
      <w:r w:rsidR="00E4307C" w:rsidRPr="005A22C2">
        <w:t xml:space="preserve">ortification </w:t>
      </w:r>
      <w:r w:rsidR="00E4307C">
        <w:t>at</w:t>
      </w:r>
      <w:r w:rsidR="00E4307C" w:rsidRPr="005A22C2">
        <w:t xml:space="preserve"> similar levels of vitamins and minerals </w:t>
      </w:r>
      <w:r w:rsidR="00E4307C">
        <w:t xml:space="preserve">to those </w:t>
      </w:r>
      <w:r w:rsidR="00E4307C" w:rsidRPr="005A22C2">
        <w:t xml:space="preserve">found in </w:t>
      </w:r>
      <w:r w:rsidR="00E4307C">
        <w:t xml:space="preserve">full cream </w:t>
      </w:r>
      <w:r w:rsidR="00E4307C" w:rsidRPr="005A22C2">
        <w:t>milk</w:t>
      </w:r>
      <w:r w:rsidR="00D41170">
        <w:t>,</w:t>
      </w:r>
      <w:r w:rsidR="00E4307C" w:rsidRPr="005A22C2">
        <w:t xml:space="preserve"> </w:t>
      </w:r>
      <w:r w:rsidR="00E4307C">
        <w:t xml:space="preserve">is not considered to </w:t>
      </w:r>
      <w:r w:rsidR="00E4307C" w:rsidRPr="005A22C2">
        <w:t xml:space="preserve">pose </w:t>
      </w:r>
      <w:r w:rsidR="00E4307C">
        <w:t>any additional risk</w:t>
      </w:r>
      <w:r w:rsidR="00E4307C" w:rsidRPr="005A22C2">
        <w:t xml:space="preserve"> </w:t>
      </w:r>
      <w:r w:rsidR="00E4307C">
        <w:t>with respect to excess intake of vitamins and minerals</w:t>
      </w:r>
      <w:r w:rsidR="00E4307C" w:rsidRPr="005A22C2">
        <w:t xml:space="preserve"> </w:t>
      </w:r>
      <w:r w:rsidR="00E4307C">
        <w:t>compared to consumption of</w:t>
      </w:r>
      <w:r w:rsidR="00E4307C" w:rsidRPr="005A22C2">
        <w:t xml:space="preserve"> milk itself</w:t>
      </w:r>
      <w:r w:rsidR="00E4307C" w:rsidRPr="003F4745">
        <w:t>.</w:t>
      </w:r>
    </w:p>
    <w:p w14:paraId="381B01BD" w14:textId="62D48835" w:rsidR="00092CDA" w:rsidRDefault="00092CDA" w:rsidP="00D20A1E">
      <w:pPr>
        <w:widowControl/>
      </w:pPr>
    </w:p>
    <w:p w14:paraId="381B01BE" w14:textId="24F31903" w:rsidR="00092CDA" w:rsidRDefault="00092CDA" w:rsidP="00D20A1E">
      <w:pPr>
        <w:widowControl/>
        <w:sectPr w:rsidR="00092CDA" w:rsidSect="00932BF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709" w:gutter="0"/>
          <w:pgBorders w:offsetFrom="page">
            <w:top w:val="single" w:sz="2" w:space="6" w:color="FFFFFF" w:themeColor="accent5" w:themeTint="00" w:themeShade="00" w:shadow="1" w:frame="1"/>
          </w:pgBorders>
          <w:pgNumType w:fmt="lowerRoman" w:start="1"/>
          <w:cols w:space="708"/>
          <w:docGrid w:linePitch="360"/>
        </w:sectPr>
      </w:pPr>
    </w:p>
    <w:p w14:paraId="381B01BF" w14:textId="77777777" w:rsidR="00562917" w:rsidRPr="00B5353D" w:rsidRDefault="00562917" w:rsidP="00D20A1E">
      <w:pPr>
        <w:pStyle w:val="Heading1"/>
        <w:widowControl/>
        <w:jc w:val="center"/>
        <w:rPr>
          <w:b w:val="0"/>
          <w:sz w:val="32"/>
        </w:rPr>
      </w:pPr>
      <w:bookmarkStart w:id="5" w:name="_Toc427672144"/>
      <w:bookmarkStart w:id="6" w:name="_Toc427678210"/>
      <w:r w:rsidRPr="00B5353D">
        <w:rPr>
          <w:b w:val="0"/>
          <w:sz w:val="32"/>
        </w:rPr>
        <w:lastRenderedPageBreak/>
        <w:t xml:space="preserve">Table of </w:t>
      </w:r>
      <w:r w:rsidR="00456B54" w:rsidRPr="00B5353D">
        <w:rPr>
          <w:b w:val="0"/>
          <w:sz w:val="32"/>
        </w:rPr>
        <w:t>C</w:t>
      </w:r>
      <w:r w:rsidRPr="00B5353D">
        <w:rPr>
          <w:b w:val="0"/>
          <w:sz w:val="32"/>
        </w:rPr>
        <w:t>ontents</w:t>
      </w:r>
      <w:bookmarkEnd w:id="5"/>
      <w:bookmarkEnd w:id="6"/>
    </w:p>
    <w:p w14:paraId="02045DEE" w14:textId="0BD8A02F" w:rsidR="00EE1FB8" w:rsidRPr="00EE1FB8" w:rsidRDefault="00BF5AE0">
      <w:pPr>
        <w:pStyle w:val="TOC1"/>
        <w:tabs>
          <w:tab w:val="right" w:leader="dot" w:pos="9016"/>
        </w:tabs>
        <w:rPr>
          <w:rFonts w:ascii="Arial" w:eastAsiaTheme="minorEastAsia" w:hAnsi="Arial" w:cs="Arial"/>
          <w:b w:val="0"/>
          <w:bCs w:val="0"/>
          <w:caps w:val="0"/>
          <w:noProof/>
          <w:lang w:eastAsia="en-GB" w:bidi="ar-SA"/>
        </w:rPr>
      </w:pPr>
      <w:r>
        <w:rPr>
          <w:rFonts w:cstheme="minorHAnsi"/>
        </w:rPr>
        <w:fldChar w:fldCharType="begin"/>
      </w:r>
      <w:r>
        <w:instrText xml:space="preserve"> TOC \o "1-3" \h \z \u </w:instrText>
      </w:r>
      <w:r>
        <w:rPr>
          <w:rFonts w:cstheme="minorHAnsi"/>
        </w:rPr>
        <w:fldChar w:fldCharType="separate"/>
      </w:r>
      <w:hyperlink w:anchor="_Toc427678211" w:history="1">
        <w:r w:rsidR="00EE1FB8" w:rsidRPr="00EE1FB8">
          <w:rPr>
            <w:rStyle w:val="Hyperlink"/>
            <w:rFonts w:cs="Arial"/>
            <w:noProof/>
          </w:rPr>
          <w:t>Glossary of terms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_Toc427678211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3</w:t>
        </w:r>
        <w:r w:rsidR="00EE1FB8" w:rsidRPr="00EE1FB8">
          <w:rPr>
            <w:rFonts w:ascii="Arial" w:hAnsi="Arial" w:cs="Arial"/>
            <w:noProof/>
            <w:webHidden/>
          </w:rPr>
          <w:fldChar w:fldCharType="end"/>
        </w:r>
      </w:hyperlink>
    </w:p>
    <w:p w14:paraId="7C941B65" w14:textId="77777777" w:rsidR="00EE1FB8" w:rsidRPr="00EE1FB8" w:rsidRDefault="00E13B53">
      <w:pPr>
        <w:pStyle w:val="TOC1"/>
        <w:tabs>
          <w:tab w:val="left" w:pos="440"/>
          <w:tab w:val="right" w:leader="dot" w:pos="9016"/>
        </w:tabs>
        <w:rPr>
          <w:rFonts w:ascii="Arial" w:eastAsiaTheme="minorEastAsia" w:hAnsi="Arial" w:cs="Arial"/>
          <w:b w:val="0"/>
          <w:bCs w:val="0"/>
          <w:caps w:val="0"/>
          <w:noProof/>
          <w:lang w:eastAsia="en-GB" w:bidi="ar-SA"/>
        </w:rPr>
      </w:pPr>
      <w:hyperlink w:anchor="_Toc427678212" w:history="1">
        <w:r w:rsidR="00EE1FB8" w:rsidRPr="00EE1FB8">
          <w:rPr>
            <w:rStyle w:val="Hyperlink"/>
            <w:rFonts w:cs="Arial"/>
            <w:noProof/>
          </w:rPr>
          <w:t>1</w:t>
        </w:r>
        <w:r w:rsidR="00EE1FB8" w:rsidRPr="00EE1FB8">
          <w:rPr>
            <w:rFonts w:ascii="Arial" w:eastAsiaTheme="minorEastAsia" w:hAnsi="Arial" w:cs="Arial"/>
            <w:b w:val="0"/>
            <w:bCs w:val="0"/>
            <w:caps w:val="0"/>
            <w:noProof/>
            <w:lang w:eastAsia="en-GB" w:bidi="ar-SA"/>
          </w:rPr>
          <w:tab/>
        </w:r>
        <w:r w:rsidR="00EE1FB8" w:rsidRPr="00EE1FB8">
          <w:rPr>
            <w:rStyle w:val="Hyperlink"/>
            <w:rFonts w:cs="Arial"/>
            <w:noProof/>
          </w:rPr>
          <w:t>Objectives of the assessment</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_Toc427678212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5</w:t>
        </w:r>
        <w:r w:rsidR="00EE1FB8" w:rsidRPr="00EE1FB8">
          <w:rPr>
            <w:rFonts w:ascii="Arial" w:hAnsi="Arial" w:cs="Arial"/>
            <w:noProof/>
            <w:webHidden/>
          </w:rPr>
          <w:fldChar w:fldCharType="end"/>
        </w:r>
      </w:hyperlink>
    </w:p>
    <w:p w14:paraId="58EBEAC7"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13" w:history="1">
        <w:r w:rsidR="00EE1FB8" w:rsidRPr="00EE1FB8">
          <w:rPr>
            <w:rStyle w:val="Hyperlink"/>
            <w:rFonts w:cs="Arial"/>
            <w:noProof/>
          </w:rPr>
          <w:t>1.1</w:t>
        </w:r>
        <w:r w:rsidR="00EE1FB8" w:rsidRPr="00EE1FB8">
          <w:rPr>
            <w:rFonts w:ascii="Arial" w:eastAsiaTheme="minorEastAsia" w:hAnsi="Arial" w:cs="Arial"/>
            <w:smallCaps w:val="0"/>
            <w:noProof/>
            <w:lang w:eastAsia="en-GB" w:bidi="ar-SA"/>
          </w:rPr>
          <w:tab/>
        </w:r>
        <w:r w:rsidR="00EE1FB8" w:rsidRPr="00EE1FB8">
          <w:rPr>
            <w:rStyle w:val="Hyperlink"/>
            <w:rFonts w:cs="Arial"/>
            <w:noProof/>
          </w:rPr>
          <w:t>Introduction</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_Toc427678213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5</w:t>
        </w:r>
        <w:r w:rsidR="00EE1FB8" w:rsidRPr="00EE1FB8">
          <w:rPr>
            <w:rFonts w:ascii="Arial" w:hAnsi="Arial" w:cs="Arial"/>
            <w:noProof/>
            <w:webHidden/>
          </w:rPr>
          <w:fldChar w:fldCharType="end"/>
        </w:r>
      </w:hyperlink>
    </w:p>
    <w:p w14:paraId="6D9AB313"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14" w:history="1">
        <w:r w:rsidR="00EE1FB8" w:rsidRPr="00EE1FB8">
          <w:rPr>
            <w:rStyle w:val="Hyperlink"/>
            <w:rFonts w:cs="Arial"/>
            <w:noProof/>
          </w:rPr>
          <w:t>1.2</w:t>
        </w:r>
        <w:r w:rsidR="00EE1FB8" w:rsidRPr="00EE1FB8">
          <w:rPr>
            <w:rFonts w:ascii="Arial" w:eastAsiaTheme="minorEastAsia" w:hAnsi="Arial" w:cs="Arial"/>
            <w:smallCaps w:val="0"/>
            <w:noProof/>
            <w:lang w:eastAsia="en-GB" w:bidi="ar-SA"/>
          </w:rPr>
          <w:tab/>
        </w:r>
        <w:r w:rsidR="00EE1FB8" w:rsidRPr="00EE1FB8">
          <w:rPr>
            <w:rStyle w:val="Hyperlink"/>
            <w:rFonts w:cs="Arial"/>
            <w:noProof/>
          </w:rPr>
          <w:t>Scope of this assessment</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_Toc427678214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5</w:t>
        </w:r>
        <w:r w:rsidR="00EE1FB8" w:rsidRPr="00EE1FB8">
          <w:rPr>
            <w:rFonts w:ascii="Arial" w:hAnsi="Arial" w:cs="Arial"/>
            <w:noProof/>
            <w:webHidden/>
          </w:rPr>
          <w:fldChar w:fldCharType="end"/>
        </w:r>
      </w:hyperlink>
    </w:p>
    <w:p w14:paraId="62D4D77C"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15" w:history="1">
        <w:r w:rsidR="00EE1FB8" w:rsidRPr="00EE1FB8">
          <w:rPr>
            <w:rStyle w:val="Hyperlink"/>
            <w:rFonts w:cs="Arial"/>
            <w:noProof/>
          </w:rPr>
          <w:t>1.3</w:t>
        </w:r>
        <w:r w:rsidR="00EE1FB8" w:rsidRPr="00EE1FB8">
          <w:rPr>
            <w:rFonts w:ascii="Arial" w:eastAsiaTheme="minorEastAsia" w:hAnsi="Arial" w:cs="Arial"/>
            <w:smallCaps w:val="0"/>
            <w:noProof/>
            <w:lang w:eastAsia="en-GB" w:bidi="ar-SA"/>
          </w:rPr>
          <w:tab/>
        </w:r>
        <w:r w:rsidR="00EE1FB8" w:rsidRPr="00EE1FB8">
          <w:rPr>
            <w:rStyle w:val="Hyperlink"/>
            <w:rFonts w:cs="Arial"/>
            <w:noProof/>
          </w:rPr>
          <w:t>Risk assessment questions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_Toc427678215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6</w:t>
        </w:r>
        <w:r w:rsidR="00EE1FB8" w:rsidRPr="00EE1FB8">
          <w:rPr>
            <w:rFonts w:ascii="Arial" w:hAnsi="Arial" w:cs="Arial"/>
            <w:noProof/>
            <w:webHidden/>
          </w:rPr>
          <w:fldChar w:fldCharType="end"/>
        </w:r>
      </w:hyperlink>
    </w:p>
    <w:p w14:paraId="1A5BAC5B" w14:textId="77777777" w:rsidR="00EE1FB8" w:rsidRPr="00EE1FB8" w:rsidRDefault="00E13B53">
      <w:pPr>
        <w:pStyle w:val="TOC3"/>
        <w:tabs>
          <w:tab w:val="left" w:pos="1100"/>
          <w:tab w:val="right" w:leader="dot" w:pos="9016"/>
        </w:tabs>
        <w:rPr>
          <w:rFonts w:ascii="Arial" w:eastAsiaTheme="minorEastAsia" w:hAnsi="Arial" w:cs="Arial"/>
          <w:i w:val="0"/>
          <w:iCs w:val="0"/>
          <w:noProof/>
          <w:lang w:eastAsia="en-GB" w:bidi="ar-SA"/>
        </w:rPr>
      </w:pPr>
      <w:hyperlink w:anchor="_Toc427678216" w:history="1">
        <w:r w:rsidR="00EE1FB8" w:rsidRPr="00EE1FB8">
          <w:rPr>
            <w:rStyle w:val="Hyperlink"/>
            <w:rFonts w:cs="Arial"/>
            <w:noProof/>
          </w:rPr>
          <w:t>1.3.1</w:t>
        </w:r>
        <w:r w:rsidR="00EE1FB8" w:rsidRPr="00EE1FB8">
          <w:rPr>
            <w:rFonts w:ascii="Arial" w:eastAsiaTheme="minorEastAsia" w:hAnsi="Arial" w:cs="Arial"/>
            <w:i w:val="0"/>
            <w:iCs w:val="0"/>
            <w:noProof/>
            <w:lang w:eastAsia="en-GB" w:bidi="ar-SA"/>
          </w:rPr>
          <w:tab/>
        </w:r>
        <w:r w:rsidR="00EE1FB8" w:rsidRPr="00EE1FB8">
          <w:rPr>
            <w:rStyle w:val="Hyperlink"/>
            <w:rFonts w:cs="Arial"/>
            <w:noProof/>
          </w:rPr>
          <w:t>Consumption patterns and market share</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_Toc427678216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6</w:t>
        </w:r>
        <w:r w:rsidR="00EE1FB8" w:rsidRPr="00EE1FB8">
          <w:rPr>
            <w:rFonts w:ascii="Arial" w:hAnsi="Arial" w:cs="Arial"/>
            <w:noProof/>
            <w:webHidden/>
          </w:rPr>
          <w:fldChar w:fldCharType="end"/>
        </w:r>
      </w:hyperlink>
    </w:p>
    <w:p w14:paraId="49EFDFA6" w14:textId="77777777" w:rsidR="00EE1FB8" w:rsidRPr="00EE1FB8" w:rsidRDefault="00E13B53">
      <w:pPr>
        <w:pStyle w:val="TOC3"/>
        <w:tabs>
          <w:tab w:val="left" w:pos="1100"/>
          <w:tab w:val="right" w:leader="dot" w:pos="9016"/>
        </w:tabs>
        <w:rPr>
          <w:rFonts w:ascii="Arial" w:eastAsiaTheme="minorEastAsia" w:hAnsi="Arial" w:cs="Arial"/>
          <w:i w:val="0"/>
          <w:iCs w:val="0"/>
          <w:noProof/>
          <w:lang w:eastAsia="en-GB" w:bidi="ar-SA"/>
        </w:rPr>
      </w:pPr>
      <w:hyperlink w:anchor="_Toc427678217" w:history="1">
        <w:r w:rsidR="00EE1FB8" w:rsidRPr="00EE1FB8">
          <w:rPr>
            <w:rStyle w:val="Hyperlink"/>
            <w:rFonts w:cs="Arial"/>
            <w:noProof/>
          </w:rPr>
          <w:t>1.3.2</w:t>
        </w:r>
        <w:r w:rsidR="00EE1FB8" w:rsidRPr="00EE1FB8">
          <w:rPr>
            <w:rFonts w:ascii="Arial" w:eastAsiaTheme="minorEastAsia" w:hAnsi="Arial" w:cs="Arial"/>
            <w:i w:val="0"/>
            <w:iCs w:val="0"/>
            <w:noProof/>
            <w:lang w:eastAsia="en-GB" w:bidi="ar-SA"/>
          </w:rPr>
          <w:tab/>
        </w:r>
        <w:r w:rsidR="00EE1FB8" w:rsidRPr="00EE1FB8">
          <w:rPr>
            <w:rStyle w:val="Hyperlink"/>
            <w:rFonts w:cs="Arial"/>
            <w:noProof/>
          </w:rPr>
          <w:t>Consumer perceptions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_Toc427678217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6</w:t>
        </w:r>
        <w:r w:rsidR="00EE1FB8" w:rsidRPr="00EE1FB8">
          <w:rPr>
            <w:rFonts w:ascii="Arial" w:hAnsi="Arial" w:cs="Arial"/>
            <w:noProof/>
            <w:webHidden/>
          </w:rPr>
          <w:fldChar w:fldCharType="end"/>
        </w:r>
      </w:hyperlink>
    </w:p>
    <w:p w14:paraId="1263ACD0" w14:textId="77777777" w:rsidR="00EE1FB8" w:rsidRPr="00EE1FB8" w:rsidRDefault="00E13B53">
      <w:pPr>
        <w:pStyle w:val="TOC3"/>
        <w:tabs>
          <w:tab w:val="left" w:pos="1100"/>
          <w:tab w:val="right" w:leader="dot" w:pos="9016"/>
        </w:tabs>
        <w:rPr>
          <w:rFonts w:ascii="Arial" w:eastAsiaTheme="minorEastAsia" w:hAnsi="Arial" w:cs="Arial"/>
          <w:i w:val="0"/>
          <w:iCs w:val="0"/>
          <w:noProof/>
          <w:lang w:eastAsia="en-GB" w:bidi="ar-SA"/>
        </w:rPr>
      </w:pPr>
      <w:hyperlink w:anchor="_Toc427678218" w:history="1">
        <w:r w:rsidR="00EE1FB8" w:rsidRPr="00EE1FB8">
          <w:rPr>
            <w:rStyle w:val="Hyperlink"/>
            <w:rFonts w:cs="Arial"/>
            <w:noProof/>
          </w:rPr>
          <w:t>1.3.3</w:t>
        </w:r>
        <w:r w:rsidR="00EE1FB8" w:rsidRPr="00EE1FB8">
          <w:rPr>
            <w:rFonts w:ascii="Arial" w:eastAsiaTheme="minorEastAsia" w:hAnsi="Arial" w:cs="Arial"/>
            <w:i w:val="0"/>
            <w:iCs w:val="0"/>
            <w:noProof/>
            <w:lang w:eastAsia="en-GB" w:bidi="ar-SA"/>
          </w:rPr>
          <w:tab/>
        </w:r>
        <w:r w:rsidR="00EE1FB8" w:rsidRPr="00EE1FB8">
          <w:rPr>
            <w:rStyle w:val="Hyperlink"/>
            <w:rFonts w:cs="Arial"/>
            <w:noProof/>
          </w:rPr>
          <w:t>Effects of processing and storage on the added vitamins and minerals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_Toc427678218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6</w:t>
        </w:r>
        <w:r w:rsidR="00EE1FB8" w:rsidRPr="00EE1FB8">
          <w:rPr>
            <w:rFonts w:ascii="Arial" w:hAnsi="Arial" w:cs="Arial"/>
            <w:noProof/>
            <w:webHidden/>
          </w:rPr>
          <w:fldChar w:fldCharType="end"/>
        </w:r>
      </w:hyperlink>
    </w:p>
    <w:p w14:paraId="14E9624F" w14:textId="77777777" w:rsidR="00EE1FB8" w:rsidRPr="00EE1FB8" w:rsidRDefault="00E13B53">
      <w:pPr>
        <w:pStyle w:val="TOC3"/>
        <w:tabs>
          <w:tab w:val="left" w:pos="1100"/>
          <w:tab w:val="right" w:leader="dot" w:pos="9016"/>
        </w:tabs>
        <w:rPr>
          <w:rFonts w:ascii="Arial" w:eastAsiaTheme="minorEastAsia" w:hAnsi="Arial" w:cs="Arial"/>
          <w:i w:val="0"/>
          <w:iCs w:val="0"/>
          <w:noProof/>
          <w:lang w:eastAsia="en-GB" w:bidi="ar-SA"/>
        </w:rPr>
      </w:pPr>
      <w:hyperlink w:anchor="_Toc427678219" w:history="1">
        <w:r w:rsidR="00EE1FB8" w:rsidRPr="00EE1FB8">
          <w:rPr>
            <w:rStyle w:val="Hyperlink"/>
            <w:rFonts w:cs="Arial"/>
            <w:noProof/>
          </w:rPr>
          <w:t>1.3.4</w:t>
        </w:r>
        <w:r w:rsidR="00EE1FB8" w:rsidRPr="00EE1FB8">
          <w:rPr>
            <w:rFonts w:ascii="Arial" w:eastAsiaTheme="minorEastAsia" w:hAnsi="Arial" w:cs="Arial"/>
            <w:i w:val="0"/>
            <w:iCs w:val="0"/>
            <w:noProof/>
            <w:lang w:eastAsia="en-GB" w:bidi="ar-SA"/>
          </w:rPr>
          <w:tab/>
        </w:r>
        <w:r w:rsidR="00EE1FB8" w:rsidRPr="00EE1FB8">
          <w:rPr>
            <w:rStyle w:val="Hyperlink"/>
            <w:rFonts w:cs="Arial"/>
            <w:noProof/>
          </w:rPr>
          <w:t>Bioavailability of the added vitamins and minerals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_Toc427678219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6</w:t>
        </w:r>
        <w:r w:rsidR="00EE1FB8" w:rsidRPr="00EE1FB8">
          <w:rPr>
            <w:rFonts w:ascii="Arial" w:hAnsi="Arial" w:cs="Arial"/>
            <w:noProof/>
            <w:webHidden/>
          </w:rPr>
          <w:fldChar w:fldCharType="end"/>
        </w:r>
      </w:hyperlink>
    </w:p>
    <w:p w14:paraId="586D33C2" w14:textId="77777777" w:rsidR="00EE1FB8" w:rsidRPr="00EE1FB8" w:rsidRDefault="00E13B53">
      <w:pPr>
        <w:pStyle w:val="TOC3"/>
        <w:tabs>
          <w:tab w:val="left" w:pos="1100"/>
          <w:tab w:val="right" w:leader="dot" w:pos="9016"/>
        </w:tabs>
        <w:rPr>
          <w:rFonts w:ascii="Arial" w:eastAsiaTheme="minorEastAsia" w:hAnsi="Arial" w:cs="Arial"/>
          <w:i w:val="0"/>
          <w:iCs w:val="0"/>
          <w:noProof/>
          <w:lang w:eastAsia="en-GB" w:bidi="ar-SA"/>
        </w:rPr>
      </w:pPr>
      <w:hyperlink w:anchor="_Toc427678220" w:history="1">
        <w:r w:rsidR="00EE1FB8" w:rsidRPr="00EE1FB8">
          <w:rPr>
            <w:rStyle w:val="Hyperlink"/>
            <w:rFonts w:cs="Arial"/>
            <w:noProof/>
          </w:rPr>
          <w:t>1.3.5</w:t>
        </w:r>
        <w:r w:rsidR="00EE1FB8" w:rsidRPr="00EE1FB8">
          <w:rPr>
            <w:rFonts w:ascii="Arial" w:eastAsiaTheme="minorEastAsia" w:hAnsi="Arial" w:cs="Arial"/>
            <w:i w:val="0"/>
            <w:iCs w:val="0"/>
            <w:noProof/>
            <w:lang w:eastAsia="en-GB" w:bidi="ar-SA"/>
          </w:rPr>
          <w:tab/>
        </w:r>
        <w:r w:rsidR="00EE1FB8" w:rsidRPr="00EE1FB8">
          <w:rPr>
            <w:rStyle w:val="Hyperlink"/>
            <w:rFonts w:cs="Arial"/>
            <w:noProof/>
          </w:rPr>
          <w:t>Dietary intakes of the requested vitamins and minerals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_Toc427678220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6</w:t>
        </w:r>
        <w:r w:rsidR="00EE1FB8" w:rsidRPr="00EE1FB8">
          <w:rPr>
            <w:rFonts w:ascii="Arial" w:hAnsi="Arial" w:cs="Arial"/>
            <w:noProof/>
            <w:webHidden/>
          </w:rPr>
          <w:fldChar w:fldCharType="end"/>
        </w:r>
      </w:hyperlink>
    </w:p>
    <w:p w14:paraId="7067891E" w14:textId="77777777" w:rsidR="00EE1FB8" w:rsidRPr="00EE1FB8" w:rsidRDefault="00E13B53">
      <w:pPr>
        <w:pStyle w:val="TOC1"/>
        <w:tabs>
          <w:tab w:val="left" w:pos="440"/>
          <w:tab w:val="right" w:leader="dot" w:pos="9016"/>
        </w:tabs>
        <w:rPr>
          <w:rFonts w:ascii="Arial" w:eastAsiaTheme="minorEastAsia" w:hAnsi="Arial" w:cs="Arial"/>
          <w:b w:val="0"/>
          <w:bCs w:val="0"/>
          <w:caps w:val="0"/>
          <w:noProof/>
          <w:lang w:eastAsia="en-GB" w:bidi="ar-SA"/>
        </w:rPr>
      </w:pPr>
      <w:hyperlink w:anchor="_Toc427678221" w:history="1">
        <w:r w:rsidR="00EE1FB8" w:rsidRPr="00EE1FB8">
          <w:rPr>
            <w:rStyle w:val="Hyperlink"/>
            <w:rFonts w:cs="Arial"/>
            <w:noProof/>
          </w:rPr>
          <w:t>2</w:t>
        </w:r>
        <w:r w:rsidR="00EE1FB8" w:rsidRPr="00EE1FB8">
          <w:rPr>
            <w:rFonts w:ascii="Arial" w:eastAsiaTheme="minorEastAsia" w:hAnsi="Arial" w:cs="Arial"/>
            <w:b w:val="0"/>
            <w:bCs w:val="0"/>
            <w:caps w:val="0"/>
            <w:noProof/>
            <w:lang w:eastAsia="en-GB" w:bidi="ar-SA"/>
          </w:rPr>
          <w:tab/>
        </w:r>
        <w:r w:rsidR="00EE1FB8" w:rsidRPr="00EE1FB8">
          <w:rPr>
            <w:rStyle w:val="Hyperlink"/>
            <w:rFonts w:cs="Arial"/>
            <w:noProof/>
          </w:rPr>
          <w:t>Market share of nut-, seed- and other plant-based milk substitutes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_Toc427678221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6</w:t>
        </w:r>
        <w:r w:rsidR="00EE1FB8" w:rsidRPr="00EE1FB8">
          <w:rPr>
            <w:rFonts w:ascii="Arial" w:hAnsi="Arial" w:cs="Arial"/>
            <w:noProof/>
            <w:webHidden/>
          </w:rPr>
          <w:fldChar w:fldCharType="end"/>
        </w:r>
      </w:hyperlink>
    </w:p>
    <w:p w14:paraId="4F043677" w14:textId="77777777" w:rsidR="00EE1FB8" w:rsidRPr="00EE1FB8" w:rsidRDefault="00E13B53">
      <w:pPr>
        <w:pStyle w:val="TOC1"/>
        <w:tabs>
          <w:tab w:val="left" w:pos="440"/>
          <w:tab w:val="right" w:leader="dot" w:pos="9016"/>
        </w:tabs>
        <w:rPr>
          <w:rFonts w:ascii="Arial" w:eastAsiaTheme="minorEastAsia" w:hAnsi="Arial" w:cs="Arial"/>
          <w:b w:val="0"/>
          <w:bCs w:val="0"/>
          <w:caps w:val="0"/>
          <w:noProof/>
          <w:lang w:eastAsia="en-GB" w:bidi="ar-SA"/>
        </w:rPr>
      </w:pPr>
      <w:hyperlink w:anchor="_Toc427678222" w:history="1">
        <w:r w:rsidR="00EE1FB8" w:rsidRPr="00EE1FB8">
          <w:rPr>
            <w:rStyle w:val="Hyperlink"/>
            <w:rFonts w:cs="Arial"/>
            <w:noProof/>
          </w:rPr>
          <w:t>3</w:t>
        </w:r>
        <w:r w:rsidR="00EE1FB8" w:rsidRPr="00EE1FB8">
          <w:rPr>
            <w:rFonts w:ascii="Arial" w:eastAsiaTheme="minorEastAsia" w:hAnsi="Arial" w:cs="Arial"/>
            <w:b w:val="0"/>
            <w:bCs w:val="0"/>
            <w:caps w:val="0"/>
            <w:noProof/>
            <w:lang w:eastAsia="en-GB" w:bidi="ar-SA"/>
          </w:rPr>
          <w:tab/>
        </w:r>
        <w:r w:rsidR="00EE1FB8" w:rsidRPr="00EE1FB8">
          <w:rPr>
            <w:rStyle w:val="Hyperlink"/>
            <w:rFonts w:cs="Arial"/>
            <w:noProof/>
          </w:rPr>
          <w:t>Consumption of nut- and seed-based beverages and other plant-based milk substitutes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_Toc427678222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7</w:t>
        </w:r>
        <w:r w:rsidR="00EE1FB8" w:rsidRPr="00EE1FB8">
          <w:rPr>
            <w:rFonts w:ascii="Arial" w:hAnsi="Arial" w:cs="Arial"/>
            <w:noProof/>
            <w:webHidden/>
          </w:rPr>
          <w:fldChar w:fldCharType="end"/>
        </w:r>
      </w:hyperlink>
    </w:p>
    <w:p w14:paraId="6FAA42BA"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23" w:history="1">
        <w:r w:rsidR="00EE1FB8" w:rsidRPr="00EE1FB8">
          <w:rPr>
            <w:rStyle w:val="Hyperlink"/>
            <w:rFonts w:cs="Arial"/>
            <w:noProof/>
          </w:rPr>
          <w:t>3.1</w:t>
        </w:r>
        <w:r w:rsidR="00EE1FB8" w:rsidRPr="00EE1FB8">
          <w:rPr>
            <w:rFonts w:ascii="Arial" w:eastAsiaTheme="minorEastAsia" w:hAnsi="Arial" w:cs="Arial"/>
            <w:smallCaps w:val="0"/>
            <w:noProof/>
            <w:lang w:eastAsia="en-GB" w:bidi="ar-SA"/>
          </w:rPr>
          <w:tab/>
        </w:r>
        <w:r w:rsidR="00EE1FB8" w:rsidRPr="00EE1FB8">
          <w:rPr>
            <w:rStyle w:val="Hyperlink"/>
            <w:rFonts w:cs="Arial"/>
            <w:noProof/>
          </w:rPr>
          <w:t>Nutrition survey data used for the risk assessment</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_Toc427678223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7</w:t>
        </w:r>
        <w:r w:rsidR="00EE1FB8" w:rsidRPr="00EE1FB8">
          <w:rPr>
            <w:rFonts w:ascii="Arial" w:hAnsi="Arial" w:cs="Arial"/>
            <w:noProof/>
            <w:webHidden/>
          </w:rPr>
          <w:fldChar w:fldCharType="end"/>
        </w:r>
      </w:hyperlink>
    </w:p>
    <w:p w14:paraId="71CECF0E"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24" w:history="1">
        <w:r w:rsidR="00EE1FB8" w:rsidRPr="00EE1FB8">
          <w:rPr>
            <w:rStyle w:val="Hyperlink"/>
            <w:rFonts w:cs="Arial"/>
            <w:noProof/>
          </w:rPr>
          <w:t>3.2</w:t>
        </w:r>
        <w:r w:rsidR="00EE1FB8" w:rsidRPr="00EE1FB8">
          <w:rPr>
            <w:rFonts w:ascii="Arial" w:eastAsiaTheme="minorEastAsia" w:hAnsi="Arial" w:cs="Arial"/>
            <w:smallCaps w:val="0"/>
            <w:noProof/>
            <w:lang w:eastAsia="en-GB" w:bidi="ar-SA"/>
          </w:rPr>
          <w:tab/>
        </w:r>
        <w:r w:rsidR="00EE1FB8" w:rsidRPr="00EE1FB8">
          <w:rPr>
            <w:rStyle w:val="Hyperlink"/>
            <w:rFonts w:cs="Arial"/>
            <w:noProof/>
          </w:rPr>
          <w:t>Proportion of the Australian and New Zealand populations consuming plant-based milk substitutes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_Toc427678224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8</w:t>
        </w:r>
        <w:r w:rsidR="00EE1FB8" w:rsidRPr="00EE1FB8">
          <w:rPr>
            <w:rFonts w:ascii="Arial" w:hAnsi="Arial" w:cs="Arial"/>
            <w:noProof/>
            <w:webHidden/>
          </w:rPr>
          <w:fldChar w:fldCharType="end"/>
        </w:r>
      </w:hyperlink>
    </w:p>
    <w:p w14:paraId="25EA4519"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25" w:history="1">
        <w:r w:rsidR="00EE1FB8" w:rsidRPr="00EE1FB8">
          <w:rPr>
            <w:rStyle w:val="Hyperlink"/>
            <w:rFonts w:cs="Arial"/>
            <w:noProof/>
          </w:rPr>
          <w:t>3.3</w:t>
        </w:r>
        <w:r w:rsidR="00EE1FB8" w:rsidRPr="00EE1FB8">
          <w:rPr>
            <w:rFonts w:ascii="Arial" w:eastAsiaTheme="minorEastAsia" w:hAnsi="Arial" w:cs="Arial"/>
            <w:smallCaps w:val="0"/>
            <w:noProof/>
            <w:lang w:eastAsia="en-GB" w:bidi="ar-SA"/>
          </w:rPr>
          <w:tab/>
        </w:r>
        <w:r w:rsidR="00EE1FB8" w:rsidRPr="00EE1FB8">
          <w:rPr>
            <w:rStyle w:val="Hyperlink"/>
            <w:rFonts w:cs="Arial"/>
            <w:noProof/>
          </w:rPr>
          <w:t>How nut-based beverages and other plant-based milk substitutes are consumed</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_Toc427678225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11</w:t>
        </w:r>
        <w:r w:rsidR="00EE1FB8" w:rsidRPr="00EE1FB8">
          <w:rPr>
            <w:rFonts w:ascii="Arial" w:hAnsi="Arial" w:cs="Arial"/>
            <w:noProof/>
            <w:webHidden/>
          </w:rPr>
          <w:fldChar w:fldCharType="end"/>
        </w:r>
      </w:hyperlink>
    </w:p>
    <w:p w14:paraId="2769910C" w14:textId="77777777" w:rsidR="00EE1FB8" w:rsidRPr="00EE1FB8" w:rsidRDefault="00E13B53">
      <w:pPr>
        <w:pStyle w:val="TOC1"/>
        <w:tabs>
          <w:tab w:val="left" w:pos="440"/>
          <w:tab w:val="right" w:leader="dot" w:pos="9016"/>
        </w:tabs>
        <w:rPr>
          <w:rFonts w:ascii="Arial" w:eastAsiaTheme="minorEastAsia" w:hAnsi="Arial" w:cs="Arial"/>
          <w:b w:val="0"/>
          <w:bCs w:val="0"/>
          <w:caps w:val="0"/>
          <w:noProof/>
          <w:lang w:eastAsia="en-GB" w:bidi="ar-SA"/>
        </w:rPr>
      </w:pPr>
      <w:hyperlink w:anchor="_Toc427678226" w:history="1">
        <w:r w:rsidR="00EE1FB8" w:rsidRPr="00EE1FB8">
          <w:rPr>
            <w:rStyle w:val="Hyperlink"/>
            <w:rFonts w:cs="Arial"/>
            <w:noProof/>
          </w:rPr>
          <w:t>4</w:t>
        </w:r>
        <w:r w:rsidR="00EE1FB8" w:rsidRPr="00EE1FB8">
          <w:rPr>
            <w:rFonts w:ascii="Arial" w:eastAsiaTheme="minorEastAsia" w:hAnsi="Arial" w:cs="Arial"/>
            <w:b w:val="0"/>
            <w:bCs w:val="0"/>
            <w:caps w:val="0"/>
            <w:noProof/>
            <w:lang w:eastAsia="en-GB" w:bidi="ar-SA"/>
          </w:rPr>
          <w:tab/>
        </w:r>
        <w:r w:rsidR="00EE1FB8" w:rsidRPr="00EE1FB8">
          <w:rPr>
            <w:rStyle w:val="Hyperlink"/>
            <w:rFonts w:cs="Arial"/>
            <w:noProof/>
          </w:rPr>
          <w:t>Consumer perceptions of nut-and seed-based beverages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_Toc427678226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11</w:t>
        </w:r>
        <w:r w:rsidR="00EE1FB8" w:rsidRPr="00EE1FB8">
          <w:rPr>
            <w:rFonts w:ascii="Arial" w:hAnsi="Arial" w:cs="Arial"/>
            <w:noProof/>
            <w:webHidden/>
          </w:rPr>
          <w:fldChar w:fldCharType="end"/>
        </w:r>
      </w:hyperlink>
    </w:p>
    <w:p w14:paraId="17EE3F58"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27" w:history="1">
        <w:r w:rsidR="00EE1FB8" w:rsidRPr="00EE1FB8">
          <w:rPr>
            <w:rStyle w:val="Hyperlink"/>
            <w:rFonts w:cs="Arial"/>
            <w:noProof/>
          </w:rPr>
          <w:t>4.1</w:t>
        </w:r>
        <w:r w:rsidR="00EE1FB8" w:rsidRPr="00EE1FB8">
          <w:rPr>
            <w:rFonts w:ascii="Arial" w:eastAsiaTheme="minorEastAsia" w:hAnsi="Arial" w:cs="Arial"/>
            <w:smallCaps w:val="0"/>
            <w:noProof/>
            <w:lang w:eastAsia="en-GB" w:bidi="ar-SA"/>
          </w:rPr>
          <w:tab/>
        </w:r>
        <w:r w:rsidR="00EE1FB8" w:rsidRPr="00EE1FB8">
          <w:rPr>
            <w:rStyle w:val="Hyperlink"/>
            <w:rFonts w:cs="Arial"/>
            <w:noProof/>
          </w:rPr>
          <w:t>Literature search overview</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_Toc427678227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11</w:t>
        </w:r>
        <w:r w:rsidR="00EE1FB8" w:rsidRPr="00EE1FB8">
          <w:rPr>
            <w:rFonts w:ascii="Arial" w:hAnsi="Arial" w:cs="Arial"/>
            <w:noProof/>
            <w:webHidden/>
          </w:rPr>
          <w:fldChar w:fldCharType="end"/>
        </w:r>
      </w:hyperlink>
    </w:p>
    <w:p w14:paraId="2A00DF79"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28" w:history="1">
        <w:r w:rsidR="00EE1FB8" w:rsidRPr="00EE1FB8">
          <w:rPr>
            <w:rStyle w:val="Hyperlink"/>
            <w:rFonts w:cs="Arial"/>
            <w:noProof/>
          </w:rPr>
          <w:t>4.2</w:t>
        </w:r>
        <w:r w:rsidR="00EE1FB8" w:rsidRPr="00EE1FB8">
          <w:rPr>
            <w:rFonts w:ascii="Arial" w:eastAsiaTheme="minorEastAsia" w:hAnsi="Arial" w:cs="Arial"/>
            <w:smallCaps w:val="0"/>
            <w:noProof/>
            <w:lang w:eastAsia="en-GB" w:bidi="ar-SA"/>
          </w:rPr>
          <w:tab/>
        </w:r>
        <w:r w:rsidR="00EE1FB8" w:rsidRPr="00EE1FB8">
          <w:rPr>
            <w:rStyle w:val="Hyperlink"/>
            <w:rFonts w:cs="Arial"/>
            <w:noProof/>
          </w:rPr>
          <w:t>What are consumer perceptions around nut- and seed-based beverages?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_Toc427678228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12</w:t>
        </w:r>
        <w:r w:rsidR="00EE1FB8" w:rsidRPr="00EE1FB8">
          <w:rPr>
            <w:rFonts w:ascii="Arial" w:hAnsi="Arial" w:cs="Arial"/>
            <w:noProof/>
            <w:webHidden/>
          </w:rPr>
          <w:fldChar w:fldCharType="end"/>
        </w:r>
      </w:hyperlink>
    </w:p>
    <w:p w14:paraId="7E89E9E3" w14:textId="77777777" w:rsidR="00EE1FB8" w:rsidRPr="00EE1FB8" w:rsidRDefault="00E13B53">
      <w:pPr>
        <w:pStyle w:val="TOC1"/>
        <w:tabs>
          <w:tab w:val="left" w:pos="440"/>
          <w:tab w:val="right" w:leader="dot" w:pos="9016"/>
        </w:tabs>
        <w:rPr>
          <w:rFonts w:ascii="Arial" w:eastAsiaTheme="minorEastAsia" w:hAnsi="Arial" w:cs="Arial"/>
          <w:b w:val="0"/>
          <w:bCs w:val="0"/>
          <w:caps w:val="0"/>
          <w:noProof/>
          <w:lang w:eastAsia="en-GB" w:bidi="ar-SA"/>
        </w:rPr>
      </w:pPr>
      <w:hyperlink w:anchor="_Toc427678229" w:history="1">
        <w:r w:rsidR="00EE1FB8" w:rsidRPr="00EE1FB8">
          <w:rPr>
            <w:rStyle w:val="Hyperlink"/>
            <w:rFonts w:cs="Arial"/>
            <w:noProof/>
          </w:rPr>
          <w:t>5</w:t>
        </w:r>
        <w:r w:rsidR="00EE1FB8" w:rsidRPr="00EE1FB8">
          <w:rPr>
            <w:rFonts w:ascii="Arial" w:eastAsiaTheme="minorEastAsia" w:hAnsi="Arial" w:cs="Arial"/>
            <w:b w:val="0"/>
            <w:bCs w:val="0"/>
            <w:caps w:val="0"/>
            <w:noProof/>
            <w:lang w:eastAsia="en-GB" w:bidi="ar-SA"/>
          </w:rPr>
          <w:tab/>
        </w:r>
        <w:r w:rsidR="00EE1FB8" w:rsidRPr="00EE1FB8">
          <w:rPr>
            <w:rStyle w:val="Hyperlink"/>
            <w:rFonts w:cs="Arial"/>
            <w:noProof/>
          </w:rPr>
          <w:t>Nutrient composition of nut- and seed-based beverages and other plant-based milk substitutes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_Toc427678229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12</w:t>
        </w:r>
        <w:r w:rsidR="00EE1FB8" w:rsidRPr="00EE1FB8">
          <w:rPr>
            <w:rFonts w:ascii="Arial" w:hAnsi="Arial" w:cs="Arial"/>
            <w:noProof/>
            <w:webHidden/>
          </w:rPr>
          <w:fldChar w:fldCharType="end"/>
        </w:r>
      </w:hyperlink>
    </w:p>
    <w:p w14:paraId="0BDEADDE"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30" w:history="1">
        <w:r w:rsidR="00EE1FB8" w:rsidRPr="00EE1FB8">
          <w:rPr>
            <w:rStyle w:val="Hyperlink"/>
            <w:rFonts w:cs="Arial"/>
            <w:noProof/>
          </w:rPr>
          <w:t>5.1</w:t>
        </w:r>
        <w:r w:rsidR="00EE1FB8" w:rsidRPr="00EE1FB8">
          <w:rPr>
            <w:rFonts w:ascii="Arial" w:eastAsiaTheme="minorEastAsia" w:hAnsi="Arial" w:cs="Arial"/>
            <w:smallCaps w:val="0"/>
            <w:noProof/>
            <w:lang w:eastAsia="en-GB" w:bidi="ar-SA"/>
          </w:rPr>
          <w:tab/>
        </w:r>
        <w:r w:rsidR="00EE1FB8" w:rsidRPr="00EE1FB8">
          <w:rPr>
            <w:rStyle w:val="Hyperlink"/>
            <w:rFonts w:cs="Arial"/>
            <w:noProof/>
          </w:rPr>
          <w:t>Comparison of vitamin, mineral and macronutrient concentrations in nut- and seed-based beverages currently on the market with full cream cow’s milk</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_Toc427678230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13</w:t>
        </w:r>
        <w:r w:rsidR="00EE1FB8" w:rsidRPr="00EE1FB8">
          <w:rPr>
            <w:rFonts w:ascii="Arial" w:hAnsi="Arial" w:cs="Arial"/>
            <w:noProof/>
            <w:webHidden/>
          </w:rPr>
          <w:fldChar w:fldCharType="end"/>
        </w:r>
      </w:hyperlink>
    </w:p>
    <w:p w14:paraId="78C0CF9F"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31" w:history="1">
        <w:r w:rsidR="00EE1FB8" w:rsidRPr="00EE1FB8">
          <w:rPr>
            <w:rStyle w:val="Hyperlink"/>
            <w:rFonts w:cs="Arial"/>
            <w:noProof/>
          </w:rPr>
          <w:t>5.2</w:t>
        </w:r>
        <w:r w:rsidR="00EE1FB8" w:rsidRPr="00EE1FB8">
          <w:rPr>
            <w:rFonts w:ascii="Arial" w:eastAsiaTheme="minorEastAsia" w:hAnsi="Arial" w:cs="Arial"/>
            <w:smallCaps w:val="0"/>
            <w:noProof/>
            <w:lang w:eastAsia="en-GB" w:bidi="ar-SA"/>
          </w:rPr>
          <w:tab/>
        </w:r>
        <w:r w:rsidR="00EE1FB8" w:rsidRPr="00EE1FB8">
          <w:rPr>
            <w:rStyle w:val="Hyperlink"/>
            <w:rFonts w:cs="Arial"/>
            <w:noProof/>
          </w:rPr>
          <w:t>Comparison of proposed levels of vitamin/mineral fortification of nut- and seed based beverages with full cream cow’s milk</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_Toc427678231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14</w:t>
        </w:r>
        <w:r w:rsidR="00EE1FB8" w:rsidRPr="00EE1FB8">
          <w:rPr>
            <w:rFonts w:ascii="Arial" w:hAnsi="Arial" w:cs="Arial"/>
            <w:noProof/>
            <w:webHidden/>
          </w:rPr>
          <w:fldChar w:fldCharType="end"/>
        </w:r>
      </w:hyperlink>
    </w:p>
    <w:p w14:paraId="17EA0CE3"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32" w:history="1">
        <w:r w:rsidR="00EE1FB8" w:rsidRPr="00EE1FB8">
          <w:rPr>
            <w:rStyle w:val="Hyperlink"/>
            <w:rFonts w:cs="Arial"/>
            <w:noProof/>
          </w:rPr>
          <w:t>5.3</w:t>
        </w:r>
        <w:r w:rsidR="00EE1FB8" w:rsidRPr="00EE1FB8">
          <w:rPr>
            <w:rFonts w:ascii="Arial" w:eastAsiaTheme="minorEastAsia" w:hAnsi="Arial" w:cs="Arial"/>
            <w:smallCaps w:val="0"/>
            <w:noProof/>
            <w:lang w:eastAsia="en-GB" w:bidi="ar-SA"/>
          </w:rPr>
          <w:tab/>
        </w:r>
        <w:r w:rsidR="00EE1FB8" w:rsidRPr="00EE1FB8">
          <w:rPr>
            <w:rStyle w:val="Hyperlink"/>
            <w:rFonts w:cs="Arial"/>
            <w:noProof/>
          </w:rPr>
          <w:t>Why are people purchasing and consuming the products?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_Toc427678232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16</w:t>
        </w:r>
        <w:r w:rsidR="00EE1FB8" w:rsidRPr="00EE1FB8">
          <w:rPr>
            <w:rFonts w:ascii="Arial" w:hAnsi="Arial" w:cs="Arial"/>
            <w:noProof/>
            <w:webHidden/>
          </w:rPr>
          <w:fldChar w:fldCharType="end"/>
        </w:r>
      </w:hyperlink>
    </w:p>
    <w:p w14:paraId="08FD1930" w14:textId="77777777" w:rsidR="00EE1FB8" w:rsidRPr="00EE1FB8" w:rsidRDefault="00E13B53">
      <w:pPr>
        <w:pStyle w:val="TOC1"/>
        <w:tabs>
          <w:tab w:val="left" w:pos="440"/>
          <w:tab w:val="right" w:leader="dot" w:pos="9016"/>
        </w:tabs>
        <w:rPr>
          <w:rFonts w:ascii="Arial" w:eastAsiaTheme="minorEastAsia" w:hAnsi="Arial" w:cs="Arial"/>
          <w:b w:val="0"/>
          <w:bCs w:val="0"/>
          <w:caps w:val="0"/>
          <w:noProof/>
          <w:lang w:eastAsia="en-GB" w:bidi="ar-SA"/>
        </w:rPr>
      </w:pPr>
      <w:hyperlink w:anchor="_Toc427678233" w:history="1">
        <w:r w:rsidR="00EE1FB8" w:rsidRPr="00EE1FB8">
          <w:rPr>
            <w:rStyle w:val="Hyperlink"/>
            <w:rFonts w:cs="Arial"/>
            <w:noProof/>
          </w:rPr>
          <w:t>6</w:t>
        </w:r>
        <w:r w:rsidR="00EE1FB8" w:rsidRPr="00EE1FB8">
          <w:rPr>
            <w:rFonts w:ascii="Arial" w:eastAsiaTheme="minorEastAsia" w:hAnsi="Arial" w:cs="Arial"/>
            <w:b w:val="0"/>
            <w:bCs w:val="0"/>
            <w:caps w:val="0"/>
            <w:noProof/>
            <w:lang w:eastAsia="en-GB" w:bidi="ar-SA"/>
          </w:rPr>
          <w:tab/>
        </w:r>
        <w:r w:rsidR="00EE1FB8" w:rsidRPr="00EE1FB8">
          <w:rPr>
            <w:rStyle w:val="Hyperlink"/>
            <w:rFonts w:cs="Arial"/>
            <w:noProof/>
          </w:rPr>
          <w:t>Food Technology Assessment</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_Toc427678233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16</w:t>
        </w:r>
        <w:r w:rsidR="00EE1FB8" w:rsidRPr="00EE1FB8">
          <w:rPr>
            <w:rFonts w:ascii="Arial" w:hAnsi="Arial" w:cs="Arial"/>
            <w:noProof/>
            <w:webHidden/>
          </w:rPr>
          <w:fldChar w:fldCharType="end"/>
        </w:r>
      </w:hyperlink>
    </w:p>
    <w:p w14:paraId="70BC0D2B"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34" w:history="1">
        <w:r w:rsidR="00EE1FB8" w:rsidRPr="00EE1FB8">
          <w:rPr>
            <w:rStyle w:val="Hyperlink"/>
            <w:rFonts w:cs="Arial"/>
            <w:noProof/>
          </w:rPr>
          <w:t>6.1</w:t>
        </w:r>
        <w:r w:rsidR="00EE1FB8" w:rsidRPr="00EE1FB8">
          <w:rPr>
            <w:rFonts w:ascii="Arial" w:eastAsiaTheme="minorEastAsia" w:hAnsi="Arial" w:cs="Arial"/>
            <w:smallCaps w:val="0"/>
            <w:noProof/>
            <w:lang w:eastAsia="en-GB" w:bidi="ar-SA"/>
          </w:rPr>
          <w:tab/>
        </w:r>
        <w:r w:rsidR="00EE1FB8" w:rsidRPr="00EE1FB8">
          <w:rPr>
            <w:rStyle w:val="Hyperlink"/>
            <w:rFonts w:cs="Arial"/>
            <w:noProof/>
          </w:rPr>
          <w:t>How are nut- and seed-based beverages produced?</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_Toc427678234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16</w:t>
        </w:r>
        <w:r w:rsidR="00EE1FB8" w:rsidRPr="00EE1FB8">
          <w:rPr>
            <w:rFonts w:ascii="Arial" w:hAnsi="Arial" w:cs="Arial"/>
            <w:noProof/>
            <w:webHidden/>
          </w:rPr>
          <w:fldChar w:fldCharType="end"/>
        </w:r>
      </w:hyperlink>
    </w:p>
    <w:p w14:paraId="79521671"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35" w:history="1">
        <w:r w:rsidR="00EE1FB8" w:rsidRPr="00EE1FB8">
          <w:rPr>
            <w:rStyle w:val="Hyperlink"/>
            <w:rFonts w:cs="Arial"/>
            <w:noProof/>
          </w:rPr>
          <w:t>6.2</w:t>
        </w:r>
        <w:r w:rsidR="00EE1FB8" w:rsidRPr="00EE1FB8">
          <w:rPr>
            <w:rFonts w:ascii="Arial" w:eastAsiaTheme="minorEastAsia" w:hAnsi="Arial" w:cs="Arial"/>
            <w:smallCaps w:val="0"/>
            <w:noProof/>
            <w:lang w:eastAsia="en-GB" w:bidi="ar-SA"/>
          </w:rPr>
          <w:tab/>
        </w:r>
        <w:r w:rsidR="00EE1FB8" w:rsidRPr="00EE1FB8">
          <w:rPr>
            <w:rStyle w:val="Hyperlink"/>
            <w:rFonts w:cs="Arial"/>
            <w:noProof/>
          </w:rPr>
          <w:t>Stability of added vitamins and minerals in nut- and seed-based beverages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_Toc427678235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17</w:t>
        </w:r>
        <w:r w:rsidR="00EE1FB8" w:rsidRPr="00EE1FB8">
          <w:rPr>
            <w:rFonts w:ascii="Arial" w:hAnsi="Arial" w:cs="Arial"/>
            <w:noProof/>
            <w:webHidden/>
          </w:rPr>
          <w:fldChar w:fldCharType="end"/>
        </w:r>
      </w:hyperlink>
    </w:p>
    <w:p w14:paraId="5D33D593"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36" w:history="1">
        <w:r w:rsidR="00EE1FB8" w:rsidRPr="00EE1FB8">
          <w:rPr>
            <w:rStyle w:val="Hyperlink"/>
            <w:rFonts w:cs="Arial"/>
            <w:noProof/>
          </w:rPr>
          <w:t>6.3</w:t>
        </w:r>
        <w:r w:rsidR="00EE1FB8" w:rsidRPr="00EE1FB8">
          <w:rPr>
            <w:rFonts w:ascii="Arial" w:eastAsiaTheme="minorEastAsia" w:hAnsi="Arial" w:cs="Arial"/>
            <w:smallCaps w:val="0"/>
            <w:noProof/>
            <w:lang w:eastAsia="en-GB" w:bidi="ar-SA"/>
          </w:rPr>
          <w:tab/>
        </w:r>
        <w:r w:rsidR="00EE1FB8" w:rsidRPr="00EE1FB8">
          <w:rPr>
            <w:rStyle w:val="Hyperlink"/>
            <w:rFonts w:cs="Arial"/>
            <w:noProof/>
          </w:rPr>
          <w:t>Analytical methods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_Toc427678236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21</w:t>
        </w:r>
        <w:r w:rsidR="00EE1FB8" w:rsidRPr="00EE1FB8">
          <w:rPr>
            <w:rFonts w:ascii="Arial" w:hAnsi="Arial" w:cs="Arial"/>
            <w:noProof/>
            <w:webHidden/>
          </w:rPr>
          <w:fldChar w:fldCharType="end"/>
        </w:r>
      </w:hyperlink>
    </w:p>
    <w:p w14:paraId="2895513B"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37" w:history="1">
        <w:r w:rsidR="00EE1FB8" w:rsidRPr="00EE1FB8">
          <w:rPr>
            <w:rStyle w:val="Hyperlink"/>
            <w:rFonts w:cs="Arial"/>
            <w:noProof/>
          </w:rPr>
          <w:t>6.4</w:t>
        </w:r>
        <w:r w:rsidR="00EE1FB8" w:rsidRPr="00EE1FB8">
          <w:rPr>
            <w:rFonts w:ascii="Arial" w:eastAsiaTheme="minorEastAsia" w:hAnsi="Arial" w:cs="Arial"/>
            <w:smallCaps w:val="0"/>
            <w:noProof/>
            <w:lang w:eastAsia="en-GB" w:bidi="ar-SA"/>
          </w:rPr>
          <w:tab/>
        </w:r>
        <w:r w:rsidR="00EE1FB8" w:rsidRPr="00EE1FB8">
          <w:rPr>
            <w:rStyle w:val="Hyperlink"/>
            <w:rFonts w:cs="Arial"/>
            <w:noProof/>
          </w:rPr>
          <w:t>Specifications of proposed added vitamins and minerals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_Toc427678237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21</w:t>
        </w:r>
        <w:r w:rsidR="00EE1FB8" w:rsidRPr="00EE1FB8">
          <w:rPr>
            <w:rFonts w:ascii="Arial" w:hAnsi="Arial" w:cs="Arial"/>
            <w:noProof/>
            <w:webHidden/>
          </w:rPr>
          <w:fldChar w:fldCharType="end"/>
        </w:r>
      </w:hyperlink>
    </w:p>
    <w:p w14:paraId="0359FC56"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38" w:history="1">
        <w:r w:rsidR="00EE1FB8" w:rsidRPr="00EE1FB8">
          <w:rPr>
            <w:rStyle w:val="Hyperlink"/>
            <w:rFonts w:cs="Arial"/>
            <w:noProof/>
          </w:rPr>
          <w:t>6.5</w:t>
        </w:r>
        <w:r w:rsidR="00EE1FB8" w:rsidRPr="00EE1FB8">
          <w:rPr>
            <w:rFonts w:ascii="Arial" w:eastAsiaTheme="minorEastAsia" w:hAnsi="Arial" w:cs="Arial"/>
            <w:smallCaps w:val="0"/>
            <w:noProof/>
            <w:lang w:eastAsia="en-GB" w:bidi="ar-SA"/>
          </w:rPr>
          <w:tab/>
        </w:r>
        <w:r w:rsidR="00EE1FB8" w:rsidRPr="00EE1FB8">
          <w:rPr>
            <w:rStyle w:val="Hyperlink"/>
            <w:rFonts w:cs="Arial"/>
            <w:noProof/>
          </w:rPr>
          <w:t>Food technology conclusion</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_Toc427678238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21</w:t>
        </w:r>
        <w:r w:rsidR="00EE1FB8" w:rsidRPr="00EE1FB8">
          <w:rPr>
            <w:rFonts w:ascii="Arial" w:hAnsi="Arial" w:cs="Arial"/>
            <w:noProof/>
            <w:webHidden/>
          </w:rPr>
          <w:fldChar w:fldCharType="end"/>
        </w:r>
      </w:hyperlink>
    </w:p>
    <w:p w14:paraId="2E320FB0" w14:textId="77777777" w:rsidR="00EE1FB8" w:rsidRPr="00EE1FB8" w:rsidRDefault="00E13B53">
      <w:pPr>
        <w:pStyle w:val="TOC1"/>
        <w:tabs>
          <w:tab w:val="left" w:pos="440"/>
          <w:tab w:val="right" w:leader="dot" w:pos="9016"/>
        </w:tabs>
        <w:rPr>
          <w:rFonts w:ascii="Arial" w:eastAsiaTheme="minorEastAsia" w:hAnsi="Arial" w:cs="Arial"/>
          <w:b w:val="0"/>
          <w:bCs w:val="0"/>
          <w:caps w:val="0"/>
          <w:noProof/>
          <w:lang w:eastAsia="en-GB" w:bidi="ar-SA"/>
        </w:rPr>
      </w:pPr>
      <w:hyperlink w:anchor="_Toc427678239" w:history="1">
        <w:r w:rsidR="00EE1FB8" w:rsidRPr="00EE1FB8">
          <w:rPr>
            <w:rStyle w:val="Hyperlink"/>
            <w:rFonts w:cs="Arial"/>
            <w:noProof/>
            <w:lang w:val="en-AU"/>
          </w:rPr>
          <w:t>7</w:t>
        </w:r>
        <w:r w:rsidR="00EE1FB8" w:rsidRPr="00EE1FB8">
          <w:rPr>
            <w:rFonts w:ascii="Arial" w:eastAsiaTheme="minorEastAsia" w:hAnsi="Arial" w:cs="Arial"/>
            <w:b w:val="0"/>
            <w:bCs w:val="0"/>
            <w:caps w:val="0"/>
            <w:noProof/>
            <w:lang w:eastAsia="en-GB" w:bidi="ar-SA"/>
          </w:rPr>
          <w:tab/>
        </w:r>
        <w:r w:rsidR="00EE1FB8" w:rsidRPr="00EE1FB8">
          <w:rPr>
            <w:rStyle w:val="Hyperlink"/>
            <w:rFonts w:cs="Arial"/>
            <w:noProof/>
            <w:lang w:val="en-AU"/>
          </w:rPr>
          <w:t>Absorption of added vitamins and minerals from plant-based milk substitutes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_Toc427678239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21</w:t>
        </w:r>
        <w:r w:rsidR="00EE1FB8" w:rsidRPr="00EE1FB8">
          <w:rPr>
            <w:rFonts w:ascii="Arial" w:hAnsi="Arial" w:cs="Arial"/>
            <w:noProof/>
            <w:webHidden/>
          </w:rPr>
          <w:fldChar w:fldCharType="end"/>
        </w:r>
      </w:hyperlink>
    </w:p>
    <w:p w14:paraId="51909F5D"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40" w:history="1">
        <w:r w:rsidR="00EE1FB8" w:rsidRPr="00EE1FB8">
          <w:rPr>
            <w:rStyle w:val="Hyperlink"/>
            <w:rFonts w:cs="Arial"/>
            <w:noProof/>
          </w:rPr>
          <w:t>7.1</w:t>
        </w:r>
        <w:r w:rsidR="00EE1FB8" w:rsidRPr="00EE1FB8">
          <w:rPr>
            <w:rFonts w:ascii="Arial" w:eastAsiaTheme="minorEastAsia" w:hAnsi="Arial" w:cs="Arial"/>
            <w:smallCaps w:val="0"/>
            <w:noProof/>
            <w:lang w:eastAsia="en-GB" w:bidi="ar-SA"/>
          </w:rPr>
          <w:tab/>
        </w:r>
        <w:r w:rsidR="00EE1FB8" w:rsidRPr="00EE1FB8">
          <w:rPr>
            <w:rStyle w:val="Hyperlink"/>
            <w:rFonts w:cs="Arial"/>
            <w:noProof/>
          </w:rPr>
          <w:t>Previous FSANZ Assessments on bioavailability of vitamins and minerals added to beverages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_Toc427678240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21</w:t>
        </w:r>
        <w:r w:rsidR="00EE1FB8" w:rsidRPr="00EE1FB8">
          <w:rPr>
            <w:rFonts w:ascii="Arial" w:hAnsi="Arial" w:cs="Arial"/>
            <w:noProof/>
            <w:webHidden/>
          </w:rPr>
          <w:fldChar w:fldCharType="end"/>
        </w:r>
      </w:hyperlink>
    </w:p>
    <w:p w14:paraId="343E971D"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41" w:history="1">
        <w:r w:rsidR="00EE1FB8" w:rsidRPr="00EE1FB8">
          <w:rPr>
            <w:rStyle w:val="Hyperlink"/>
            <w:rFonts w:cs="Arial"/>
            <w:noProof/>
          </w:rPr>
          <w:t>7.2</w:t>
        </w:r>
        <w:r w:rsidR="00EE1FB8" w:rsidRPr="00EE1FB8">
          <w:rPr>
            <w:rFonts w:ascii="Arial" w:eastAsiaTheme="minorEastAsia" w:hAnsi="Arial" w:cs="Arial"/>
            <w:smallCaps w:val="0"/>
            <w:noProof/>
            <w:lang w:eastAsia="en-GB" w:bidi="ar-SA"/>
          </w:rPr>
          <w:tab/>
        </w:r>
        <w:r w:rsidR="00EE1FB8" w:rsidRPr="00EE1FB8">
          <w:rPr>
            <w:rStyle w:val="Hyperlink"/>
            <w:rFonts w:cs="Arial"/>
            <w:noProof/>
          </w:rPr>
          <w:t>Anti-nutritional factors – approach for this Assessment</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_Toc427678241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22</w:t>
        </w:r>
        <w:r w:rsidR="00EE1FB8" w:rsidRPr="00EE1FB8">
          <w:rPr>
            <w:rFonts w:ascii="Arial" w:hAnsi="Arial" w:cs="Arial"/>
            <w:noProof/>
            <w:webHidden/>
          </w:rPr>
          <w:fldChar w:fldCharType="end"/>
        </w:r>
      </w:hyperlink>
    </w:p>
    <w:p w14:paraId="603815B1"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42" w:history="1">
        <w:r w:rsidR="00EE1FB8" w:rsidRPr="00EE1FB8">
          <w:rPr>
            <w:rStyle w:val="Hyperlink"/>
            <w:rFonts w:cs="Arial"/>
            <w:noProof/>
          </w:rPr>
          <w:t>7.3</w:t>
        </w:r>
        <w:r w:rsidR="00EE1FB8" w:rsidRPr="00EE1FB8">
          <w:rPr>
            <w:rFonts w:ascii="Arial" w:eastAsiaTheme="minorEastAsia" w:hAnsi="Arial" w:cs="Arial"/>
            <w:smallCaps w:val="0"/>
            <w:noProof/>
            <w:lang w:eastAsia="en-GB" w:bidi="ar-SA"/>
          </w:rPr>
          <w:tab/>
        </w:r>
        <w:r w:rsidR="00EE1FB8" w:rsidRPr="00EE1FB8">
          <w:rPr>
            <w:rStyle w:val="Hyperlink"/>
            <w:rFonts w:cs="Arial"/>
            <w:noProof/>
          </w:rPr>
          <w:t>Amounts of phytate and oxalate in nuts and seeds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_Toc427678242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23</w:t>
        </w:r>
        <w:r w:rsidR="00EE1FB8" w:rsidRPr="00EE1FB8">
          <w:rPr>
            <w:rFonts w:ascii="Arial" w:hAnsi="Arial" w:cs="Arial"/>
            <w:noProof/>
            <w:webHidden/>
          </w:rPr>
          <w:fldChar w:fldCharType="end"/>
        </w:r>
      </w:hyperlink>
    </w:p>
    <w:p w14:paraId="62A4FF31"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43" w:history="1">
        <w:r w:rsidR="00EE1FB8" w:rsidRPr="00EE1FB8">
          <w:rPr>
            <w:rStyle w:val="Hyperlink"/>
            <w:rFonts w:cs="Arial"/>
            <w:noProof/>
          </w:rPr>
          <w:t>7.4</w:t>
        </w:r>
        <w:r w:rsidR="00EE1FB8" w:rsidRPr="00EE1FB8">
          <w:rPr>
            <w:rFonts w:ascii="Arial" w:eastAsiaTheme="minorEastAsia" w:hAnsi="Arial" w:cs="Arial"/>
            <w:smallCaps w:val="0"/>
            <w:noProof/>
            <w:lang w:eastAsia="en-GB" w:bidi="ar-SA"/>
          </w:rPr>
          <w:tab/>
        </w:r>
        <w:r w:rsidR="00EE1FB8" w:rsidRPr="00EE1FB8">
          <w:rPr>
            <w:rStyle w:val="Hyperlink"/>
            <w:rFonts w:cs="Arial"/>
            <w:noProof/>
          </w:rPr>
          <w:t>Effects of processing on ANF in nuts and seeds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_Toc427678243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23</w:t>
        </w:r>
        <w:r w:rsidR="00EE1FB8" w:rsidRPr="00EE1FB8">
          <w:rPr>
            <w:rFonts w:ascii="Arial" w:hAnsi="Arial" w:cs="Arial"/>
            <w:noProof/>
            <w:webHidden/>
          </w:rPr>
          <w:fldChar w:fldCharType="end"/>
        </w:r>
      </w:hyperlink>
    </w:p>
    <w:p w14:paraId="6EDED71C"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44" w:history="1">
        <w:r w:rsidR="00EE1FB8" w:rsidRPr="00EE1FB8">
          <w:rPr>
            <w:rStyle w:val="Hyperlink"/>
            <w:rFonts w:cs="Arial"/>
            <w:noProof/>
          </w:rPr>
          <w:t>7.5</w:t>
        </w:r>
        <w:r w:rsidR="00EE1FB8" w:rsidRPr="00EE1FB8">
          <w:rPr>
            <w:rFonts w:ascii="Arial" w:eastAsiaTheme="minorEastAsia" w:hAnsi="Arial" w:cs="Arial"/>
            <w:smallCaps w:val="0"/>
            <w:noProof/>
            <w:lang w:eastAsia="en-GB" w:bidi="ar-SA"/>
          </w:rPr>
          <w:tab/>
        </w:r>
        <w:r w:rsidR="00EE1FB8" w:rsidRPr="00EE1FB8">
          <w:rPr>
            <w:rStyle w:val="Hyperlink"/>
            <w:rFonts w:cs="Arial"/>
            <w:noProof/>
          </w:rPr>
          <w:t>Estimated intake of phytate and oxalate from nut-based beverages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_Toc427678244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23</w:t>
        </w:r>
        <w:r w:rsidR="00EE1FB8" w:rsidRPr="00EE1FB8">
          <w:rPr>
            <w:rFonts w:ascii="Arial" w:hAnsi="Arial" w:cs="Arial"/>
            <w:noProof/>
            <w:webHidden/>
          </w:rPr>
          <w:fldChar w:fldCharType="end"/>
        </w:r>
      </w:hyperlink>
    </w:p>
    <w:p w14:paraId="75EF44FB"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45" w:history="1">
        <w:r w:rsidR="00EE1FB8" w:rsidRPr="00EE1FB8">
          <w:rPr>
            <w:rStyle w:val="Hyperlink"/>
            <w:rFonts w:cs="Arial"/>
            <w:noProof/>
          </w:rPr>
          <w:t>7.6</w:t>
        </w:r>
        <w:r w:rsidR="00EE1FB8" w:rsidRPr="00EE1FB8">
          <w:rPr>
            <w:rFonts w:ascii="Arial" w:eastAsiaTheme="minorEastAsia" w:hAnsi="Arial" w:cs="Arial"/>
            <w:smallCaps w:val="0"/>
            <w:noProof/>
            <w:lang w:eastAsia="en-GB" w:bidi="ar-SA"/>
          </w:rPr>
          <w:tab/>
        </w:r>
        <w:r w:rsidR="00EE1FB8" w:rsidRPr="00EE1FB8">
          <w:rPr>
            <w:rStyle w:val="Hyperlink"/>
            <w:rFonts w:cs="Arial"/>
            <w:noProof/>
          </w:rPr>
          <w:t>Amount of phytate and oxalate needed to impact on nutritional status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_Toc427678245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24</w:t>
        </w:r>
        <w:r w:rsidR="00EE1FB8" w:rsidRPr="00EE1FB8">
          <w:rPr>
            <w:rFonts w:ascii="Arial" w:hAnsi="Arial" w:cs="Arial"/>
            <w:noProof/>
            <w:webHidden/>
          </w:rPr>
          <w:fldChar w:fldCharType="end"/>
        </w:r>
      </w:hyperlink>
    </w:p>
    <w:p w14:paraId="77363C1A"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46" w:history="1">
        <w:r w:rsidR="00EE1FB8" w:rsidRPr="00EE1FB8">
          <w:rPr>
            <w:rStyle w:val="Hyperlink"/>
            <w:rFonts w:cs="Arial"/>
            <w:noProof/>
          </w:rPr>
          <w:t>7.7</w:t>
        </w:r>
        <w:r w:rsidR="00EE1FB8" w:rsidRPr="00EE1FB8">
          <w:rPr>
            <w:rFonts w:ascii="Arial" w:eastAsiaTheme="minorEastAsia" w:hAnsi="Arial" w:cs="Arial"/>
            <w:smallCaps w:val="0"/>
            <w:noProof/>
            <w:lang w:eastAsia="en-GB" w:bidi="ar-SA"/>
          </w:rPr>
          <w:tab/>
        </w:r>
        <w:r w:rsidR="00EE1FB8" w:rsidRPr="00EE1FB8">
          <w:rPr>
            <w:rStyle w:val="Hyperlink"/>
            <w:rFonts w:cs="Arial"/>
            <w:noProof/>
          </w:rPr>
          <w:t>Studies on absorption of added vitamins and minerals from plant-derived beverages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_Toc427678246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25</w:t>
        </w:r>
        <w:r w:rsidR="00EE1FB8" w:rsidRPr="00EE1FB8">
          <w:rPr>
            <w:rFonts w:ascii="Arial" w:hAnsi="Arial" w:cs="Arial"/>
            <w:noProof/>
            <w:webHidden/>
          </w:rPr>
          <w:fldChar w:fldCharType="end"/>
        </w:r>
      </w:hyperlink>
    </w:p>
    <w:p w14:paraId="76ACB970" w14:textId="77777777" w:rsidR="00EE1FB8" w:rsidRPr="00EE1FB8" w:rsidRDefault="00E13B53">
      <w:pPr>
        <w:pStyle w:val="TOC3"/>
        <w:tabs>
          <w:tab w:val="left" w:pos="1100"/>
          <w:tab w:val="right" w:leader="dot" w:pos="9016"/>
        </w:tabs>
        <w:rPr>
          <w:rFonts w:ascii="Arial" w:eastAsiaTheme="minorEastAsia" w:hAnsi="Arial" w:cs="Arial"/>
          <w:i w:val="0"/>
          <w:iCs w:val="0"/>
          <w:noProof/>
          <w:lang w:eastAsia="en-GB" w:bidi="ar-SA"/>
        </w:rPr>
      </w:pPr>
      <w:hyperlink w:anchor="_Toc427678247" w:history="1">
        <w:r w:rsidR="00EE1FB8" w:rsidRPr="00EE1FB8">
          <w:rPr>
            <w:rStyle w:val="Hyperlink"/>
            <w:rFonts w:cs="Arial"/>
            <w:noProof/>
          </w:rPr>
          <w:t>7.7.1</w:t>
        </w:r>
        <w:r w:rsidR="00EE1FB8" w:rsidRPr="00EE1FB8">
          <w:rPr>
            <w:rFonts w:ascii="Arial" w:eastAsiaTheme="minorEastAsia" w:hAnsi="Arial" w:cs="Arial"/>
            <w:i w:val="0"/>
            <w:iCs w:val="0"/>
            <w:noProof/>
            <w:lang w:eastAsia="en-GB" w:bidi="ar-SA"/>
          </w:rPr>
          <w:tab/>
        </w:r>
        <w:r w:rsidR="00EE1FB8" w:rsidRPr="00EE1FB8">
          <w:rPr>
            <w:rStyle w:val="Hyperlink"/>
            <w:rFonts w:cs="Arial"/>
            <w:noProof/>
          </w:rPr>
          <w:t>Calcium absorption</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_Toc427678247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25</w:t>
        </w:r>
        <w:r w:rsidR="00EE1FB8" w:rsidRPr="00EE1FB8">
          <w:rPr>
            <w:rFonts w:ascii="Arial" w:hAnsi="Arial" w:cs="Arial"/>
            <w:noProof/>
            <w:webHidden/>
          </w:rPr>
          <w:fldChar w:fldCharType="end"/>
        </w:r>
      </w:hyperlink>
    </w:p>
    <w:p w14:paraId="5B52F19A" w14:textId="77777777" w:rsidR="00EE1FB8" w:rsidRPr="00EE1FB8" w:rsidRDefault="00E13B53">
      <w:pPr>
        <w:pStyle w:val="TOC3"/>
        <w:tabs>
          <w:tab w:val="left" w:pos="1100"/>
          <w:tab w:val="right" w:leader="dot" w:pos="9016"/>
        </w:tabs>
        <w:rPr>
          <w:rFonts w:ascii="Arial" w:eastAsiaTheme="minorEastAsia" w:hAnsi="Arial" w:cs="Arial"/>
          <w:i w:val="0"/>
          <w:iCs w:val="0"/>
          <w:noProof/>
          <w:lang w:eastAsia="en-GB" w:bidi="ar-SA"/>
        </w:rPr>
      </w:pPr>
      <w:hyperlink w:anchor="_Toc427678248" w:history="1">
        <w:r w:rsidR="00EE1FB8" w:rsidRPr="00EE1FB8">
          <w:rPr>
            <w:rStyle w:val="Hyperlink"/>
            <w:rFonts w:cs="Arial"/>
            <w:noProof/>
          </w:rPr>
          <w:t>7.7.2</w:t>
        </w:r>
        <w:r w:rsidR="00EE1FB8" w:rsidRPr="00EE1FB8">
          <w:rPr>
            <w:rFonts w:ascii="Arial" w:eastAsiaTheme="minorEastAsia" w:hAnsi="Arial" w:cs="Arial"/>
            <w:i w:val="0"/>
            <w:iCs w:val="0"/>
            <w:noProof/>
            <w:lang w:eastAsia="en-GB" w:bidi="ar-SA"/>
          </w:rPr>
          <w:tab/>
        </w:r>
        <w:r w:rsidR="00EE1FB8" w:rsidRPr="00EE1FB8">
          <w:rPr>
            <w:rStyle w:val="Hyperlink"/>
            <w:rFonts w:cs="Arial"/>
            <w:noProof/>
          </w:rPr>
          <w:t>Vitamin B</w:t>
        </w:r>
        <w:r w:rsidR="00EE1FB8" w:rsidRPr="00EE1FB8">
          <w:rPr>
            <w:rStyle w:val="Hyperlink"/>
            <w:rFonts w:cs="Arial"/>
            <w:noProof/>
            <w:vertAlign w:val="subscript"/>
          </w:rPr>
          <w:t>12</w:t>
        </w:r>
        <w:r w:rsidR="00EE1FB8" w:rsidRPr="00EE1FB8">
          <w:rPr>
            <w:rStyle w:val="Hyperlink"/>
            <w:rFonts w:cs="Arial"/>
            <w:noProof/>
          </w:rPr>
          <w:t xml:space="preserve"> absorption</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_Toc427678248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26</w:t>
        </w:r>
        <w:r w:rsidR="00EE1FB8" w:rsidRPr="00EE1FB8">
          <w:rPr>
            <w:rFonts w:ascii="Arial" w:hAnsi="Arial" w:cs="Arial"/>
            <w:noProof/>
            <w:webHidden/>
          </w:rPr>
          <w:fldChar w:fldCharType="end"/>
        </w:r>
      </w:hyperlink>
    </w:p>
    <w:p w14:paraId="180B7AC9"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49" w:history="1">
        <w:r w:rsidR="00EE1FB8" w:rsidRPr="00EE1FB8">
          <w:rPr>
            <w:rStyle w:val="Hyperlink"/>
            <w:rFonts w:cs="Arial"/>
            <w:noProof/>
          </w:rPr>
          <w:t>7.8</w:t>
        </w:r>
        <w:r w:rsidR="00EE1FB8" w:rsidRPr="00EE1FB8">
          <w:rPr>
            <w:rFonts w:ascii="Arial" w:eastAsiaTheme="minorEastAsia" w:hAnsi="Arial" w:cs="Arial"/>
            <w:smallCaps w:val="0"/>
            <w:noProof/>
            <w:lang w:eastAsia="en-GB" w:bidi="ar-SA"/>
          </w:rPr>
          <w:tab/>
        </w:r>
        <w:r w:rsidR="00EE1FB8" w:rsidRPr="00EE1FB8">
          <w:rPr>
            <w:rStyle w:val="Hyperlink"/>
            <w:rFonts w:cs="Arial"/>
            <w:noProof/>
          </w:rPr>
          <w:t>Conclusions regarding the absorption of added vitamins and minerals to plant-based milk substitutes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_Toc427678249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26</w:t>
        </w:r>
        <w:r w:rsidR="00EE1FB8" w:rsidRPr="00EE1FB8">
          <w:rPr>
            <w:rFonts w:ascii="Arial" w:hAnsi="Arial" w:cs="Arial"/>
            <w:noProof/>
            <w:webHidden/>
          </w:rPr>
          <w:fldChar w:fldCharType="end"/>
        </w:r>
      </w:hyperlink>
    </w:p>
    <w:p w14:paraId="57770780" w14:textId="77777777" w:rsidR="00EE1FB8" w:rsidRDefault="00EE1FB8">
      <w:pPr>
        <w:pStyle w:val="TOC1"/>
        <w:tabs>
          <w:tab w:val="left" w:pos="440"/>
          <w:tab w:val="right" w:leader="dot" w:pos="9016"/>
        </w:tabs>
        <w:rPr>
          <w:rStyle w:val="Hyperlink"/>
          <w:rFonts w:cs="Arial"/>
          <w:noProof/>
        </w:rPr>
      </w:pPr>
      <w:r>
        <w:rPr>
          <w:rStyle w:val="Hyperlink"/>
          <w:rFonts w:cs="Arial"/>
          <w:noProof/>
        </w:rPr>
        <w:br w:type="page"/>
      </w:r>
    </w:p>
    <w:p w14:paraId="0B7242B2" w14:textId="7861B559" w:rsidR="00EE1FB8" w:rsidRPr="00EE1FB8" w:rsidRDefault="00E13B53">
      <w:pPr>
        <w:pStyle w:val="TOC1"/>
        <w:tabs>
          <w:tab w:val="left" w:pos="440"/>
          <w:tab w:val="right" w:leader="dot" w:pos="9016"/>
        </w:tabs>
        <w:rPr>
          <w:rFonts w:ascii="Arial" w:eastAsiaTheme="minorEastAsia" w:hAnsi="Arial" w:cs="Arial"/>
          <w:b w:val="0"/>
          <w:bCs w:val="0"/>
          <w:caps w:val="0"/>
          <w:noProof/>
          <w:lang w:eastAsia="en-GB" w:bidi="ar-SA"/>
        </w:rPr>
      </w:pPr>
      <w:hyperlink w:anchor="_Toc427678250" w:history="1">
        <w:r w:rsidR="00EE1FB8" w:rsidRPr="00EE1FB8">
          <w:rPr>
            <w:rStyle w:val="Hyperlink"/>
            <w:rFonts w:cs="Arial"/>
            <w:noProof/>
          </w:rPr>
          <w:t>8</w:t>
        </w:r>
        <w:r w:rsidR="00EE1FB8" w:rsidRPr="00EE1FB8">
          <w:rPr>
            <w:rFonts w:ascii="Arial" w:eastAsiaTheme="minorEastAsia" w:hAnsi="Arial" w:cs="Arial"/>
            <w:b w:val="0"/>
            <w:bCs w:val="0"/>
            <w:caps w:val="0"/>
            <w:noProof/>
            <w:lang w:eastAsia="en-GB" w:bidi="ar-SA"/>
          </w:rPr>
          <w:tab/>
        </w:r>
        <w:r w:rsidR="00EE1FB8" w:rsidRPr="00EE1FB8">
          <w:rPr>
            <w:rStyle w:val="Hyperlink"/>
            <w:rFonts w:cs="Arial"/>
            <w:noProof/>
          </w:rPr>
          <w:t>Comparison of estimated dietary intake of nutrients across national nutrition surveys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_Toc427678250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27</w:t>
        </w:r>
        <w:r w:rsidR="00EE1FB8" w:rsidRPr="00EE1FB8">
          <w:rPr>
            <w:rFonts w:ascii="Arial" w:hAnsi="Arial" w:cs="Arial"/>
            <w:noProof/>
            <w:webHidden/>
          </w:rPr>
          <w:fldChar w:fldCharType="end"/>
        </w:r>
      </w:hyperlink>
    </w:p>
    <w:p w14:paraId="397559B1"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51" w:history="1">
        <w:r w:rsidR="00EE1FB8" w:rsidRPr="00EE1FB8">
          <w:rPr>
            <w:rStyle w:val="Hyperlink"/>
            <w:rFonts w:cs="Arial"/>
            <w:noProof/>
          </w:rPr>
          <w:t>8.1</w:t>
        </w:r>
        <w:r w:rsidR="00EE1FB8" w:rsidRPr="00EE1FB8">
          <w:rPr>
            <w:rFonts w:ascii="Arial" w:eastAsiaTheme="minorEastAsia" w:hAnsi="Arial" w:cs="Arial"/>
            <w:smallCaps w:val="0"/>
            <w:noProof/>
            <w:lang w:eastAsia="en-GB" w:bidi="ar-SA"/>
          </w:rPr>
          <w:tab/>
        </w:r>
        <w:r w:rsidR="00EE1FB8" w:rsidRPr="00EE1FB8">
          <w:rPr>
            <w:rStyle w:val="Hyperlink"/>
            <w:rFonts w:cs="Arial"/>
            <w:noProof/>
          </w:rPr>
          <w:t>Contribution of milk to nutrient intakes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_Toc427678251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27</w:t>
        </w:r>
        <w:r w:rsidR="00EE1FB8" w:rsidRPr="00EE1FB8">
          <w:rPr>
            <w:rFonts w:ascii="Arial" w:hAnsi="Arial" w:cs="Arial"/>
            <w:noProof/>
            <w:webHidden/>
          </w:rPr>
          <w:fldChar w:fldCharType="end"/>
        </w:r>
      </w:hyperlink>
    </w:p>
    <w:p w14:paraId="65FEA986" w14:textId="77777777" w:rsidR="00EE1FB8" w:rsidRPr="00EE1FB8" w:rsidRDefault="00E13B53">
      <w:pPr>
        <w:pStyle w:val="TOC3"/>
        <w:tabs>
          <w:tab w:val="left" w:pos="1100"/>
          <w:tab w:val="right" w:leader="dot" w:pos="9016"/>
        </w:tabs>
        <w:rPr>
          <w:rFonts w:ascii="Arial" w:eastAsiaTheme="minorEastAsia" w:hAnsi="Arial" w:cs="Arial"/>
          <w:i w:val="0"/>
          <w:iCs w:val="0"/>
          <w:noProof/>
          <w:lang w:eastAsia="en-GB" w:bidi="ar-SA"/>
        </w:rPr>
      </w:pPr>
      <w:hyperlink w:anchor="_Toc427678252" w:history="1">
        <w:r w:rsidR="00EE1FB8" w:rsidRPr="00EE1FB8">
          <w:rPr>
            <w:rStyle w:val="Hyperlink"/>
            <w:rFonts w:cs="Arial"/>
            <w:noProof/>
          </w:rPr>
          <w:t>8.1.1</w:t>
        </w:r>
        <w:r w:rsidR="00EE1FB8" w:rsidRPr="00EE1FB8">
          <w:rPr>
            <w:rFonts w:ascii="Arial" w:eastAsiaTheme="minorEastAsia" w:hAnsi="Arial" w:cs="Arial"/>
            <w:i w:val="0"/>
            <w:iCs w:val="0"/>
            <w:noProof/>
            <w:lang w:eastAsia="en-GB" w:bidi="ar-SA"/>
          </w:rPr>
          <w:tab/>
        </w:r>
        <w:r w:rsidR="00EE1FB8" w:rsidRPr="00EE1FB8">
          <w:rPr>
            <w:rStyle w:val="Hyperlink"/>
            <w:rFonts w:cs="Arial"/>
            <w:noProof/>
          </w:rPr>
          <w:t>Findings from the cereal-beverage assessment (A500 (FSANZ 2005b))</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_Toc427678252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27</w:t>
        </w:r>
        <w:r w:rsidR="00EE1FB8" w:rsidRPr="00EE1FB8">
          <w:rPr>
            <w:rFonts w:ascii="Arial" w:hAnsi="Arial" w:cs="Arial"/>
            <w:noProof/>
            <w:webHidden/>
          </w:rPr>
          <w:fldChar w:fldCharType="end"/>
        </w:r>
      </w:hyperlink>
    </w:p>
    <w:p w14:paraId="75BA6BCB" w14:textId="77777777" w:rsidR="00EE1FB8" w:rsidRPr="00EE1FB8" w:rsidRDefault="00E13B53">
      <w:pPr>
        <w:pStyle w:val="TOC3"/>
        <w:tabs>
          <w:tab w:val="left" w:pos="1100"/>
          <w:tab w:val="right" w:leader="dot" w:pos="9016"/>
        </w:tabs>
        <w:rPr>
          <w:rFonts w:ascii="Arial" w:eastAsiaTheme="minorEastAsia" w:hAnsi="Arial" w:cs="Arial"/>
          <w:i w:val="0"/>
          <w:iCs w:val="0"/>
          <w:noProof/>
          <w:lang w:eastAsia="en-GB" w:bidi="ar-SA"/>
        </w:rPr>
      </w:pPr>
      <w:hyperlink w:anchor="_Toc427678253" w:history="1">
        <w:r w:rsidR="00EE1FB8" w:rsidRPr="00EE1FB8">
          <w:rPr>
            <w:rStyle w:val="Hyperlink"/>
            <w:rFonts w:cs="Arial"/>
            <w:noProof/>
          </w:rPr>
          <w:t>8.1.2</w:t>
        </w:r>
        <w:r w:rsidR="00EE1FB8" w:rsidRPr="00EE1FB8">
          <w:rPr>
            <w:rFonts w:ascii="Arial" w:eastAsiaTheme="minorEastAsia" w:hAnsi="Arial" w:cs="Arial"/>
            <w:i w:val="0"/>
            <w:iCs w:val="0"/>
            <w:noProof/>
            <w:lang w:eastAsia="en-GB" w:bidi="ar-SA"/>
          </w:rPr>
          <w:tab/>
        </w:r>
        <w:r w:rsidR="00EE1FB8" w:rsidRPr="00EE1FB8">
          <w:rPr>
            <w:rStyle w:val="Hyperlink"/>
            <w:rFonts w:cs="Arial"/>
            <w:noProof/>
          </w:rPr>
          <w:t>Findings from more recent Australian and New Zealand national nutrition surveys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_Toc427678253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27</w:t>
        </w:r>
        <w:r w:rsidR="00EE1FB8" w:rsidRPr="00EE1FB8">
          <w:rPr>
            <w:rFonts w:ascii="Arial" w:hAnsi="Arial" w:cs="Arial"/>
            <w:noProof/>
            <w:webHidden/>
          </w:rPr>
          <w:fldChar w:fldCharType="end"/>
        </w:r>
      </w:hyperlink>
    </w:p>
    <w:p w14:paraId="0BC63D17"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54" w:history="1">
        <w:r w:rsidR="00EE1FB8" w:rsidRPr="00EE1FB8">
          <w:rPr>
            <w:rStyle w:val="Hyperlink"/>
            <w:rFonts w:cs="Arial"/>
            <w:noProof/>
          </w:rPr>
          <w:t>8.2</w:t>
        </w:r>
        <w:r w:rsidR="00EE1FB8" w:rsidRPr="00EE1FB8">
          <w:rPr>
            <w:rFonts w:ascii="Arial" w:eastAsiaTheme="minorEastAsia" w:hAnsi="Arial" w:cs="Arial"/>
            <w:smallCaps w:val="0"/>
            <w:noProof/>
            <w:lang w:eastAsia="en-GB" w:bidi="ar-SA"/>
          </w:rPr>
          <w:tab/>
        </w:r>
        <w:r w:rsidR="00EE1FB8" w:rsidRPr="00EE1FB8">
          <w:rPr>
            <w:rStyle w:val="Hyperlink"/>
            <w:rFonts w:cs="Arial"/>
            <w:noProof/>
          </w:rPr>
          <w:t>Comparison of mean nutrient intakes between the general population and non-dairy consumers, based on the A500 assessment (FSANZ 2005b)</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_Toc427678254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28</w:t>
        </w:r>
        <w:r w:rsidR="00EE1FB8" w:rsidRPr="00EE1FB8">
          <w:rPr>
            <w:rFonts w:ascii="Arial" w:hAnsi="Arial" w:cs="Arial"/>
            <w:noProof/>
            <w:webHidden/>
          </w:rPr>
          <w:fldChar w:fldCharType="end"/>
        </w:r>
      </w:hyperlink>
    </w:p>
    <w:p w14:paraId="4F2255E0" w14:textId="77777777" w:rsidR="00EE1FB8" w:rsidRPr="00EE1FB8" w:rsidRDefault="00E13B53">
      <w:pPr>
        <w:pStyle w:val="TOC3"/>
        <w:tabs>
          <w:tab w:val="left" w:pos="1100"/>
          <w:tab w:val="right" w:leader="dot" w:pos="9016"/>
        </w:tabs>
        <w:rPr>
          <w:rFonts w:ascii="Arial" w:eastAsiaTheme="minorEastAsia" w:hAnsi="Arial" w:cs="Arial"/>
          <w:i w:val="0"/>
          <w:iCs w:val="0"/>
          <w:noProof/>
          <w:lang w:eastAsia="en-GB" w:bidi="ar-SA"/>
        </w:rPr>
      </w:pPr>
      <w:hyperlink w:anchor="_Toc427678255" w:history="1">
        <w:r w:rsidR="00EE1FB8" w:rsidRPr="00EE1FB8">
          <w:rPr>
            <w:rStyle w:val="Hyperlink"/>
            <w:rFonts w:cs="Arial"/>
            <w:noProof/>
          </w:rPr>
          <w:t>8.2.1</w:t>
        </w:r>
        <w:r w:rsidR="00EE1FB8" w:rsidRPr="00EE1FB8">
          <w:rPr>
            <w:rFonts w:ascii="Arial" w:eastAsiaTheme="minorEastAsia" w:hAnsi="Arial" w:cs="Arial"/>
            <w:i w:val="0"/>
            <w:iCs w:val="0"/>
            <w:noProof/>
            <w:lang w:eastAsia="en-GB" w:bidi="ar-SA"/>
          </w:rPr>
          <w:tab/>
        </w:r>
        <w:r w:rsidR="00EE1FB8" w:rsidRPr="00EE1FB8">
          <w:rPr>
            <w:rStyle w:val="Hyperlink"/>
            <w:rFonts w:cs="Arial"/>
            <w:noProof/>
          </w:rPr>
          <w:t>Vitamin and mineral intakes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_Toc427678255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28</w:t>
        </w:r>
        <w:r w:rsidR="00EE1FB8" w:rsidRPr="00EE1FB8">
          <w:rPr>
            <w:rFonts w:ascii="Arial" w:hAnsi="Arial" w:cs="Arial"/>
            <w:noProof/>
            <w:webHidden/>
          </w:rPr>
          <w:fldChar w:fldCharType="end"/>
        </w:r>
      </w:hyperlink>
    </w:p>
    <w:p w14:paraId="734546E4" w14:textId="77777777" w:rsidR="00EE1FB8" w:rsidRPr="00EE1FB8" w:rsidRDefault="00E13B53">
      <w:pPr>
        <w:pStyle w:val="TOC3"/>
        <w:tabs>
          <w:tab w:val="left" w:pos="1100"/>
          <w:tab w:val="right" w:leader="dot" w:pos="9016"/>
        </w:tabs>
        <w:rPr>
          <w:rFonts w:ascii="Arial" w:eastAsiaTheme="minorEastAsia" w:hAnsi="Arial" w:cs="Arial"/>
          <w:i w:val="0"/>
          <w:iCs w:val="0"/>
          <w:noProof/>
          <w:lang w:eastAsia="en-GB" w:bidi="ar-SA"/>
        </w:rPr>
      </w:pPr>
      <w:hyperlink w:anchor="_Toc427678256" w:history="1">
        <w:r w:rsidR="00EE1FB8" w:rsidRPr="00EE1FB8">
          <w:rPr>
            <w:rStyle w:val="Hyperlink"/>
            <w:rFonts w:cs="Arial"/>
            <w:noProof/>
          </w:rPr>
          <w:t>8.2.3</w:t>
        </w:r>
        <w:r w:rsidR="00EE1FB8" w:rsidRPr="00EE1FB8">
          <w:rPr>
            <w:rFonts w:ascii="Arial" w:eastAsiaTheme="minorEastAsia" w:hAnsi="Arial" w:cs="Arial"/>
            <w:i w:val="0"/>
            <w:iCs w:val="0"/>
            <w:noProof/>
            <w:lang w:eastAsia="en-GB" w:bidi="ar-SA"/>
          </w:rPr>
          <w:tab/>
        </w:r>
        <w:r w:rsidR="00EE1FB8" w:rsidRPr="00EE1FB8">
          <w:rPr>
            <w:rStyle w:val="Hyperlink"/>
            <w:rFonts w:cs="Arial"/>
            <w:noProof/>
          </w:rPr>
          <w:t>Protein intakes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_Toc427678256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30</w:t>
        </w:r>
        <w:r w:rsidR="00EE1FB8" w:rsidRPr="00EE1FB8">
          <w:rPr>
            <w:rFonts w:ascii="Arial" w:hAnsi="Arial" w:cs="Arial"/>
            <w:noProof/>
            <w:webHidden/>
          </w:rPr>
          <w:fldChar w:fldCharType="end"/>
        </w:r>
      </w:hyperlink>
    </w:p>
    <w:p w14:paraId="43BD94D6" w14:textId="77777777" w:rsidR="00EE1FB8" w:rsidRPr="00EE1FB8" w:rsidRDefault="00E13B53">
      <w:pPr>
        <w:pStyle w:val="TOC3"/>
        <w:tabs>
          <w:tab w:val="left" w:pos="1100"/>
          <w:tab w:val="right" w:leader="dot" w:pos="9016"/>
        </w:tabs>
        <w:rPr>
          <w:rFonts w:ascii="Arial" w:eastAsiaTheme="minorEastAsia" w:hAnsi="Arial" w:cs="Arial"/>
          <w:i w:val="0"/>
          <w:iCs w:val="0"/>
          <w:noProof/>
          <w:lang w:eastAsia="en-GB" w:bidi="ar-SA"/>
        </w:rPr>
      </w:pPr>
      <w:hyperlink w:anchor="_Toc427678257" w:history="1">
        <w:r w:rsidR="00EE1FB8" w:rsidRPr="00EE1FB8">
          <w:rPr>
            <w:rStyle w:val="Hyperlink"/>
            <w:rFonts w:cs="Arial"/>
            <w:noProof/>
          </w:rPr>
          <w:t>8.2.4</w:t>
        </w:r>
        <w:r w:rsidR="00EE1FB8" w:rsidRPr="00EE1FB8">
          <w:rPr>
            <w:rFonts w:ascii="Arial" w:eastAsiaTheme="minorEastAsia" w:hAnsi="Arial" w:cs="Arial"/>
            <w:i w:val="0"/>
            <w:iCs w:val="0"/>
            <w:noProof/>
            <w:lang w:eastAsia="en-GB" w:bidi="ar-SA"/>
          </w:rPr>
          <w:tab/>
        </w:r>
        <w:r w:rsidR="00EE1FB8" w:rsidRPr="00EE1FB8">
          <w:rPr>
            <w:rStyle w:val="Hyperlink"/>
            <w:rFonts w:cs="Arial"/>
            <w:noProof/>
          </w:rPr>
          <w:t>Fat intakes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_Toc427678257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31</w:t>
        </w:r>
        <w:r w:rsidR="00EE1FB8" w:rsidRPr="00EE1FB8">
          <w:rPr>
            <w:rFonts w:ascii="Arial" w:hAnsi="Arial" w:cs="Arial"/>
            <w:noProof/>
            <w:webHidden/>
          </w:rPr>
          <w:fldChar w:fldCharType="end"/>
        </w:r>
      </w:hyperlink>
    </w:p>
    <w:p w14:paraId="5B03A0E5" w14:textId="77777777" w:rsidR="00EE1FB8" w:rsidRPr="00EE1FB8" w:rsidRDefault="00E13B53">
      <w:pPr>
        <w:pStyle w:val="TOC3"/>
        <w:tabs>
          <w:tab w:val="left" w:pos="1100"/>
          <w:tab w:val="right" w:leader="dot" w:pos="9016"/>
        </w:tabs>
        <w:rPr>
          <w:rFonts w:ascii="Arial" w:eastAsiaTheme="minorEastAsia" w:hAnsi="Arial" w:cs="Arial"/>
          <w:i w:val="0"/>
          <w:iCs w:val="0"/>
          <w:noProof/>
          <w:lang w:eastAsia="en-GB" w:bidi="ar-SA"/>
        </w:rPr>
      </w:pPr>
      <w:hyperlink w:anchor="_Toc427678258" w:history="1">
        <w:r w:rsidR="00EE1FB8" w:rsidRPr="00EE1FB8">
          <w:rPr>
            <w:rStyle w:val="Hyperlink"/>
            <w:rFonts w:cs="Arial"/>
            <w:noProof/>
          </w:rPr>
          <w:t>8.2.5</w:t>
        </w:r>
        <w:r w:rsidR="00EE1FB8" w:rsidRPr="00EE1FB8">
          <w:rPr>
            <w:rFonts w:ascii="Arial" w:eastAsiaTheme="minorEastAsia" w:hAnsi="Arial" w:cs="Arial"/>
            <w:i w:val="0"/>
            <w:iCs w:val="0"/>
            <w:noProof/>
            <w:lang w:eastAsia="en-GB" w:bidi="ar-SA"/>
          </w:rPr>
          <w:tab/>
        </w:r>
        <w:r w:rsidR="00EE1FB8" w:rsidRPr="00EE1FB8">
          <w:rPr>
            <w:rStyle w:val="Hyperlink"/>
            <w:rFonts w:cs="Arial"/>
            <w:noProof/>
          </w:rPr>
          <w:t>Energy intakes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_Toc427678258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31</w:t>
        </w:r>
        <w:r w:rsidR="00EE1FB8" w:rsidRPr="00EE1FB8">
          <w:rPr>
            <w:rFonts w:ascii="Arial" w:hAnsi="Arial" w:cs="Arial"/>
            <w:noProof/>
            <w:webHidden/>
          </w:rPr>
          <w:fldChar w:fldCharType="end"/>
        </w:r>
      </w:hyperlink>
    </w:p>
    <w:p w14:paraId="35405226" w14:textId="77777777" w:rsidR="00EE1FB8" w:rsidRPr="00EE1FB8" w:rsidRDefault="00E13B53">
      <w:pPr>
        <w:pStyle w:val="TOC2"/>
        <w:tabs>
          <w:tab w:val="left" w:pos="880"/>
          <w:tab w:val="right" w:leader="dot" w:pos="9016"/>
        </w:tabs>
        <w:rPr>
          <w:rFonts w:ascii="Arial" w:eastAsiaTheme="minorEastAsia" w:hAnsi="Arial" w:cs="Arial"/>
          <w:smallCaps w:val="0"/>
          <w:noProof/>
          <w:lang w:eastAsia="en-GB" w:bidi="ar-SA"/>
        </w:rPr>
      </w:pPr>
      <w:hyperlink w:anchor="_Toc427678259" w:history="1">
        <w:r w:rsidR="00EE1FB8" w:rsidRPr="00EE1FB8">
          <w:rPr>
            <w:rStyle w:val="Hyperlink"/>
            <w:rFonts w:cs="Arial"/>
            <w:noProof/>
          </w:rPr>
          <w:t>8.3</w:t>
        </w:r>
        <w:r w:rsidR="00EE1FB8" w:rsidRPr="00EE1FB8">
          <w:rPr>
            <w:rFonts w:ascii="Arial" w:eastAsiaTheme="minorEastAsia" w:hAnsi="Arial" w:cs="Arial"/>
            <w:smallCaps w:val="0"/>
            <w:noProof/>
            <w:lang w:eastAsia="en-GB" w:bidi="ar-SA"/>
          </w:rPr>
          <w:tab/>
        </w:r>
        <w:r w:rsidR="00EE1FB8" w:rsidRPr="00EE1FB8">
          <w:rPr>
            <w:rStyle w:val="Hyperlink"/>
            <w:rFonts w:cs="Arial"/>
            <w:noProof/>
          </w:rPr>
          <w:t>Conclusions from the dietary intake assessment</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_Toc427678259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31</w:t>
        </w:r>
        <w:r w:rsidR="00EE1FB8" w:rsidRPr="00EE1FB8">
          <w:rPr>
            <w:rFonts w:ascii="Arial" w:hAnsi="Arial" w:cs="Arial"/>
            <w:noProof/>
            <w:webHidden/>
          </w:rPr>
          <w:fldChar w:fldCharType="end"/>
        </w:r>
      </w:hyperlink>
    </w:p>
    <w:p w14:paraId="7F9C574A" w14:textId="77777777" w:rsidR="00EE1FB8" w:rsidRPr="00EE1FB8" w:rsidRDefault="00E13B53">
      <w:pPr>
        <w:pStyle w:val="TOC1"/>
        <w:tabs>
          <w:tab w:val="left" w:pos="440"/>
          <w:tab w:val="right" w:leader="dot" w:pos="9016"/>
        </w:tabs>
        <w:rPr>
          <w:rFonts w:ascii="Arial" w:eastAsiaTheme="minorEastAsia" w:hAnsi="Arial" w:cs="Arial"/>
          <w:b w:val="0"/>
          <w:bCs w:val="0"/>
          <w:caps w:val="0"/>
          <w:noProof/>
          <w:lang w:eastAsia="en-GB" w:bidi="ar-SA"/>
        </w:rPr>
      </w:pPr>
      <w:hyperlink w:anchor="_Toc427678260" w:history="1">
        <w:r w:rsidR="00EE1FB8" w:rsidRPr="00EE1FB8">
          <w:rPr>
            <w:rStyle w:val="Hyperlink"/>
            <w:rFonts w:cs="Arial"/>
            <w:noProof/>
          </w:rPr>
          <w:t>9</w:t>
        </w:r>
        <w:r w:rsidR="00EE1FB8" w:rsidRPr="00EE1FB8">
          <w:rPr>
            <w:rFonts w:ascii="Arial" w:eastAsiaTheme="minorEastAsia" w:hAnsi="Arial" w:cs="Arial"/>
            <w:b w:val="0"/>
            <w:bCs w:val="0"/>
            <w:caps w:val="0"/>
            <w:noProof/>
            <w:lang w:eastAsia="en-GB" w:bidi="ar-SA"/>
          </w:rPr>
          <w:tab/>
        </w:r>
        <w:r w:rsidR="00EE1FB8" w:rsidRPr="00EE1FB8">
          <w:rPr>
            <w:rStyle w:val="Hyperlink"/>
            <w:rFonts w:cs="Arial"/>
            <w:noProof/>
          </w:rPr>
          <w:t>Risk of excess nutrient intakes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_Toc427678260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32</w:t>
        </w:r>
        <w:r w:rsidR="00EE1FB8" w:rsidRPr="00EE1FB8">
          <w:rPr>
            <w:rFonts w:ascii="Arial" w:hAnsi="Arial" w:cs="Arial"/>
            <w:noProof/>
            <w:webHidden/>
          </w:rPr>
          <w:fldChar w:fldCharType="end"/>
        </w:r>
      </w:hyperlink>
    </w:p>
    <w:p w14:paraId="2BCDA9C5" w14:textId="77777777" w:rsidR="00EE1FB8" w:rsidRPr="00EE1FB8" w:rsidRDefault="00E13B53">
      <w:pPr>
        <w:pStyle w:val="TOC1"/>
        <w:tabs>
          <w:tab w:val="left" w:pos="440"/>
          <w:tab w:val="right" w:leader="dot" w:pos="9016"/>
        </w:tabs>
        <w:rPr>
          <w:rFonts w:ascii="Arial" w:eastAsiaTheme="minorEastAsia" w:hAnsi="Arial" w:cs="Arial"/>
          <w:b w:val="0"/>
          <w:bCs w:val="0"/>
          <w:caps w:val="0"/>
          <w:noProof/>
          <w:lang w:eastAsia="en-GB" w:bidi="ar-SA"/>
        </w:rPr>
      </w:pPr>
      <w:hyperlink w:anchor="_Toc427678261" w:history="1">
        <w:r w:rsidR="00EE1FB8" w:rsidRPr="00EE1FB8">
          <w:rPr>
            <w:rStyle w:val="Hyperlink"/>
            <w:rFonts w:cs="Arial"/>
            <w:noProof/>
          </w:rPr>
          <w:t>10</w:t>
        </w:r>
        <w:r w:rsidR="00EE1FB8" w:rsidRPr="00EE1FB8">
          <w:rPr>
            <w:rFonts w:ascii="Arial" w:eastAsiaTheme="minorEastAsia" w:hAnsi="Arial" w:cs="Arial"/>
            <w:b w:val="0"/>
            <w:bCs w:val="0"/>
            <w:caps w:val="0"/>
            <w:noProof/>
            <w:lang w:eastAsia="en-GB" w:bidi="ar-SA"/>
          </w:rPr>
          <w:tab/>
        </w:r>
        <w:r w:rsidR="00EE1FB8" w:rsidRPr="00EE1FB8">
          <w:rPr>
            <w:rStyle w:val="Hyperlink"/>
            <w:rFonts w:cs="Arial"/>
            <w:noProof/>
          </w:rPr>
          <w:t>How would consumers perceive fortified nut- and seed-based beverages?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_Toc427678261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33</w:t>
        </w:r>
        <w:r w:rsidR="00EE1FB8" w:rsidRPr="00EE1FB8">
          <w:rPr>
            <w:rFonts w:ascii="Arial" w:hAnsi="Arial" w:cs="Arial"/>
            <w:noProof/>
            <w:webHidden/>
          </w:rPr>
          <w:fldChar w:fldCharType="end"/>
        </w:r>
      </w:hyperlink>
    </w:p>
    <w:p w14:paraId="0BF6B606" w14:textId="77777777" w:rsidR="00EE1FB8" w:rsidRPr="00EE1FB8" w:rsidRDefault="00E13B53">
      <w:pPr>
        <w:pStyle w:val="TOC1"/>
        <w:tabs>
          <w:tab w:val="left" w:pos="440"/>
          <w:tab w:val="right" w:leader="dot" w:pos="9016"/>
        </w:tabs>
        <w:rPr>
          <w:rFonts w:ascii="Arial" w:eastAsiaTheme="minorEastAsia" w:hAnsi="Arial" w:cs="Arial"/>
          <w:b w:val="0"/>
          <w:bCs w:val="0"/>
          <w:caps w:val="0"/>
          <w:noProof/>
          <w:lang w:eastAsia="en-GB" w:bidi="ar-SA"/>
        </w:rPr>
      </w:pPr>
      <w:hyperlink w:anchor="_Toc427678262" w:history="1">
        <w:r w:rsidR="00EE1FB8" w:rsidRPr="00EE1FB8">
          <w:rPr>
            <w:rStyle w:val="Hyperlink"/>
            <w:rFonts w:cs="Arial"/>
            <w:noProof/>
          </w:rPr>
          <w:t>11</w:t>
        </w:r>
        <w:r w:rsidR="00EE1FB8" w:rsidRPr="00EE1FB8">
          <w:rPr>
            <w:rFonts w:ascii="Arial" w:eastAsiaTheme="minorEastAsia" w:hAnsi="Arial" w:cs="Arial"/>
            <w:b w:val="0"/>
            <w:bCs w:val="0"/>
            <w:caps w:val="0"/>
            <w:noProof/>
            <w:lang w:eastAsia="en-GB" w:bidi="ar-SA"/>
          </w:rPr>
          <w:tab/>
        </w:r>
        <w:r w:rsidR="00EE1FB8" w:rsidRPr="00EE1FB8">
          <w:rPr>
            <w:rStyle w:val="Hyperlink"/>
            <w:rFonts w:cs="Arial"/>
            <w:noProof/>
          </w:rPr>
          <w:t>Conclusions of the risk and technical assessment</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_Toc427678262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34</w:t>
        </w:r>
        <w:r w:rsidR="00EE1FB8" w:rsidRPr="00EE1FB8">
          <w:rPr>
            <w:rFonts w:ascii="Arial" w:hAnsi="Arial" w:cs="Arial"/>
            <w:noProof/>
            <w:webHidden/>
          </w:rPr>
          <w:fldChar w:fldCharType="end"/>
        </w:r>
      </w:hyperlink>
    </w:p>
    <w:p w14:paraId="12B1B449" w14:textId="77777777" w:rsidR="00EE1FB8" w:rsidRPr="00EE1FB8" w:rsidRDefault="00E13B53">
      <w:pPr>
        <w:pStyle w:val="TOC1"/>
        <w:tabs>
          <w:tab w:val="right" w:leader="dot" w:pos="9016"/>
        </w:tabs>
        <w:rPr>
          <w:rFonts w:ascii="Arial" w:eastAsiaTheme="minorEastAsia" w:hAnsi="Arial" w:cs="Arial"/>
          <w:b w:val="0"/>
          <w:bCs w:val="0"/>
          <w:caps w:val="0"/>
          <w:noProof/>
          <w:lang w:eastAsia="en-GB" w:bidi="ar-SA"/>
        </w:rPr>
      </w:pPr>
      <w:hyperlink w:anchor="_Toc427678263" w:history="1">
        <w:r w:rsidR="00EE1FB8" w:rsidRPr="00EE1FB8">
          <w:rPr>
            <w:rStyle w:val="Hyperlink"/>
            <w:rFonts w:cs="Arial"/>
            <w:noProof/>
          </w:rPr>
          <w:t>References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_Toc427678263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35</w:t>
        </w:r>
        <w:r w:rsidR="00EE1FB8" w:rsidRPr="00EE1FB8">
          <w:rPr>
            <w:rFonts w:ascii="Arial" w:hAnsi="Arial" w:cs="Arial"/>
            <w:noProof/>
            <w:webHidden/>
          </w:rPr>
          <w:fldChar w:fldCharType="end"/>
        </w:r>
      </w:hyperlink>
    </w:p>
    <w:p w14:paraId="465E1F86" w14:textId="77777777" w:rsidR="00EE1FB8" w:rsidRPr="00EE1FB8" w:rsidRDefault="00E13B53">
      <w:pPr>
        <w:pStyle w:val="TOC2"/>
        <w:tabs>
          <w:tab w:val="right" w:leader="dot" w:pos="9016"/>
        </w:tabs>
        <w:rPr>
          <w:rFonts w:ascii="Arial" w:eastAsiaTheme="minorEastAsia" w:hAnsi="Arial" w:cs="Arial"/>
          <w:smallCaps w:val="0"/>
          <w:noProof/>
          <w:lang w:eastAsia="en-GB" w:bidi="ar-SA"/>
        </w:rPr>
      </w:pPr>
      <w:hyperlink w:anchor="_Toc427678264" w:history="1">
        <w:r w:rsidR="00EE1FB8" w:rsidRPr="00EE1FB8">
          <w:rPr>
            <w:rStyle w:val="Hyperlink"/>
            <w:rFonts w:cs="Arial"/>
            <w:noProof/>
          </w:rPr>
          <w:t>Appendix 1 – Additional nutrient composition, nutrient intake and food consumption information</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_Toc427678264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38</w:t>
        </w:r>
        <w:r w:rsidR="00EE1FB8" w:rsidRPr="00EE1FB8">
          <w:rPr>
            <w:rFonts w:ascii="Arial" w:hAnsi="Arial" w:cs="Arial"/>
            <w:noProof/>
            <w:webHidden/>
          </w:rPr>
          <w:fldChar w:fldCharType="end"/>
        </w:r>
      </w:hyperlink>
    </w:p>
    <w:p w14:paraId="23EC2AB4" w14:textId="77777777" w:rsidR="00EE1FB8" w:rsidRPr="00EE1FB8" w:rsidRDefault="00E13B53">
      <w:pPr>
        <w:pStyle w:val="TOC2"/>
        <w:tabs>
          <w:tab w:val="right" w:leader="dot" w:pos="9016"/>
        </w:tabs>
        <w:rPr>
          <w:rFonts w:ascii="Arial" w:eastAsiaTheme="minorEastAsia" w:hAnsi="Arial" w:cs="Arial"/>
          <w:smallCaps w:val="0"/>
          <w:noProof/>
          <w:lang w:eastAsia="en-GB" w:bidi="ar-SA"/>
        </w:rPr>
      </w:pPr>
      <w:hyperlink w:anchor="_Toc427678265" w:history="1">
        <w:r w:rsidR="00EE1FB8" w:rsidRPr="00EE1FB8">
          <w:rPr>
            <w:rStyle w:val="Hyperlink"/>
            <w:rFonts w:cs="Arial"/>
            <w:noProof/>
          </w:rPr>
          <w:t>Appendix 2 – Summary of risk assessment questions and answers</w:t>
        </w:r>
        <w:r w:rsidR="00EE1FB8" w:rsidRPr="00EE1FB8">
          <w:rPr>
            <w:rFonts w:ascii="Arial" w:hAnsi="Arial" w:cs="Arial"/>
            <w:noProof/>
            <w:webHidden/>
          </w:rPr>
          <w:tab/>
        </w:r>
        <w:r w:rsidR="00EE1FB8" w:rsidRPr="00EE1FB8">
          <w:rPr>
            <w:rFonts w:ascii="Arial" w:hAnsi="Arial" w:cs="Arial"/>
            <w:noProof/>
            <w:webHidden/>
          </w:rPr>
          <w:fldChar w:fldCharType="begin"/>
        </w:r>
        <w:r w:rsidR="00EE1FB8" w:rsidRPr="00EE1FB8">
          <w:rPr>
            <w:rFonts w:ascii="Arial" w:hAnsi="Arial" w:cs="Arial"/>
            <w:noProof/>
            <w:webHidden/>
          </w:rPr>
          <w:instrText xml:space="preserve"> PAGEREF _Toc427678265 \h </w:instrText>
        </w:r>
        <w:r w:rsidR="00EE1FB8" w:rsidRPr="00EE1FB8">
          <w:rPr>
            <w:rFonts w:ascii="Arial" w:hAnsi="Arial" w:cs="Arial"/>
            <w:noProof/>
            <w:webHidden/>
          </w:rPr>
        </w:r>
        <w:r w:rsidR="00EE1FB8" w:rsidRPr="00EE1FB8">
          <w:rPr>
            <w:rFonts w:ascii="Arial" w:hAnsi="Arial" w:cs="Arial"/>
            <w:noProof/>
            <w:webHidden/>
          </w:rPr>
          <w:fldChar w:fldCharType="separate"/>
        </w:r>
        <w:r w:rsidR="00EE1FB8">
          <w:rPr>
            <w:rFonts w:ascii="Arial" w:hAnsi="Arial" w:cs="Arial"/>
            <w:noProof/>
            <w:webHidden/>
          </w:rPr>
          <w:t>61</w:t>
        </w:r>
        <w:r w:rsidR="00EE1FB8" w:rsidRPr="00EE1FB8">
          <w:rPr>
            <w:rFonts w:ascii="Arial" w:hAnsi="Arial" w:cs="Arial"/>
            <w:noProof/>
            <w:webHidden/>
          </w:rPr>
          <w:fldChar w:fldCharType="end"/>
        </w:r>
      </w:hyperlink>
    </w:p>
    <w:p w14:paraId="55461438" w14:textId="77777777" w:rsidR="00CE1D8E" w:rsidRDefault="00BF5AE0" w:rsidP="00D20A1E">
      <w:pPr>
        <w:widowControl/>
      </w:pPr>
      <w:r>
        <w:fldChar w:fldCharType="end"/>
      </w:r>
    </w:p>
    <w:p w14:paraId="360943E7" w14:textId="77777777" w:rsidR="00AB53A3" w:rsidRDefault="00AB53A3" w:rsidP="00D20A1E">
      <w:pPr>
        <w:pStyle w:val="Heading1"/>
        <w:widowControl/>
      </w:pPr>
      <w:bookmarkStart w:id="7" w:name="_Toc427672145"/>
      <w:r>
        <w:br w:type="page"/>
      </w:r>
    </w:p>
    <w:p w14:paraId="09FDAADA" w14:textId="38873501" w:rsidR="00CE1D8E" w:rsidRDefault="00CE1D8E" w:rsidP="00D20A1E">
      <w:pPr>
        <w:pStyle w:val="Heading1"/>
        <w:widowControl/>
      </w:pPr>
      <w:bookmarkStart w:id="8" w:name="_Toc427678211"/>
      <w:r>
        <w:lastRenderedPageBreak/>
        <w:t>Glossary of terms</w:t>
      </w:r>
      <w:bookmarkEnd w:id="7"/>
      <w:bookmarkEnd w:id="8"/>
    </w:p>
    <w:p w14:paraId="63901594" w14:textId="2A995971" w:rsidR="00CE1D8E" w:rsidRDefault="00CE1D8E" w:rsidP="00D20A1E">
      <w:pPr>
        <w:widowControl/>
        <w:rPr>
          <w:lang w:bidi="ar-SA"/>
        </w:rPr>
      </w:pPr>
      <w:r>
        <w:rPr>
          <w:lang w:bidi="ar-SA"/>
        </w:rPr>
        <w:t xml:space="preserve">This report contains a number of terms that describe milk or </w:t>
      </w:r>
      <w:r w:rsidR="003D608F">
        <w:rPr>
          <w:lang w:bidi="ar-SA"/>
        </w:rPr>
        <w:t>plant-based milk substitute</w:t>
      </w:r>
      <w:r>
        <w:rPr>
          <w:lang w:bidi="ar-SA"/>
        </w:rPr>
        <w:t xml:space="preserve"> beverages. The table below provides some definitions of these terms to assist the reader in interpreting the content of the report as a mixture of text from the ‘Term’ or the ‘Includes’ columns may be used in the report. Based on the table, where the term ‘milk’ is used in this report, it refers to any source of milk as outlined in the ‘Includes’ column’. Likewise where the specific ‘Include’ of ‘soy-based beverages’ is used in this report, this is one of the group of ‘Analogues derived from legumes’ group of beverages as noted in the ‘Term’ column.</w:t>
      </w:r>
    </w:p>
    <w:p w14:paraId="2998CB4C" w14:textId="77777777" w:rsidR="00CE1D8E" w:rsidRDefault="00CE1D8E" w:rsidP="00D20A1E">
      <w:pPr>
        <w:widowControl/>
      </w:pPr>
    </w:p>
    <w:p w14:paraId="65BBF81A" w14:textId="77777777" w:rsidR="00CE1D8E" w:rsidRDefault="00CE1D8E" w:rsidP="00D20A1E">
      <w:pPr>
        <w:pStyle w:val="FSTableTitle"/>
        <w:keepNext/>
        <w:keepLines/>
        <w:widowControl/>
      </w:pPr>
      <w:r>
        <w:t xml:space="preserve">Table </w:t>
      </w:r>
      <w:fldSimple w:instr=" SEQ Table \* ARABIC ">
        <w:r w:rsidR="00047581">
          <w:rPr>
            <w:noProof/>
          </w:rPr>
          <w:t>1</w:t>
        </w:r>
      </w:fldSimple>
      <w:r>
        <w:t>: Glossary of terms</w:t>
      </w:r>
    </w:p>
    <w:p w14:paraId="6876B179" w14:textId="77777777" w:rsidR="00AB53A3" w:rsidRPr="00AB53A3" w:rsidRDefault="00AB53A3" w:rsidP="00AB53A3"/>
    <w:tbl>
      <w:tblPr>
        <w:tblStyle w:val="TableGrid"/>
        <w:tblW w:w="0" w:type="auto"/>
        <w:tblLook w:val="04A0" w:firstRow="1" w:lastRow="0" w:firstColumn="1" w:lastColumn="0" w:noHBand="0" w:noVBand="1"/>
      </w:tblPr>
      <w:tblGrid>
        <w:gridCol w:w="1951"/>
        <w:gridCol w:w="4396"/>
        <w:gridCol w:w="2895"/>
      </w:tblGrid>
      <w:tr w:rsidR="00CE1D8E" w:rsidRPr="002D409C" w14:paraId="60D1C20D" w14:textId="77777777" w:rsidTr="002A284C">
        <w:trPr>
          <w:cantSplit/>
          <w:tblHeader/>
        </w:trPr>
        <w:tc>
          <w:tcPr>
            <w:tcW w:w="1951" w:type="dxa"/>
            <w:tcBorders>
              <w:bottom w:val="single" w:sz="4" w:space="0" w:color="000000"/>
            </w:tcBorders>
            <w:shd w:val="clear" w:color="auto" w:fill="B8CCE4" w:themeFill="accent1" w:themeFillTint="66"/>
          </w:tcPr>
          <w:p w14:paraId="7729E0F2" w14:textId="77777777" w:rsidR="00CE1D8E" w:rsidRPr="004F4DA4" w:rsidRDefault="00CE1D8E" w:rsidP="00D20A1E">
            <w:pPr>
              <w:pStyle w:val="FSTableText"/>
              <w:keepNext/>
              <w:keepLines/>
              <w:widowControl/>
              <w:spacing w:before="60" w:after="60"/>
              <w:rPr>
                <w:b/>
              </w:rPr>
            </w:pPr>
            <w:r w:rsidRPr="004F4DA4">
              <w:rPr>
                <w:b/>
              </w:rPr>
              <w:t>Term</w:t>
            </w:r>
          </w:p>
        </w:tc>
        <w:tc>
          <w:tcPr>
            <w:tcW w:w="4396" w:type="dxa"/>
            <w:shd w:val="clear" w:color="auto" w:fill="B8CCE4" w:themeFill="accent1" w:themeFillTint="66"/>
          </w:tcPr>
          <w:p w14:paraId="1CA7AC83" w14:textId="77777777" w:rsidR="00CE1D8E" w:rsidRPr="004F4DA4" w:rsidRDefault="00CE1D8E" w:rsidP="00D20A1E">
            <w:pPr>
              <w:pStyle w:val="FSTableText"/>
              <w:keepNext/>
              <w:keepLines/>
              <w:widowControl/>
              <w:spacing w:before="60" w:after="60"/>
              <w:rPr>
                <w:b/>
              </w:rPr>
            </w:pPr>
            <w:r w:rsidRPr="004F4DA4">
              <w:rPr>
                <w:b/>
              </w:rPr>
              <w:t>Definition</w:t>
            </w:r>
            <w:r>
              <w:rPr>
                <w:b/>
              </w:rPr>
              <w:t>/Sub-category</w:t>
            </w:r>
          </w:p>
        </w:tc>
        <w:tc>
          <w:tcPr>
            <w:tcW w:w="2895" w:type="dxa"/>
            <w:shd w:val="clear" w:color="auto" w:fill="B8CCE4" w:themeFill="accent1" w:themeFillTint="66"/>
          </w:tcPr>
          <w:p w14:paraId="6791D629" w14:textId="77777777" w:rsidR="00CE1D8E" w:rsidRPr="004F4DA4" w:rsidRDefault="00CE1D8E" w:rsidP="00D20A1E">
            <w:pPr>
              <w:pStyle w:val="FSTableText"/>
              <w:keepNext/>
              <w:keepLines/>
              <w:widowControl/>
              <w:spacing w:before="60" w:after="60"/>
              <w:rPr>
                <w:b/>
              </w:rPr>
            </w:pPr>
            <w:r w:rsidRPr="004F4DA4">
              <w:rPr>
                <w:b/>
              </w:rPr>
              <w:t>Includes</w:t>
            </w:r>
          </w:p>
        </w:tc>
      </w:tr>
      <w:tr w:rsidR="00CE1D8E" w14:paraId="7A9AC361" w14:textId="77777777" w:rsidTr="002A284C">
        <w:trPr>
          <w:cantSplit/>
        </w:trPr>
        <w:tc>
          <w:tcPr>
            <w:tcW w:w="1951" w:type="dxa"/>
            <w:vMerge w:val="restart"/>
          </w:tcPr>
          <w:p w14:paraId="6A0E60C9" w14:textId="77777777" w:rsidR="00CE1D8E" w:rsidRPr="0056428C" w:rsidRDefault="00CE1D8E" w:rsidP="00AB53A3">
            <w:pPr>
              <w:pStyle w:val="FSTableText"/>
              <w:spacing w:before="60" w:after="60"/>
            </w:pPr>
            <w:r w:rsidRPr="0056428C">
              <w:t>Analogues derived from legumes</w:t>
            </w:r>
          </w:p>
        </w:tc>
        <w:tc>
          <w:tcPr>
            <w:tcW w:w="4396" w:type="dxa"/>
            <w:vMerge w:val="restart"/>
          </w:tcPr>
          <w:p w14:paraId="44A3E6B8" w14:textId="77777777" w:rsidR="00CE1D8E" w:rsidRPr="0056428C" w:rsidRDefault="00CE1D8E" w:rsidP="00D20A1E">
            <w:pPr>
              <w:pStyle w:val="FSTableText"/>
              <w:keepNext/>
              <w:keepLines/>
              <w:widowControl/>
              <w:spacing w:before="60" w:after="60"/>
            </w:pPr>
            <w:r>
              <w:t>B</w:t>
            </w:r>
            <w:r w:rsidRPr="004F4DA4">
              <w:t>everages containing no less than 3% m/m protein derived from legumes</w:t>
            </w:r>
            <w:r>
              <w:rPr>
                <w:rStyle w:val="FootnoteReference"/>
              </w:rPr>
              <w:footnoteReference w:id="2"/>
            </w:r>
          </w:p>
        </w:tc>
        <w:tc>
          <w:tcPr>
            <w:tcW w:w="2895" w:type="dxa"/>
            <w:vAlign w:val="center"/>
          </w:tcPr>
          <w:p w14:paraId="5ED709AB" w14:textId="77777777" w:rsidR="00CE1D8E" w:rsidRPr="0056428C" w:rsidRDefault="00CE1D8E" w:rsidP="00D20A1E">
            <w:pPr>
              <w:pStyle w:val="FSTableText"/>
              <w:keepNext/>
              <w:keepLines/>
              <w:widowControl/>
              <w:spacing w:before="60" w:after="60"/>
            </w:pPr>
            <w:r>
              <w:t>Legume-based beverages</w:t>
            </w:r>
          </w:p>
        </w:tc>
      </w:tr>
      <w:tr w:rsidR="00CE1D8E" w14:paraId="5A973C32" w14:textId="77777777" w:rsidTr="002A284C">
        <w:trPr>
          <w:cantSplit/>
        </w:trPr>
        <w:tc>
          <w:tcPr>
            <w:tcW w:w="1951" w:type="dxa"/>
            <w:vMerge/>
            <w:tcBorders>
              <w:bottom w:val="single" w:sz="4" w:space="0" w:color="000000"/>
            </w:tcBorders>
          </w:tcPr>
          <w:p w14:paraId="1E464D69" w14:textId="77777777" w:rsidR="00CE1D8E" w:rsidRPr="0056428C" w:rsidRDefault="00CE1D8E" w:rsidP="00AB53A3">
            <w:pPr>
              <w:pStyle w:val="FSTableText"/>
              <w:spacing w:before="60" w:after="60"/>
            </w:pPr>
          </w:p>
        </w:tc>
        <w:tc>
          <w:tcPr>
            <w:tcW w:w="4396" w:type="dxa"/>
            <w:vMerge/>
            <w:tcBorders>
              <w:bottom w:val="single" w:sz="4" w:space="0" w:color="000000"/>
            </w:tcBorders>
          </w:tcPr>
          <w:p w14:paraId="0A1481A6" w14:textId="77777777" w:rsidR="00CE1D8E" w:rsidRPr="0056428C" w:rsidRDefault="00CE1D8E" w:rsidP="00D20A1E">
            <w:pPr>
              <w:pStyle w:val="FSTableText"/>
              <w:keepNext/>
              <w:keepLines/>
              <w:widowControl/>
              <w:spacing w:before="60" w:after="60"/>
            </w:pPr>
          </w:p>
        </w:tc>
        <w:tc>
          <w:tcPr>
            <w:tcW w:w="2895" w:type="dxa"/>
            <w:vAlign w:val="center"/>
          </w:tcPr>
          <w:p w14:paraId="4FBE823D" w14:textId="77777777" w:rsidR="00CE1D8E" w:rsidRPr="0056428C" w:rsidRDefault="00CE1D8E" w:rsidP="00D20A1E">
            <w:pPr>
              <w:pStyle w:val="FSTableText"/>
              <w:keepNext/>
              <w:keepLines/>
              <w:widowControl/>
              <w:spacing w:before="60" w:after="60"/>
            </w:pPr>
            <w:r w:rsidRPr="0056428C">
              <w:t>Soy-based beverages</w:t>
            </w:r>
          </w:p>
        </w:tc>
      </w:tr>
      <w:tr w:rsidR="00CE1D8E" w14:paraId="6083033C" w14:textId="77777777" w:rsidTr="002A284C">
        <w:trPr>
          <w:cantSplit/>
        </w:trPr>
        <w:tc>
          <w:tcPr>
            <w:tcW w:w="1951" w:type="dxa"/>
            <w:vMerge w:val="restart"/>
          </w:tcPr>
          <w:p w14:paraId="76ED226D" w14:textId="77777777" w:rsidR="00CE1D8E" w:rsidRPr="0056428C" w:rsidRDefault="00CE1D8E" w:rsidP="00AB53A3">
            <w:pPr>
              <w:pStyle w:val="FSTableText"/>
              <w:spacing w:before="60" w:after="60"/>
            </w:pPr>
            <w:r w:rsidRPr="0056428C">
              <w:t>Analogues derived from cereals</w:t>
            </w:r>
          </w:p>
        </w:tc>
        <w:tc>
          <w:tcPr>
            <w:tcW w:w="4396" w:type="dxa"/>
            <w:vMerge w:val="restart"/>
          </w:tcPr>
          <w:p w14:paraId="024EAEC1" w14:textId="36108AA0" w:rsidR="00CE1D8E" w:rsidRPr="0056428C" w:rsidRDefault="00CE1D8E" w:rsidP="00D20A1E">
            <w:pPr>
              <w:pStyle w:val="FSTableText"/>
              <w:keepNext/>
              <w:keepLines/>
              <w:widowControl/>
              <w:spacing w:before="60" w:after="60"/>
            </w:pPr>
            <w:r>
              <w:t>B</w:t>
            </w:r>
            <w:r w:rsidRPr="004F4DA4">
              <w:t>everages containing no less than 0.3% m/m protein derived from cereals</w:t>
            </w:r>
            <w:r w:rsidR="00202465">
              <w:rPr>
                <w:vertAlign w:val="superscript"/>
              </w:rPr>
              <w:t>1</w:t>
            </w:r>
          </w:p>
        </w:tc>
        <w:tc>
          <w:tcPr>
            <w:tcW w:w="2895" w:type="dxa"/>
            <w:vAlign w:val="center"/>
          </w:tcPr>
          <w:p w14:paraId="1F92DF08" w14:textId="77777777" w:rsidR="00CE1D8E" w:rsidRPr="0056428C" w:rsidRDefault="00CE1D8E" w:rsidP="00D20A1E">
            <w:pPr>
              <w:pStyle w:val="FSTableText"/>
              <w:keepNext/>
              <w:keepLines/>
              <w:widowControl/>
              <w:spacing w:before="60" w:after="60"/>
            </w:pPr>
            <w:r w:rsidRPr="0056428C">
              <w:t>Cereal-based beverages</w:t>
            </w:r>
          </w:p>
        </w:tc>
      </w:tr>
      <w:tr w:rsidR="00CE1D8E" w14:paraId="07A1B243" w14:textId="77777777" w:rsidTr="002A284C">
        <w:trPr>
          <w:cantSplit/>
        </w:trPr>
        <w:tc>
          <w:tcPr>
            <w:tcW w:w="1951" w:type="dxa"/>
            <w:vMerge/>
          </w:tcPr>
          <w:p w14:paraId="1D1FF0A9" w14:textId="77777777" w:rsidR="00CE1D8E" w:rsidRDefault="00CE1D8E" w:rsidP="00D20A1E">
            <w:pPr>
              <w:pStyle w:val="FSTableText"/>
              <w:keepNext/>
              <w:keepLines/>
              <w:widowControl/>
              <w:spacing w:before="60" w:after="60"/>
            </w:pPr>
          </w:p>
        </w:tc>
        <w:tc>
          <w:tcPr>
            <w:tcW w:w="4396" w:type="dxa"/>
            <w:vMerge/>
          </w:tcPr>
          <w:p w14:paraId="6D605164" w14:textId="77777777" w:rsidR="00CE1D8E" w:rsidRPr="0056428C" w:rsidRDefault="00CE1D8E" w:rsidP="00D20A1E">
            <w:pPr>
              <w:pStyle w:val="FSTableText"/>
              <w:keepNext/>
              <w:keepLines/>
              <w:widowControl/>
              <w:spacing w:before="60" w:after="60"/>
            </w:pPr>
          </w:p>
        </w:tc>
        <w:tc>
          <w:tcPr>
            <w:tcW w:w="2895" w:type="dxa"/>
            <w:vAlign w:val="center"/>
          </w:tcPr>
          <w:p w14:paraId="231F6CE7" w14:textId="77777777" w:rsidR="00CE1D8E" w:rsidRPr="0056428C" w:rsidRDefault="00CE1D8E" w:rsidP="00D20A1E">
            <w:pPr>
              <w:pStyle w:val="FSTableText"/>
              <w:keepNext/>
              <w:keepLines/>
              <w:widowControl/>
              <w:spacing w:before="60" w:after="60"/>
            </w:pPr>
            <w:r>
              <w:t>Rice-based beverages</w:t>
            </w:r>
          </w:p>
        </w:tc>
      </w:tr>
      <w:tr w:rsidR="00CE1D8E" w14:paraId="6F5A4AB3" w14:textId="77777777" w:rsidTr="002A284C">
        <w:trPr>
          <w:cantSplit/>
        </w:trPr>
        <w:tc>
          <w:tcPr>
            <w:tcW w:w="1951" w:type="dxa"/>
            <w:vMerge/>
            <w:tcBorders>
              <w:bottom w:val="single" w:sz="4" w:space="0" w:color="000000"/>
            </w:tcBorders>
          </w:tcPr>
          <w:p w14:paraId="61406DBC" w14:textId="77777777" w:rsidR="00CE1D8E" w:rsidRDefault="00CE1D8E" w:rsidP="00D20A1E">
            <w:pPr>
              <w:pStyle w:val="FSTableText"/>
              <w:keepNext/>
              <w:keepLines/>
              <w:widowControl/>
              <w:spacing w:before="60" w:after="60"/>
            </w:pPr>
          </w:p>
        </w:tc>
        <w:tc>
          <w:tcPr>
            <w:tcW w:w="4396" w:type="dxa"/>
            <w:vMerge/>
            <w:tcBorders>
              <w:bottom w:val="single" w:sz="4" w:space="0" w:color="000000"/>
            </w:tcBorders>
          </w:tcPr>
          <w:p w14:paraId="7FBEA461" w14:textId="77777777" w:rsidR="00CE1D8E" w:rsidRPr="0056428C" w:rsidRDefault="00CE1D8E" w:rsidP="00D20A1E">
            <w:pPr>
              <w:pStyle w:val="FSTableText"/>
              <w:keepNext/>
              <w:keepLines/>
              <w:widowControl/>
              <w:spacing w:before="60" w:after="60"/>
            </w:pPr>
          </w:p>
        </w:tc>
        <w:tc>
          <w:tcPr>
            <w:tcW w:w="2895" w:type="dxa"/>
            <w:vAlign w:val="center"/>
          </w:tcPr>
          <w:p w14:paraId="4FB50A55" w14:textId="77777777" w:rsidR="00CE1D8E" w:rsidRDefault="00CE1D8E" w:rsidP="00D20A1E">
            <w:pPr>
              <w:pStyle w:val="FSTableText"/>
              <w:keepNext/>
              <w:keepLines/>
              <w:widowControl/>
              <w:spacing w:before="60" w:after="60"/>
            </w:pPr>
            <w:r>
              <w:t>Oat-based beverages</w:t>
            </w:r>
          </w:p>
        </w:tc>
      </w:tr>
      <w:tr w:rsidR="00CE1D8E" w14:paraId="3F9B6D59" w14:textId="77777777" w:rsidTr="002A284C">
        <w:trPr>
          <w:cantSplit/>
        </w:trPr>
        <w:tc>
          <w:tcPr>
            <w:tcW w:w="1951" w:type="dxa"/>
            <w:vMerge w:val="restart"/>
          </w:tcPr>
          <w:p w14:paraId="75F09D79" w14:textId="77777777" w:rsidR="00CE1D8E" w:rsidRPr="0056428C" w:rsidRDefault="00CE1D8E" w:rsidP="00AB53A3">
            <w:pPr>
              <w:pStyle w:val="FSTableText"/>
              <w:spacing w:before="60" w:after="60"/>
            </w:pPr>
            <w:r w:rsidRPr="0056428C">
              <w:t>Analogues derived from nuts and seeds</w:t>
            </w:r>
          </w:p>
        </w:tc>
        <w:tc>
          <w:tcPr>
            <w:tcW w:w="4396" w:type="dxa"/>
            <w:vMerge w:val="restart"/>
          </w:tcPr>
          <w:p w14:paraId="2AD6331A" w14:textId="77777777" w:rsidR="00CE1D8E" w:rsidRPr="0056428C" w:rsidRDefault="00CE1D8E" w:rsidP="00D20A1E">
            <w:pPr>
              <w:pStyle w:val="FSTableText"/>
              <w:keepNext/>
              <w:keepLines/>
              <w:widowControl/>
              <w:spacing w:before="60" w:after="60"/>
            </w:pPr>
          </w:p>
        </w:tc>
        <w:tc>
          <w:tcPr>
            <w:tcW w:w="2895" w:type="dxa"/>
            <w:vAlign w:val="center"/>
          </w:tcPr>
          <w:p w14:paraId="767347EE" w14:textId="77777777" w:rsidR="00CE1D8E" w:rsidRPr="0056428C" w:rsidRDefault="00CE1D8E" w:rsidP="00D20A1E">
            <w:pPr>
              <w:pStyle w:val="FSTableText"/>
              <w:keepNext/>
              <w:keepLines/>
              <w:widowControl/>
              <w:spacing w:before="60" w:after="60"/>
            </w:pPr>
            <w:r w:rsidRPr="0056428C">
              <w:t>Almond-based beverages</w:t>
            </w:r>
          </w:p>
        </w:tc>
      </w:tr>
      <w:tr w:rsidR="00CE1D8E" w14:paraId="35196288" w14:textId="77777777" w:rsidTr="002A284C">
        <w:trPr>
          <w:cantSplit/>
        </w:trPr>
        <w:tc>
          <w:tcPr>
            <w:tcW w:w="1951" w:type="dxa"/>
            <w:vMerge/>
          </w:tcPr>
          <w:p w14:paraId="48BEBAC9" w14:textId="77777777" w:rsidR="00CE1D8E" w:rsidRPr="0056428C" w:rsidRDefault="00CE1D8E" w:rsidP="00AB53A3">
            <w:pPr>
              <w:pStyle w:val="FSTableText"/>
              <w:spacing w:before="60" w:after="60"/>
            </w:pPr>
          </w:p>
        </w:tc>
        <w:tc>
          <w:tcPr>
            <w:tcW w:w="4396" w:type="dxa"/>
            <w:vMerge/>
          </w:tcPr>
          <w:p w14:paraId="5810877C" w14:textId="77777777" w:rsidR="00CE1D8E" w:rsidRPr="0056428C" w:rsidRDefault="00CE1D8E" w:rsidP="00D20A1E">
            <w:pPr>
              <w:pStyle w:val="FSTableText"/>
              <w:keepNext/>
              <w:keepLines/>
              <w:widowControl/>
              <w:spacing w:before="60" w:after="60"/>
            </w:pPr>
          </w:p>
        </w:tc>
        <w:tc>
          <w:tcPr>
            <w:tcW w:w="2895" w:type="dxa"/>
            <w:vAlign w:val="center"/>
          </w:tcPr>
          <w:p w14:paraId="0D2A916B" w14:textId="35717430" w:rsidR="00CE1D8E" w:rsidRPr="0056428C" w:rsidRDefault="00CE1D8E" w:rsidP="00D20A1E">
            <w:pPr>
              <w:pStyle w:val="FSTableText"/>
              <w:keepNext/>
              <w:keepLines/>
              <w:widowControl/>
              <w:spacing w:before="60" w:after="60"/>
            </w:pPr>
            <w:r w:rsidRPr="0056428C">
              <w:t xml:space="preserve">Coconut-based </w:t>
            </w:r>
            <w:r w:rsidR="00703DC1">
              <w:t>milk substitutes</w:t>
            </w:r>
          </w:p>
        </w:tc>
      </w:tr>
      <w:tr w:rsidR="00CE1D8E" w14:paraId="07E990DC" w14:textId="77777777" w:rsidTr="002A284C">
        <w:trPr>
          <w:cantSplit/>
        </w:trPr>
        <w:tc>
          <w:tcPr>
            <w:tcW w:w="1951" w:type="dxa"/>
            <w:vMerge/>
          </w:tcPr>
          <w:p w14:paraId="29E5B8C6" w14:textId="77777777" w:rsidR="00CE1D8E" w:rsidRPr="0056428C" w:rsidRDefault="00CE1D8E" w:rsidP="00AB53A3">
            <w:pPr>
              <w:pStyle w:val="FSTableText"/>
              <w:spacing w:before="60" w:after="60"/>
            </w:pPr>
          </w:p>
        </w:tc>
        <w:tc>
          <w:tcPr>
            <w:tcW w:w="4396" w:type="dxa"/>
            <w:vMerge/>
          </w:tcPr>
          <w:p w14:paraId="6CEE54B3" w14:textId="77777777" w:rsidR="00CE1D8E" w:rsidRPr="0056428C" w:rsidRDefault="00CE1D8E" w:rsidP="00D20A1E">
            <w:pPr>
              <w:pStyle w:val="FSTableText"/>
              <w:keepNext/>
              <w:keepLines/>
              <w:widowControl/>
              <w:spacing w:before="60" w:after="60"/>
            </w:pPr>
          </w:p>
        </w:tc>
        <w:tc>
          <w:tcPr>
            <w:tcW w:w="2895" w:type="dxa"/>
            <w:vAlign w:val="center"/>
          </w:tcPr>
          <w:p w14:paraId="0E344FE4" w14:textId="77777777" w:rsidR="00CE1D8E" w:rsidRPr="0056428C" w:rsidRDefault="00CE1D8E" w:rsidP="00D20A1E">
            <w:pPr>
              <w:pStyle w:val="FSTableText"/>
              <w:keepNext/>
              <w:keepLines/>
              <w:widowControl/>
              <w:spacing w:before="60" w:after="60"/>
            </w:pPr>
            <w:r>
              <w:t>Hazelnut-based beverages</w:t>
            </w:r>
          </w:p>
        </w:tc>
      </w:tr>
      <w:tr w:rsidR="00CE1D8E" w14:paraId="0875452B" w14:textId="77777777" w:rsidTr="002A284C">
        <w:trPr>
          <w:cantSplit/>
        </w:trPr>
        <w:tc>
          <w:tcPr>
            <w:tcW w:w="1951" w:type="dxa"/>
            <w:vMerge/>
          </w:tcPr>
          <w:p w14:paraId="2666EFC9" w14:textId="77777777" w:rsidR="00CE1D8E" w:rsidRPr="0056428C" w:rsidRDefault="00CE1D8E" w:rsidP="00AB53A3">
            <w:pPr>
              <w:pStyle w:val="FSTableText"/>
              <w:spacing w:before="60" w:after="60"/>
            </w:pPr>
          </w:p>
        </w:tc>
        <w:tc>
          <w:tcPr>
            <w:tcW w:w="4396" w:type="dxa"/>
            <w:vMerge/>
          </w:tcPr>
          <w:p w14:paraId="5609BDC5" w14:textId="77777777" w:rsidR="00CE1D8E" w:rsidRPr="0056428C" w:rsidRDefault="00CE1D8E" w:rsidP="00D20A1E">
            <w:pPr>
              <w:pStyle w:val="FSTableText"/>
              <w:keepNext/>
              <w:keepLines/>
              <w:widowControl/>
              <w:spacing w:before="60" w:after="60"/>
            </w:pPr>
          </w:p>
        </w:tc>
        <w:tc>
          <w:tcPr>
            <w:tcW w:w="2895" w:type="dxa"/>
            <w:vAlign w:val="center"/>
          </w:tcPr>
          <w:p w14:paraId="4EC220E8" w14:textId="77777777" w:rsidR="00CE1D8E" w:rsidRPr="0056428C" w:rsidRDefault="00CE1D8E" w:rsidP="00D20A1E">
            <w:pPr>
              <w:pStyle w:val="FSTableText"/>
              <w:keepNext/>
              <w:keepLines/>
              <w:widowControl/>
              <w:spacing w:before="60" w:after="60"/>
            </w:pPr>
            <w:r>
              <w:t>Macadamia-based beverages</w:t>
            </w:r>
          </w:p>
        </w:tc>
      </w:tr>
      <w:tr w:rsidR="00CE1D8E" w14:paraId="5E7993B1" w14:textId="77777777" w:rsidTr="002A284C">
        <w:trPr>
          <w:cantSplit/>
        </w:trPr>
        <w:tc>
          <w:tcPr>
            <w:tcW w:w="1951" w:type="dxa"/>
            <w:vMerge/>
          </w:tcPr>
          <w:p w14:paraId="15EB30C8" w14:textId="77777777" w:rsidR="00CE1D8E" w:rsidRPr="0056428C" w:rsidRDefault="00CE1D8E" w:rsidP="00AB53A3">
            <w:pPr>
              <w:pStyle w:val="FSTableText"/>
              <w:spacing w:before="60" w:after="60"/>
            </w:pPr>
          </w:p>
        </w:tc>
        <w:tc>
          <w:tcPr>
            <w:tcW w:w="4396" w:type="dxa"/>
            <w:vMerge/>
          </w:tcPr>
          <w:p w14:paraId="7ABB17EF" w14:textId="77777777" w:rsidR="00CE1D8E" w:rsidRPr="0056428C" w:rsidRDefault="00CE1D8E" w:rsidP="00D20A1E">
            <w:pPr>
              <w:pStyle w:val="FSTableText"/>
              <w:keepNext/>
              <w:keepLines/>
              <w:widowControl/>
              <w:spacing w:before="60" w:after="60"/>
            </w:pPr>
          </w:p>
        </w:tc>
        <w:tc>
          <w:tcPr>
            <w:tcW w:w="2895" w:type="dxa"/>
            <w:vAlign w:val="center"/>
          </w:tcPr>
          <w:p w14:paraId="76921D43" w14:textId="26CF5EDD" w:rsidR="00CE1D8E" w:rsidRPr="0056428C" w:rsidRDefault="00075E2F" w:rsidP="00D20A1E">
            <w:pPr>
              <w:pStyle w:val="FSTableText"/>
              <w:keepNext/>
              <w:keepLines/>
              <w:widowControl/>
              <w:spacing w:before="60" w:after="60"/>
            </w:pPr>
            <w:r>
              <w:t xml:space="preserve">Nut- </w:t>
            </w:r>
            <w:r w:rsidR="00CE1D8E" w:rsidRPr="0056428C">
              <w:t>and seed-based beverages</w:t>
            </w:r>
          </w:p>
        </w:tc>
      </w:tr>
      <w:tr w:rsidR="00CE1D8E" w14:paraId="7B60AF31" w14:textId="77777777" w:rsidTr="002A284C">
        <w:trPr>
          <w:cantSplit/>
        </w:trPr>
        <w:tc>
          <w:tcPr>
            <w:tcW w:w="1951" w:type="dxa"/>
            <w:vMerge/>
          </w:tcPr>
          <w:p w14:paraId="7923CCFB" w14:textId="77777777" w:rsidR="00CE1D8E" w:rsidRPr="0056428C" w:rsidRDefault="00CE1D8E" w:rsidP="00AB53A3">
            <w:pPr>
              <w:pStyle w:val="FSTableText"/>
              <w:spacing w:before="60" w:after="60"/>
            </w:pPr>
          </w:p>
        </w:tc>
        <w:tc>
          <w:tcPr>
            <w:tcW w:w="4396" w:type="dxa"/>
            <w:vMerge/>
          </w:tcPr>
          <w:p w14:paraId="6D7BB7A9" w14:textId="77777777" w:rsidR="00CE1D8E" w:rsidRPr="0056428C" w:rsidRDefault="00CE1D8E" w:rsidP="00D20A1E">
            <w:pPr>
              <w:pStyle w:val="FSTableText"/>
              <w:keepNext/>
              <w:keepLines/>
              <w:widowControl/>
              <w:spacing w:before="60" w:after="60"/>
            </w:pPr>
          </w:p>
        </w:tc>
        <w:tc>
          <w:tcPr>
            <w:tcW w:w="2895" w:type="dxa"/>
            <w:vAlign w:val="center"/>
          </w:tcPr>
          <w:p w14:paraId="3E41BF9D" w14:textId="77777777" w:rsidR="00CE1D8E" w:rsidRPr="0056428C" w:rsidRDefault="00CE1D8E" w:rsidP="00D20A1E">
            <w:pPr>
              <w:pStyle w:val="FSTableText"/>
              <w:keepNext/>
              <w:keepLines/>
              <w:widowControl/>
              <w:spacing w:before="60" w:after="60"/>
            </w:pPr>
            <w:r w:rsidRPr="0056428C">
              <w:t>Nut-based beverages</w:t>
            </w:r>
          </w:p>
        </w:tc>
      </w:tr>
      <w:tr w:rsidR="00CE1D8E" w14:paraId="0FBB26BC" w14:textId="77777777" w:rsidTr="002A284C">
        <w:trPr>
          <w:cantSplit/>
        </w:trPr>
        <w:tc>
          <w:tcPr>
            <w:tcW w:w="1951" w:type="dxa"/>
            <w:vMerge/>
          </w:tcPr>
          <w:p w14:paraId="472DDDBE" w14:textId="77777777" w:rsidR="00CE1D8E" w:rsidRPr="0056428C" w:rsidRDefault="00CE1D8E" w:rsidP="00AB53A3">
            <w:pPr>
              <w:pStyle w:val="FSTableText"/>
              <w:spacing w:before="60" w:after="60"/>
            </w:pPr>
          </w:p>
        </w:tc>
        <w:tc>
          <w:tcPr>
            <w:tcW w:w="4396" w:type="dxa"/>
            <w:vMerge/>
          </w:tcPr>
          <w:p w14:paraId="45A08DED" w14:textId="77777777" w:rsidR="00CE1D8E" w:rsidRPr="0056428C" w:rsidRDefault="00CE1D8E" w:rsidP="00D20A1E">
            <w:pPr>
              <w:pStyle w:val="FSTableText"/>
              <w:keepNext/>
              <w:keepLines/>
              <w:widowControl/>
              <w:spacing w:before="60" w:after="60"/>
            </w:pPr>
          </w:p>
        </w:tc>
        <w:tc>
          <w:tcPr>
            <w:tcW w:w="2895" w:type="dxa"/>
            <w:vAlign w:val="center"/>
          </w:tcPr>
          <w:p w14:paraId="3B719703" w14:textId="77777777" w:rsidR="00CE1D8E" w:rsidRPr="0056428C" w:rsidRDefault="00CE1D8E" w:rsidP="00D20A1E">
            <w:pPr>
              <w:pStyle w:val="FSTableText"/>
              <w:keepNext/>
              <w:keepLines/>
              <w:widowControl/>
              <w:spacing w:before="60" w:after="60"/>
            </w:pPr>
            <w:r>
              <w:t>Sesame-based beverages</w:t>
            </w:r>
          </w:p>
        </w:tc>
      </w:tr>
      <w:tr w:rsidR="00CE1D8E" w14:paraId="1FE3341A" w14:textId="77777777" w:rsidTr="002A284C">
        <w:trPr>
          <w:cantSplit/>
        </w:trPr>
        <w:tc>
          <w:tcPr>
            <w:tcW w:w="1951" w:type="dxa"/>
            <w:vMerge/>
          </w:tcPr>
          <w:p w14:paraId="19C9A934" w14:textId="77777777" w:rsidR="00CE1D8E" w:rsidRPr="0056428C" w:rsidRDefault="00CE1D8E" w:rsidP="00AB53A3">
            <w:pPr>
              <w:pStyle w:val="FSTableText"/>
              <w:spacing w:before="60" w:after="60"/>
            </w:pPr>
          </w:p>
        </w:tc>
        <w:tc>
          <w:tcPr>
            <w:tcW w:w="4396" w:type="dxa"/>
            <w:vMerge/>
          </w:tcPr>
          <w:p w14:paraId="686CFE7D" w14:textId="77777777" w:rsidR="00CE1D8E" w:rsidRPr="0056428C" w:rsidRDefault="00CE1D8E" w:rsidP="00D20A1E">
            <w:pPr>
              <w:pStyle w:val="FSTableText"/>
              <w:keepNext/>
              <w:keepLines/>
              <w:widowControl/>
              <w:spacing w:before="60" w:after="60"/>
            </w:pPr>
          </w:p>
        </w:tc>
        <w:tc>
          <w:tcPr>
            <w:tcW w:w="2895" w:type="dxa"/>
            <w:vAlign w:val="center"/>
          </w:tcPr>
          <w:p w14:paraId="386BF001" w14:textId="77777777" w:rsidR="00CE1D8E" w:rsidRPr="0056428C" w:rsidRDefault="00CE1D8E" w:rsidP="00D20A1E">
            <w:pPr>
              <w:pStyle w:val="FSTableText"/>
              <w:keepNext/>
              <w:keepLines/>
              <w:widowControl/>
              <w:spacing w:before="60" w:after="60"/>
            </w:pPr>
            <w:r>
              <w:t>Sunflower-based beverages</w:t>
            </w:r>
          </w:p>
        </w:tc>
      </w:tr>
      <w:tr w:rsidR="00CE1D8E" w14:paraId="6A5F5456" w14:textId="77777777" w:rsidTr="002A284C">
        <w:trPr>
          <w:cantSplit/>
        </w:trPr>
        <w:tc>
          <w:tcPr>
            <w:tcW w:w="1951" w:type="dxa"/>
          </w:tcPr>
          <w:p w14:paraId="6A5285D6" w14:textId="77777777" w:rsidR="00CE1D8E" w:rsidRDefault="00CE1D8E" w:rsidP="00AB53A3">
            <w:pPr>
              <w:pStyle w:val="FSTableText"/>
              <w:spacing w:before="60" w:after="60"/>
            </w:pPr>
            <w:r>
              <w:t>Milk</w:t>
            </w:r>
          </w:p>
        </w:tc>
        <w:tc>
          <w:tcPr>
            <w:tcW w:w="4396" w:type="dxa"/>
          </w:tcPr>
          <w:p w14:paraId="7AE54C03" w14:textId="06758888" w:rsidR="00CE1D8E" w:rsidRDefault="00CE1D8E" w:rsidP="00D20A1E">
            <w:pPr>
              <w:pStyle w:val="FSTableText"/>
              <w:keepNext/>
              <w:keepLines/>
              <w:widowControl/>
              <w:spacing w:before="60" w:after="60"/>
            </w:pPr>
            <w:r>
              <w:rPr>
                <w:lang w:val="en-AU"/>
              </w:rPr>
              <w:t>F</w:t>
            </w:r>
            <w:r w:rsidRPr="00E53F99">
              <w:rPr>
                <w:lang w:val="en-AU"/>
              </w:rPr>
              <w:t>luid milk, evaporated milk, condensed milk and milk powder</w:t>
            </w:r>
            <w:r>
              <w:rPr>
                <w:lang w:val="en-AU"/>
              </w:rPr>
              <w:t xml:space="preserve"> </w:t>
            </w:r>
            <w:r w:rsidRPr="00E53F99">
              <w:rPr>
                <w:lang w:val="en-AU"/>
              </w:rPr>
              <w:t>(including undiluted and dry forms)</w:t>
            </w:r>
            <w:r>
              <w:rPr>
                <w:lang w:val="en-AU"/>
              </w:rPr>
              <w:t xml:space="preserve"> from cows, sheep and goats, irrespective of fat content</w:t>
            </w:r>
            <w:r w:rsidRPr="00E53F99">
              <w:rPr>
                <w:lang w:val="en-AU"/>
              </w:rPr>
              <w:t>.</w:t>
            </w:r>
          </w:p>
        </w:tc>
        <w:tc>
          <w:tcPr>
            <w:tcW w:w="2895" w:type="dxa"/>
            <w:vAlign w:val="center"/>
          </w:tcPr>
          <w:p w14:paraId="49A21729" w14:textId="77777777" w:rsidR="00CE1D8E" w:rsidRDefault="00CE1D8E" w:rsidP="00D20A1E">
            <w:pPr>
              <w:pStyle w:val="FSTableText"/>
              <w:keepNext/>
              <w:keepLines/>
              <w:widowControl/>
              <w:spacing w:before="60" w:after="60"/>
            </w:pPr>
          </w:p>
        </w:tc>
      </w:tr>
      <w:tr w:rsidR="00CE1D8E" w14:paraId="2D8AA29E" w14:textId="77777777" w:rsidTr="002A284C">
        <w:trPr>
          <w:cantSplit/>
        </w:trPr>
        <w:tc>
          <w:tcPr>
            <w:tcW w:w="1951" w:type="dxa"/>
          </w:tcPr>
          <w:p w14:paraId="66335C47" w14:textId="379EE468" w:rsidR="00CE1D8E" w:rsidRDefault="00CE1D8E" w:rsidP="00AB53A3">
            <w:pPr>
              <w:pStyle w:val="FSTableText"/>
              <w:spacing w:before="60" w:after="60"/>
            </w:pPr>
            <w:r>
              <w:t xml:space="preserve">Full cream </w:t>
            </w:r>
            <w:r w:rsidR="00FA56B6">
              <w:t>cow’s</w:t>
            </w:r>
            <w:r>
              <w:t xml:space="preserve"> milk</w:t>
            </w:r>
          </w:p>
        </w:tc>
        <w:tc>
          <w:tcPr>
            <w:tcW w:w="4396" w:type="dxa"/>
          </w:tcPr>
          <w:p w14:paraId="5B68055B" w14:textId="77777777" w:rsidR="00CE1D8E" w:rsidRDefault="00CE1D8E" w:rsidP="00D20A1E">
            <w:pPr>
              <w:pStyle w:val="FSTableText"/>
              <w:keepNext/>
              <w:keepLines/>
              <w:widowControl/>
              <w:spacing w:before="60" w:after="60"/>
            </w:pPr>
            <w:r>
              <w:t>Fluid milk of approximately 3.5% fat content from cattle only.</w:t>
            </w:r>
          </w:p>
        </w:tc>
        <w:tc>
          <w:tcPr>
            <w:tcW w:w="2895" w:type="dxa"/>
            <w:vAlign w:val="center"/>
          </w:tcPr>
          <w:p w14:paraId="40A24DAC" w14:textId="77777777" w:rsidR="00CE1D8E" w:rsidRDefault="00CE1D8E" w:rsidP="00D20A1E">
            <w:pPr>
              <w:pStyle w:val="FSTableText"/>
              <w:keepNext/>
              <w:keepLines/>
              <w:widowControl/>
              <w:spacing w:before="60" w:after="60"/>
            </w:pPr>
          </w:p>
        </w:tc>
      </w:tr>
      <w:tr w:rsidR="00293AD0" w14:paraId="05C38AD8" w14:textId="77777777" w:rsidTr="002A284C">
        <w:trPr>
          <w:cantSplit/>
        </w:trPr>
        <w:tc>
          <w:tcPr>
            <w:tcW w:w="1951" w:type="dxa"/>
          </w:tcPr>
          <w:p w14:paraId="7910DE9E" w14:textId="0C922D53" w:rsidR="00293AD0" w:rsidRDefault="00293AD0" w:rsidP="00AB53A3">
            <w:pPr>
              <w:pStyle w:val="FSTableText"/>
              <w:spacing w:before="60" w:after="60"/>
            </w:pPr>
            <w:r>
              <w:t>Milk consumer</w:t>
            </w:r>
          </w:p>
        </w:tc>
        <w:tc>
          <w:tcPr>
            <w:tcW w:w="4396" w:type="dxa"/>
          </w:tcPr>
          <w:p w14:paraId="6AECC2CA" w14:textId="184DF564" w:rsidR="00293AD0" w:rsidRDefault="00293AD0" w:rsidP="00D20A1E">
            <w:pPr>
              <w:pStyle w:val="FSTableText"/>
              <w:keepNext/>
              <w:keepLines/>
              <w:widowControl/>
              <w:spacing w:before="60" w:after="60"/>
            </w:pPr>
            <w:r>
              <w:t xml:space="preserve">Respondent who reported consuming milk in a national nutrition survey. </w:t>
            </w:r>
          </w:p>
          <w:p w14:paraId="17394884" w14:textId="2225C1BE" w:rsidR="00293AD0" w:rsidDel="00905285" w:rsidRDefault="00293AD0" w:rsidP="00D20A1E">
            <w:pPr>
              <w:pStyle w:val="FSTableText"/>
              <w:keepNext/>
              <w:keepLines/>
              <w:widowControl/>
              <w:spacing w:before="60" w:after="60"/>
            </w:pPr>
            <w:r>
              <w:t xml:space="preserve">For example, in the comparative analysis across surveys this included consumption of plain milk only </w:t>
            </w:r>
            <w:r w:rsidR="00625F4B">
              <w:t>or plain milk / flavoured milk / milkshakes / hot chocolate. It did</w:t>
            </w:r>
            <w:r>
              <w:t xml:space="preserve"> not </w:t>
            </w:r>
            <w:r w:rsidR="00625F4B">
              <w:t xml:space="preserve">include </w:t>
            </w:r>
            <w:r w:rsidRPr="00E53F99">
              <w:rPr>
                <w:lang w:val="en-AU"/>
              </w:rPr>
              <w:t>milk used in recipes</w:t>
            </w:r>
            <w:r>
              <w:rPr>
                <w:lang w:val="en-AU"/>
              </w:rPr>
              <w:t>.</w:t>
            </w:r>
            <w:r>
              <w:t xml:space="preserve"> </w:t>
            </w:r>
          </w:p>
        </w:tc>
        <w:tc>
          <w:tcPr>
            <w:tcW w:w="2895" w:type="dxa"/>
            <w:vAlign w:val="center"/>
          </w:tcPr>
          <w:p w14:paraId="0B9F9FD6" w14:textId="35B8C60A" w:rsidR="00293AD0" w:rsidRDefault="00293AD0" w:rsidP="00D20A1E">
            <w:pPr>
              <w:pStyle w:val="FSTableText"/>
              <w:keepNext/>
              <w:keepLines/>
              <w:widowControl/>
              <w:spacing w:before="60" w:after="60"/>
            </w:pPr>
          </w:p>
        </w:tc>
      </w:tr>
      <w:tr w:rsidR="00293AD0" w14:paraId="4300B830" w14:textId="77777777" w:rsidTr="002A284C">
        <w:trPr>
          <w:cantSplit/>
        </w:trPr>
        <w:tc>
          <w:tcPr>
            <w:tcW w:w="1951" w:type="dxa"/>
          </w:tcPr>
          <w:p w14:paraId="25EEB223" w14:textId="797F90C7" w:rsidR="00293AD0" w:rsidRDefault="00293AD0" w:rsidP="00D20A1E">
            <w:pPr>
              <w:pStyle w:val="FSTableText"/>
              <w:keepNext/>
              <w:keepLines/>
              <w:widowControl/>
              <w:spacing w:before="60" w:after="60"/>
            </w:pPr>
            <w:r>
              <w:lastRenderedPageBreak/>
              <w:t>Soy</w:t>
            </w:r>
            <w:r w:rsidR="00020572">
              <w:t>-based</w:t>
            </w:r>
            <w:r>
              <w:t xml:space="preserve"> beverage consumer</w:t>
            </w:r>
          </w:p>
        </w:tc>
        <w:tc>
          <w:tcPr>
            <w:tcW w:w="4396" w:type="dxa"/>
          </w:tcPr>
          <w:p w14:paraId="56989EAF" w14:textId="20938675" w:rsidR="00293AD0" w:rsidRDefault="00293AD0" w:rsidP="00D20A1E">
            <w:pPr>
              <w:pStyle w:val="FSTableText"/>
              <w:keepNext/>
              <w:keepLines/>
              <w:widowControl/>
              <w:spacing w:before="60" w:after="60"/>
            </w:pPr>
            <w:r>
              <w:t>Respondent who reported consuming soy</w:t>
            </w:r>
            <w:r w:rsidR="00017956">
              <w:t>-based</w:t>
            </w:r>
            <w:r>
              <w:t xml:space="preserve"> beverages in a national nutrition survey. </w:t>
            </w:r>
          </w:p>
          <w:p w14:paraId="5134B657" w14:textId="2CED84A7" w:rsidR="00293AD0" w:rsidDel="00905285" w:rsidRDefault="00293AD0" w:rsidP="00D20A1E">
            <w:pPr>
              <w:pStyle w:val="FSTableText"/>
              <w:keepNext/>
              <w:keepLines/>
              <w:widowControl/>
              <w:spacing w:before="60" w:after="60"/>
            </w:pPr>
            <w:r>
              <w:t xml:space="preserve">For example, in the comparative analysis across surveys this included plain </w:t>
            </w:r>
            <w:r w:rsidR="00625F4B">
              <w:t>soy-based beverages</w:t>
            </w:r>
            <w:r w:rsidR="00625F4B" w:rsidDel="00625F4B">
              <w:t xml:space="preserve"> </w:t>
            </w:r>
            <w:r w:rsidR="00625F4B">
              <w:t>or</w:t>
            </w:r>
            <w:r>
              <w:t xml:space="preserve"> </w:t>
            </w:r>
            <w:r w:rsidR="00625F4B">
              <w:t xml:space="preserve">plain </w:t>
            </w:r>
            <w:r w:rsidR="002F4F4A">
              <w:t>soy-based beverage</w:t>
            </w:r>
            <w:r w:rsidR="00625F4B">
              <w:t xml:space="preserve"> / flavoured soy-based beverage / soy ‘milkshakes’ / soy hot chocolate</w:t>
            </w:r>
            <w:r>
              <w:rPr>
                <w:lang w:val="en-AU"/>
              </w:rPr>
              <w:t>.</w:t>
            </w:r>
            <w:r w:rsidR="002F4F4A">
              <w:rPr>
                <w:lang w:val="en-AU"/>
              </w:rPr>
              <w:t xml:space="preserve"> </w:t>
            </w:r>
            <w:r w:rsidR="002F4F4A">
              <w:t>It did not include soy-based beverage</w:t>
            </w:r>
            <w:r w:rsidR="002F4F4A" w:rsidRPr="00E53F99">
              <w:rPr>
                <w:lang w:val="en-AU"/>
              </w:rPr>
              <w:t xml:space="preserve"> used in recipes</w:t>
            </w:r>
            <w:r w:rsidR="002F4F4A">
              <w:rPr>
                <w:lang w:val="en-AU"/>
              </w:rPr>
              <w:t>.</w:t>
            </w:r>
          </w:p>
        </w:tc>
        <w:tc>
          <w:tcPr>
            <w:tcW w:w="2895" w:type="dxa"/>
            <w:vAlign w:val="center"/>
          </w:tcPr>
          <w:p w14:paraId="6E440856" w14:textId="77777777" w:rsidR="00293AD0" w:rsidRDefault="00293AD0" w:rsidP="00D20A1E">
            <w:pPr>
              <w:pStyle w:val="FSTableText"/>
              <w:keepNext/>
              <w:keepLines/>
              <w:widowControl/>
              <w:spacing w:before="60" w:after="60"/>
            </w:pPr>
          </w:p>
        </w:tc>
      </w:tr>
      <w:tr w:rsidR="00293AD0" w14:paraId="012CDE13" w14:textId="77777777" w:rsidTr="002A284C">
        <w:trPr>
          <w:cantSplit/>
        </w:trPr>
        <w:tc>
          <w:tcPr>
            <w:tcW w:w="1951" w:type="dxa"/>
          </w:tcPr>
          <w:p w14:paraId="6F2E1602" w14:textId="674270B4" w:rsidR="00293AD0" w:rsidRDefault="00293AD0" w:rsidP="00D20A1E">
            <w:pPr>
              <w:pStyle w:val="FSTableText"/>
              <w:keepNext/>
              <w:keepLines/>
              <w:widowControl/>
              <w:spacing w:before="60" w:after="60"/>
            </w:pPr>
            <w:r>
              <w:t>Nut-based beverage consumer</w:t>
            </w:r>
          </w:p>
        </w:tc>
        <w:tc>
          <w:tcPr>
            <w:tcW w:w="4396" w:type="dxa"/>
          </w:tcPr>
          <w:p w14:paraId="5833BECE" w14:textId="32CE1A75" w:rsidR="00293AD0" w:rsidRDefault="00293AD0" w:rsidP="00D20A1E">
            <w:pPr>
              <w:pStyle w:val="FSTableText"/>
              <w:keepNext/>
              <w:keepLines/>
              <w:widowControl/>
              <w:spacing w:before="60" w:after="60"/>
            </w:pPr>
            <w:r>
              <w:t xml:space="preserve">Respondent who reported consuming a nut-based beverage in a national nutrition survey. </w:t>
            </w:r>
          </w:p>
          <w:p w14:paraId="560F38CC" w14:textId="2112DF5F" w:rsidR="00293AD0" w:rsidRDefault="00293AD0" w:rsidP="00D20A1E">
            <w:pPr>
              <w:pStyle w:val="FSTableText"/>
              <w:keepNext/>
              <w:keepLines/>
              <w:widowControl/>
              <w:spacing w:before="60" w:after="60"/>
            </w:pPr>
            <w:r>
              <w:t>For example, in the comparative analysis across surveys this included all almond</w:t>
            </w:r>
            <w:r w:rsidR="00062F23">
              <w:t>-based beverages and</w:t>
            </w:r>
            <w:r>
              <w:t xml:space="preserve"> coc</w:t>
            </w:r>
            <w:r w:rsidR="00703DC1">
              <w:t>o</w:t>
            </w:r>
            <w:r>
              <w:t>nut</w:t>
            </w:r>
            <w:r w:rsidR="00062F23">
              <w:t>-based</w:t>
            </w:r>
            <w:r>
              <w:t xml:space="preserve"> milk</w:t>
            </w:r>
            <w:r w:rsidR="00062F23">
              <w:t xml:space="preserve"> substitute</w:t>
            </w:r>
            <w:r>
              <w:t>s.</w:t>
            </w:r>
          </w:p>
        </w:tc>
        <w:tc>
          <w:tcPr>
            <w:tcW w:w="2895" w:type="dxa"/>
            <w:vAlign w:val="center"/>
          </w:tcPr>
          <w:p w14:paraId="2102BD82" w14:textId="00160174" w:rsidR="00293AD0" w:rsidRDefault="00293AD0" w:rsidP="00D20A1E">
            <w:pPr>
              <w:pStyle w:val="FSTableText"/>
              <w:keepNext/>
              <w:keepLines/>
              <w:widowControl/>
              <w:spacing w:before="60" w:after="60"/>
            </w:pPr>
          </w:p>
        </w:tc>
      </w:tr>
      <w:tr w:rsidR="00293AD0" w14:paraId="3642D455" w14:textId="77777777" w:rsidTr="002A284C">
        <w:trPr>
          <w:cantSplit/>
        </w:trPr>
        <w:tc>
          <w:tcPr>
            <w:tcW w:w="1951" w:type="dxa"/>
          </w:tcPr>
          <w:p w14:paraId="57517959" w14:textId="10D96C22" w:rsidR="00293AD0" w:rsidRDefault="00293AD0" w:rsidP="00D20A1E">
            <w:pPr>
              <w:pStyle w:val="FSTableText"/>
              <w:keepNext/>
              <w:keepLines/>
              <w:widowControl/>
              <w:spacing w:before="60" w:after="60"/>
            </w:pPr>
            <w:r>
              <w:t>Cereal-based beverage consumer</w:t>
            </w:r>
          </w:p>
        </w:tc>
        <w:tc>
          <w:tcPr>
            <w:tcW w:w="4396" w:type="dxa"/>
          </w:tcPr>
          <w:p w14:paraId="530EDB3F" w14:textId="285C063D" w:rsidR="00293AD0" w:rsidRDefault="00293AD0" w:rsidP="00D20A1E">
            <w:pPr>
              <w:pStyle w:val="FSTableText"/>
              <w:keepNext/>
              <w:keepLines/>
              <w:widowControl/>
              <w:spacing w:before="60" w:after="60"/>
            </w:pPr>
            <w:r>
              <w:t xml:space="preserve">Respondent who reported consuming a cereal-based beverage in a national nutrition survey. </w:t>
            </w:r>
          </w:p>
          <w:p w14:paraId="6BA92AB7" w14:textId="2902DE4C" w:rsidR="00293AD0" w:rsidDel="00905285" w:rsidRDefault="00293AD0" w:rsidP="00D20A1E">
            <w:pPr>
              <w:pStyle w:val="FSTableText"/>
              <w:keepNext/>
              <w:keepLines/>
              <w:widowControl/>
              <w:spacing w:before="60" w:after="60"/>
            </w:pPr>
            <w:r>
              <w:t>For example, in the comparative analysis across surveys this included consumption of all rice</w:t>
            </w:r>
            <w:r w:rsidR="002F4F4A">
              <w:t>-</w:t>
            </w:r>
            <w:r>
              <w:t>, oat</w:t>
            </w:r>
            <w:r w:rsidR="002F4F4A">
              <w:t>-</w:t>
            </w:r>
            <w:r>
              <w:t xml:space="preserve"> and other cereal-based beverages</w:t>
            </w:r>
          </w:p>
        </w:tc>
        <w:tc>
          <w:tcPr>
            <w:tcW w:w="2895" w:type="dxa"/>
            <w:vAlign w:val="center"/>
          </w:tcPr>
          <w:p w14:paraId="53D89116" w14:textId="08BE8AA4" w:rsidR="00293AD0" w:rsidRDefault="00293AD0" w:rsidP="00D20A1E">
            <w:pPr>
              <w:pStyle w:val="FSTableText"/>
              <w:keepNext/>
              <w:keepLines/>
              <w:widowControl/>
              <w:spacing w:before="60" w:after="60"/>
            </w:pPr>
          </w:p>
        </w:tc>
      </w:tr>
      <w:tr w:rsidR="00703DC1" w14:paraId="6449C809" w14:textId="77777777" w:rsidTr="002A284C">
        <w:trPr>
          <w:cantSplit/>
        </w:trPr>
        <w:tc>
          <w:tcPr>
            <w:tcW w:w="1951" w:type="dxa"/>
          </w:tcPr>
          <w:p w14:paraId="17AFE560" w14:textId="0B7ABE66" w:rsidR="00703DC1" w:rsidRDefault="00703DC1" w:rsidP="00D20A1E">
            <w:pPr>
              <w:pStyle w:val="FSTableText"/>
              <w:keepNext/>
              <w:keepLines/>
              <w:widowControl/>
              <w:spacing w:before="60" w:after="60"/>
            </w:pPr>
            <w:r>
              <w:t>Coconut-based milk substitute</w:t>
            </w:r>
          </w:p>
        </w:tc>
        <w:tc>
          <w:tcPr>
            <w:tcW w:w="4396" w:type="dxa"/>
          </w:tcPr>
          <w:p w14:paraId="51FF44F4" w14:textId="3386773D" w:rsidR="00703DC1" w:rsidRDefault="00703DC1" w:rsidP="00D20A1E">
            <w:pPr>
              <w:pStyle w:val="FSTableText"/>
              <w:keepNext/>
              <w:keepLines/>
              <w:widowControl/>
              <w:spacing w:before="60" w:after="60"/>
            </w:pPr>
            <w:r>
              <w:t xml:space="preserve">Milk substitute derived from coconut. </w:t>
            </w:r>
            <w:r w:rsidR="002F4F4A">
              <w:t>It s</w:t>
            </w:r>
            <w:r>
              <w:t xml:space="preserve">pecifically excludes coconut milk </w:t>
            </w:r>
            <w:r w:rsidR="00932BFD">
              <w:t xml:space="preserve">and coconut cream (i.e. those products used </w:t>
            </w:r>
            <w:r w:rsidR="002F4F4A">
              <w:t xml:space="preserve">to make </w:t>
            </w:r>
            <w:r w:rsidR="00932BFD">
              <w:t>dishes such as curries)</w:t>
            </w:r>
            <w:r>
              <w:t>, coconut water</w:t>
            </w:r>
            <w:r w:rsidR="00932BFD">
              <w:t xml:space="preserve"> and coconut water-based beverages</w:t>
            </w:r>
            <w:r>
              <w:t>.</w:t>
            </w:r>
          </w:p>
        </w:tc>
        <w:tc>
          <w:tcPr>
            <w:tcW w:w="2895" w:type="dxa"/>
            <w:vAlign w:val="center"/>
          </w:tcPr>
          <w:p w14:paraId="49051D81" w14:textId="77777777" w:rsidR="00703DC1" w:rsidRDefault="00703DC1" w:rsidP="00D20A1E">
            <w:pPr>
              <w:pStyle w:val="FSTableText"/>
              <w:keepNext/>
              <w:keepLines/>
              <w:widowControl/>
              <w:spacing w:before="60" w:after="60"/>
            </w:pPr>
          </w:p>
        </w:tc>
      </w:tr>
      <w:tr w:rsidR="00293AD0" w14:paraId="63F43237" w14:textId="77777777" w:rsidTr="002A284C">
        <w:trPr>
          <w:cantSplit/>
        </w:trPr>
        <w:tc>
          <w:tcPr>
            <w:tcW w:w="1951" w:type="dxa"/>
          </w:tcPr>
          <w:p w14:paraId="3A8D46CA" w14:textId="77777777" w:rsidR="00293AD0" w:rsidRPr="0056428C" w:rsidRDefault="00293AD0" w:rsidP="00D20A1E">
            <w:pPr>
              <w:pStyle w:val="FSTableText"/>
              <w:keepNext/>
              <w:keepLines/>
              <w:widowControl/>
              <w:spacing w:before="60" w:after="60"/>
            </w:pPr>
            <w:r>
              <w:t>Non-dairy consumer</w:t>
            </w:r>
          </w:p>
        </w:tc>
        <w:tc>
          <w:tcPr>
            <w:tcW w:w="4396" w:type="dxa"/>
          </w:tcPr>
          <w:p w14:paraId="1B6D50E6" w14:textId="3378AD8F" w:rsidR="00293AD0" w:rsidRDefault="00293AD0" w:rsidP="00D20A1E">
            <w:pPr>
              <w:pStyle w:val="FSTableText"/>
              <w:keepNext/>
              <w:keepLines/>
              <w:widowControl/>
              <w:spacing w:before="60" w:after="60"/>
            </w:pPr>
            <w:r>
              <w:t>R</w:t>
            </w:r>
            <w:r w:rsidRPr="00C82B8E">
              <w:t xml:space="preserve">espondent who did not </w:t>
            </w:r>
            <w:r>
              <w:t>report consuming</w:t>
            </w:r>
            <w:r w:rsidRPr="00C82B8E">
              <w:t xml:space="preserve"> </w:t>
            </w:r>
            <w:r>
              <w:t>products containing dairy ingredients in a national nutrition survey</w:t>
            </w:r>
            <w:r w:rsidRPr="00C82B8E">
              <w:t xml:space="preserve">. </w:t>
            </w:r>
          </w:p>
          <w:p w14:paraId="2B37A51F" w14:textId="3E9A3524" w:rsidR="00293AD0" w:rsidRDefault="00293AD0" w:rsidP="00D20A1E">
            <w:pPr>
              <w:pStyle w:val="FSTableText"/>
              <w:keepNext/>
              <w:keepLines/>
              <w:widowControl/>
              <w:spacing w:before="60" w:after="60"/>
            </w:pPr>
            <w:r>
              <w:t xml:space="preserve">For example, in the </w:t>
            </w:r>
            <w:r w:rsidR="00D929CD">
              <w:t xml:space="preserve">FSANZ assessment of </w:t>
            </w:r>
            <w:r>
              <w:t xml:space="preserve">A500 </w:t>
            </w:r>
            <w:r w:rsidR="00D929CD">
              <w:t>– Fortification of Cereal-Based Beverages,</w:t>
            </w:r>
            <w:r>
              <w:t xml:space="preserve"> the </w:t>
            </w:r>
            <w:r w:rsidRPr="00C82B8E">
              <w:t>1995 Aus</w:t>
            </w:r>
            <w:r>
              <w:t xml:space="preserve">tralian </w:t>
            </w:r>
            <w:r w:rsidRPr="00C82B8E">
              <w:t>N</w:t>
            </w:r>
            <w:r>
              <w:t>ational Nutrition Survey</w:t>
            </w:r>
            <w:r w:rsidRPr="00C82B8E">
              <w:t xml:space="preserve"> or 1997 N</w:t>
            </w:r>
            <w:r>
              <w:t xml:space="preserve">ew </w:t>
            </w:r>
            <w:r w:rsidRPr="00C82B8E">
              <w:t>Z</w:t>
            </w:r>
            <w:r>
              <w:t xml:space="preserve">ealand </w:t>
            </w:r>
            <w:r w:rsidRPr="00C82B8E">
              <w:t>N</w:t>
            </w:r>
            <w:r>
              <w:t xml:space="preserve">ational Nutrition Survey non-dairy consumers did not report consuming </w:t>
            </w:r>
            <w:r w:rsidRPr="00C82B8E">
              <w:t>milk, milk yoghurt, cream, milk cheese, frozen and unfrozen milk desserts, dairy spreads, butter, oil/cream base sauces or pizza.</w:t>
            </w:r>
            <w:r>
              <w:t xml:space="preserve"> </w:t>
            </w:r>
            <w:r w:rsidRPr="00C82B8E">
              <w:t xml:space="preserve">Additionally, for Australian </w:t>
            </w:r>
            <w:r>
              <w:t xml:space="preserve">survey </w:t>
            </w:r>
            <w:r w:rsidRPr="00C82B8E">
              <w:t>respondents, a ‘non-dairy consumer’ did not eat milk-based meal replacements, infant custards or yoghurts or relevant dairy-based sauces.</w:t>
            </w:r>
            <w:r>
              <w:t xml:space="preserve"> </w:t>
            </w:r>
          </w:p>
          <w:p w14:paraId="58E1807C" w14:textId="6DCFE7E6" w:rsidR="00293AD0" w:rsidRPr="0056428C" w:rsidRDefault="00293AD0" w:rsidP="00D20A1E">
            <w:pPr>
              <w:pStyle w:val="FSTableText"/>
              <w:keepNext/>
              <w:keepLines/>
              <w:widowControl/>
              <w:spacing w:before="60" w:after="60"/>
            </w:pPr>
            <w:r>
              <w:t xml:space="preserve">Non-dairy consumers may or may not have consumed a </w:t>
            </w:r>
            <w:r w:rsidR="003D608F">
              <w:t>plant-based milk substitute</w:t>
            </w:r>
            <w:r>
              <w:t xml:space="preserve">. Where a </w:t>
            </w:r>
            <w:r w:rsidR="003D608F">
              <w:t>plant-based milk substitute</w:t>
            </w:r>
            <w:r>
              <w:t xml:space="preserve"> was consumed, it was assumed to be unfortified unless otherwise stated.</w:t>
            </w:r>
          </w:p>
        </w:tc>
        <w:tc>
          <w:tcPr>
            <w:tcW w:w="2895" w:type="dxa"/>
            <w:vAlign w:val="center"/>
          </w:tcPr>
          <w:p w14:paraId="5E0AEB5D" w14:textId="77777777" w:rsidR="00293AD0" w:rsidRDefault="00293AD0" w:rsidP="00D20A1E">
            <w:pPr>
              <w:pStyle w:val="FSTableText"/>
              <w:keepNext/>
              <w:keepLines/>
              <w:widowControl/>
              <w:spacing w:before="60" w:after="60"/>
            </w:pPr>
          </w:p>
        </w:tc>
      </w:tr>
      <w:tr w:rsidR="0001620E" w14:paraId="08CBFF44" w14:textId="77777777" w:rsidTr="002A284C">
        <w:trPr>
          <w:cantSplit/>
        </w:trPr>
        <w:tc>
          <w:tcPr>
            <w:tcW w:w="1951" w:type="dxa"/>
          </w:tcPr>
          <w:p w14:paraId="61CCFF98" w14:textId="583416E8" w:rsidR="0001620E" w:rsidRDefault="0001620E" w:rsidP="00D20A1E">
            <w:pPr>
              <w:pStyle w:val="FSTableText"/>
              <w:keepNext/>
              <w:keepLines/>
              <w:widowControl/>
              <w:spacing w:before="60" w:after="60"/>
            </w:pPr>
            <w:r>
              <w:t>General population</w:t>
            </w:r>
          </w:p>
        </w:tc>
        <w:tc>
          <w:tcPr>
            <w:tcW w:w="4396" w:type="dxa"/>
          </w:tcPr>
          <w:p w14:paraId="1076627B" w14:textId="2C00A26B" w:rsidR="0001620E" w:rsidRDefault="0001620E" w:rsidP="00D20A1E">
            <w:pPr>
              <w:pStyle w:val="FSTableText"/>
              <w:keepNext/>
              <w:keepLines/>
              <w:widowControl/>
              <w:spacing w:before="60" w:after="60"/>
            </w:pPr>
            <w:r>
              <w:t>The general population includes all survey respondents, irrespective of whether they consumed dairy products or plant-based milk alternatives or not.</w:t>
            </w:r>
          </w:p>
        </w:tc>
        <w:tc>
          <w:tcPr>
            <w:tcW w:w="2895" w:type="dxa"/>
            <w:vAlign w:val="center"/>
          </w:tcPr>
          <w:p w14:paraId="28ACD09E" w14:textId="77777777" w:rsidR="0001620E" w:rsidRDefault="0001620E" w:rsidP="00D20A1E">
            <w:pPr>
              <w:pStyle w:val="FSTableText"/>
              <w:keepNext/>
              <w:keepLines/>
              <w:widowControl/>
              <w:spacing w:before="60" w:after="60"/>
            </w:pPr>
          </w:p>
        </w:tc>
      </w:tr>
    </w:tbl>
    <w:p w14:paraId="2A37433F" w14:textId="77777777" w:rsidR="00CE1D8E" w:rsidRDefault="00CE1D8E" w:rsidP="00D20A1E">
      <w:pPr>
        <w:widowControl/>
      </w:pPr>
    </w:p>
    <w:p w14:paraId="38F3E512" w14:textId="33C31FDC" w:rsidR="00A21841" w:rsidRDefault="00A21841" w:rsidP="00D20A1E">
      <w:pPr>
        <w:widowControl/>
      </w:pPr>
      <w:r>
        <w:rPr>
          <w:b/>
          <w:bCs/>
        </w:rPr>
        <w:br w:type="page"/>
      </w:r>
    </w:p>
    <w:p w14:paraId="7CF22C4D" w14:textId="00319F31" w:rsidR="007565D1" w:rsidRPr="00353A99" w:rsidRDefault="00AF4FCB" w:rsidP="00D20A1E">
      <w:pPr>
        <w:pStyle w:val="Heading1"/>
        <w:keepLines/>
        <w:widowControl/>
      </w:pPr>
      <w:bookmarkStart w:id="9" w:name="_Toc427672146"/>
      <w:bookmarkStart w:id="10" w:name="_Toc427678212"/>
      <w:r>
        <w:lastRenderedPageBreak/>
        <w:t>1</w:t>
      </w:r>
      <w:r>
        <w:tab/>
      </w:r>
      <w:r w:rsidR="007565D1" w:rsidRPr="00353A99">
        <w:t>Objectives of the assessment</w:t>
      </w:r>
      <w:bookmarkEnd w:id="9"/>
      <w:bookmarkEnd w:id="10"/>
    </w:p>
    <w:p w14:paraId="35C0D85A" w14:textId="45BE8140" w:rsidR="007565D1" w:rsidRDefault="007565D1" w:rsidP="00D20A1E">
      <w:pPr>
        <w:keepNext/>
        <w:keepLines/>
        <w:widowControl/>
      </w:pPr>
      <w:r w:rsidRPr="00167DEB">
        <w:t xml:space="preserve">The objective of this </w:t>
      </w:r>
      <w:r w:rsidR="00D26CEF">
        <w:t>technical and nutrition</w:t>
      </w:r>
      <w:r w:rsidR="00D26CEF" w:rsidRPr="00167DEB">
        <w:t xml:space="preserve"> </w:t>
      </w:r>
      <w:r w:rsidRPr="00167DEB">
        <w:t xml:space="preserve">assessment </w:t>
      </w:r>
      <w:r>
        <w:t>was</w:t>
      </w:r>
      <w:r w:rsidRPr="00167DEB">
        <w:t xml:space="preserve"> to</w:t>
      </w:r>
      <w:r>
        <w:t xml:space="preserve"> </w:t>
      </w:r>
      <w:r w:rsidRPr="00440DE3">
        <w:t xml:space="preserve">evaluate </w:t>
      </w:r>
      <w:r w:rsidR="00A21841">
        <w:t>the</w:t>
      </w:r>
      <w:r w:rsidR="00A21841" w:rsidRPr="00440DE3">
        <w:t xml:space="preserve"> </w:t>
      </w:r>
      <w:r w:rsidRPr="00440DE3">
        <w:t xml:space="preserve">potential public health and safety </w:t>
      </w:r>
      <w:r w:rsidR="00A21841">
        <w:t>risks</w:t>
      </w:r>
      <w:r w:rsidR="00A21841" w:rsidRPr="00440DE3">
        <w:t xml:space="preserve"> </w:t>
      </w:r>
      <w:r w:rsidRPr="00440DE3">
        <w:t xml:space="preserve">that may arise from the </w:t>
      </w:r>
      <w:r w:rsidR="004B0691">
        <w:t xml:space="preserve">voluntary </w:t>
      </w:r>
      <w:r w:rsidRPr="00440DE3">
        <w:t xml:space="preserve">fortification of </w:t>
      </w:r>
      <w:r w:rsidR="00075E2F">
        <w:t xml:space="preserve">nut- </w:t>
      </w:r>
      <w:r w:rsidRPr="00440DE3">
        <w:t>and seed-based beverages with specific vitamins and minerals</w:t>
      </w:r>
      <w:r w:rsidR="004B0691">
        <w:t xml:space="preserve">, as requested </w:t>
      </w:r>
      <w:r w:rsidR="00321767">
        <w:t>by</w:t>
      </w:r>
      <w:r w:rsidR="004B0691">
        <w:t xml:space="preserve"> Application A1104</w:t>
      </w:r>
      <w:r w:rsidRPr="00440DE3">
        <w:t>.</w:t>
      </w:r>
    </w:p>
    <w:p w14:paraId="7B8995D9" w14:textId="3E5EA002" w:rsidR="005D7054" w:rsidRPr="00353A99" w:rsidRDefault="00AF4FCB" w:rsidP="00D20A1E">
      <w:pPr>
        <w:pStyle w:val="Heading2"/>
      </w:pPr>
      <w:bookmarkStart w:id="11" w:name="_Ref421792793"/>
      <w:bookmarkStart w:id="12" w:name="_Toc427672147"/>
      <w:bookmarkStart w:id="13" w:name="_Toc427678213"/>
      <w:r>
        <w:t>1.1</w:t>
      </w:r>
      <w:r>
        <w:tab/>
      </w:r>
      <w:r w:rsidR="005D7054">
        <w:t>Introduction</w:t>
      </w:r>
      <w:bookmarkEnd w:id="11"/>
      <w:bookmarkEnd w:id="12"/>
      <w:bookmarkEnd w:id="13"/>
    </w:p>
    <w:p w14:paraId="35424554" w14:textId="06FBD5C9" w:rsidR="000F7FA2" w:rsidRDefault="00075E2F" w:rsidP="00D20A1E">
      <w:pPr>
        <w:widowControl/>
      </w:pPr>
      <w:r>
        <w:t xml:space="preserve">Nut- </w:t>
      </w:r>
      <w:r w:rsidR="000F7FA2">
        <w:t xml:space="preserve">and seed-based beverages are intended to be consumed as milk substitutes. The </w:t>
      </w:r>
      <w:r w:rsidR="00321767">
        <w:t xml:space="preserve">Applicant </w:t>
      </w:r>
      <w:r w:rsidR="000F7FA2">
        <w:t xml:space="preserve">has requested </w:t>
      </w:r>
      <w:r w:rsidR="00062F23">
        <w:t>that</w:t>
      </w:r>
      <w:r w:rsidR="000F7FA2">
        <w:t xml:space="preserve"> </w:t>
      </w:r>
      <w:r>
        <w:t xml:space="preserve">nut- </w:t>
      </w:r>
      <w:r w:rsidR="000F7FA2">
        <w:t>and seed-based beverages</w:t>
      </w:r>
      <w:r w:rsidR="00062F23">
        <w:t xml:space="preserve"> </w:t>
      </w:r>
      <w:r w:rsidR="000F7FA2">
        <w:t>be fortified on a voluntary basis on the principle of nutritional equivalence of a counterpart food. In this re</w:t>
      </w:r>
      <w:r w:rsidR="00062F23">
        <w:t>s</w:t>
      </w:r>
      <w:r w:rsidR="000F7FA2">
        <w:t xml:space="preserve">pect, the findings of A500 – Fortification of Cereal-Based Beverages </w:t>
      </w:r>
      <w:r w:rsidR="000F7FA2" w:rsidRPr="0004259A">
        <w:t>(FSANZ 2005b)</w:t>
      </w:r>
      <w:r w:rsidR="000F7FA2">
        <w:t xml:space="preserve"> are relevant to this assessment</w:t>
      </w:r>
      <w:r w:rsidR="00602956">
        <w:t xml:space="preserve">, where milk was considered as the </w:t>
      </w:r>
      <w:r w:rsidR="00602956" w:rsidRPr="00AE4577">
        <w:rPr>
          <w:szCs w:val="20"/>
          <w:lang w:val="en-AU"/>
        </w:rPr>
        <w:t>regular counterpart fo</w:t>
      </w:r>
      <w:r w:rsidR="00602956">
        <w:rPr>
          <w:szCs w:val="20"/>
          <w:lang w:val="en-AU"/>
        </w:rPr>
        <w:t>od in the context of nutrition</w:t>
      </w:r>
      <w:r w:rsidR="00602956" w:rsidRPr="00AE4577">
        <w:rPr>
          <w:szCs w:val="20"/>
          <w:lang w:val="en-AU"/>
        </w:rPr>
        <w:t>al equivalence</w:t>
      </w:r>
      <w:r w:rsidR="00602956">
        <w:rPr>
          <w:szCs w:val="20"/>
          <w:lang w:val="en-AU"/>
        </w:rPr>
        <w:t xml:space="preserve"> for milk substitutes</w:t>
      </w:r>
      <w:r w:rsidR="000F7FA2">
        <w:t>.</w:t>
      </w:r>
    </w:p>
    <w:p w14:paraId="7E398864" w14:textId="77777777" w:rsidR="000F7FA2" w:rsidRDefault="000F7FA2" w:rsidP="00D20A1E">
      <w:pPr>
        <w:widowControl/>
      </w:pPr>
    </w:p>
    <w:p w14:paraId="0C995C12" w14:textId="453228F0" w:rsidR="00666652" w:rsidRDefault="005D7054" w:rsidP="00D20A1E">
      <w:pPr>
        <w:widowControl/>
        <w:rPr>
          <w:lang w:bidi="ar-SA"/>
        </w:rPr>
      </w:pPr>
      <w:r>
        <w:t xml:space="preserve">FSANZ </w:t>
      </w:r>
      <w:r w:rsidR="00A53C15">
        <w:t xml:space="preserve">assessed food consumption patterns of milk and milk substitutes </w:t>
      </w:r>
      <w:r w:rsidR="008C2C35">
        <w:t xml:space="preserve">(Section </w:t>
      </w:r>
      <w:r w:rsidR="008C2C35">
        <w:fldChar w:fldCharType="begin"/>
      </w:r>
      <w:r w:rsidR="008C2C35">
        <w:instrText xml:space="preserve"> REF _Ref426440851 \r \h </w:instrText>
      </w:r>
      <w:r w:rsidR="008C2C35">
        <w:fldChar w:fldCharType="separate"/>
      </w:r>
      <w:r w:rsidR="00047581">
        <w:t>3</w:t>
      </w:r>
      <w:r w:rsidR="008C2C35">
        <w:fldChar w:fldCharType="end"/>
      </w:r>
      <w:r w:rsidR="008C2C35">
        <w:t xml:space="preserve">) </w:t>
      </w:r>
      <w:r w:rsidR="00A53C15">
        <w:t>and the intakes of the nutrients requested by the Applicant across all available surveys</w:t>
      </w:r>
      <w:r w:rsidR="00C22129">
        <w:t xml:space="preserve"> </w:t>
      </w:r>
      <w:r w:rsidR="00C22129">
        <w:rPr>
          <w:lang w:bidi="ar-SA"/>
        </w:rPr>
        <w:t xml:space="preserve">(see Section </w:t>
      </w:r>
      <w:r w:rsidR="00C22129">
        <w:rPr>
          <w:lang w:bidi="ar-SA"/>
        </w:rPr>
        <w:fldChar w:fldCharType="begin"/>
      </w:r>
      <w:r w:rsidR="00C22129">
        <w:rPr>
          <w:lang w:bidi="ar-SA"/>
        </w:rPr>
        <w:instrText xml:space="preserve"> REF _Ref421802008 \r \h </w:instrText>
      </w:r>
      <w:r w:rsidR="00C22129">
        <w:rPr>
          <w:lang w:bidi="ar-SA"/>
        </w:rPr>
      </w:r>
      <w:r w:rsidR="00C22129">
        <w:rPr>
          <w:lang w:bidi="ar-SA"/>
        </w:rPr>
        <w:fldChar w:fldCharType="separate"/>
      </w:r>
      <w:r w:rsidR="00047581">
        <w:rPr>
          <w:lang w:bidi="ar-SA"/>
        </w:rPr>
        <w:t>8</w:t>
      </w:r>
      <w:r w:rsidR="00C22129">
        <w:rPr>
          <w:lang w:bidi="ar-SA"/>
        </w:rPr>
        <w:fldChar w:fldCharType="end"/>
      </w:r>
      <w:r w:rsidR="00C22129">
        <w:rPr>
          <w:lang w:bidi="ar-SA"/>
        </w:rPr>
        <w:t>)</w:t>
      </w:r>
      <w:r w:rsidR="00A53C15">
        <w:t>; for Australian populations</w:t>
      </w:r>
      <w:r w:rsidR="005D7392">
        <w:t>,</w:t>
      </w:r>
      <w:r w:rsidR="00A53C15">
        <w:t xml:space="preserve"> the 1995 National Nutrition Survey (AusNNS), the 2007 </w:t>
      </w:r>
      <w:r w:rsidR="00A53C15">
        <w:rPr>
          <w:lang w:bidi="ar-SA"/>
        </w:rPr>
        <w:t>Children’s Nutrition and Physical Activity Survey (ANCNAPS) and the Australian 2011</w:t>
      </w:r>
      <w:r w:rsidR="002776FD">
        <w:rPr>
          <w:lang w:bidi="ar-SA"/>
        </w:rPr>
        <w:t>-</w:t>
      </w:r>
      <w:r w:rsidR="00A53C15">
        <w:rPr>
          <w:lang w:bidi="ar-SA"/>
        </w:rPr>
        <w:t>12 National Nutrition and Phys</w:t>
      </w:r>
      <w:r w:rsidR="00666652">
        <w:rPr>
          <w:lang w:bidi="ar-SA"/>
        </w:rPr>
        <w:t>ical Activity Survey (NNPAS); f</w:t>
      </w:r>
      <w:r w:rsidR="00A53C15">
        <w:rPr>
          <w:lang w:bidi="ar-SA"/>
        </w:rPr>
        <w:t>or New</w:t>
      </w:r>
      <w:r w:rsidR="00666652">
        <w:rPr>
          <w:lang w:bidi="ar-SA"/>
        </w:rPr>
        <w:t xml:space="preserve"> Zealand</w:t>
      </w:r>
      <w:r w:rsidR="005D7392">
        <w:rPr>
          <w:lang w:bidi="ar-SA"/>
        </w:rPr>
        <w:t>,</w:t>
      </w:r>
      <w:r w:rsidR="00666652">
        <w:rPr>
          <w:lang w:bidi="ar-SA"/>
        </w:rPr>
        <w:t xml:space="preserve"> the 1997</w:t>
      </w:r>
      <w:r w:rsidR="005D7392">
        <w:rPr>
          <w:lang w:bidi="ar-SA"/>
        </w:rPr>
        <w:t xml:space="preserve"> New Zealand National Nutrition Survey</w:t>
      </w:r>
      <w:r w:rsidR="00666652">
        <w:rPr>
          <w:lang w:bidi="ar-SA"/>
        </w:rPr>
        <w:t xml:space="preserve"> </w:t>
      </w:r>
      <w:r w:rsidR="005D7392">
        <w:rPr>
          <w:lang w:bidi="ar-SA"/>
        </w:rPr>
        <w:t>(</w:t>
      </w:r>
      <w:r w:rsidR="00666652">
        <w:rPr>
          <w:lang w:bidi="ar-SA"/>
        </w:rPr>
        <w:t>NZNNS</w:t>
      </w:r>
      <w:r w:rsidR="005D7392">
        <w:rPr>
          <w:lang w:bidi="ar-SA"/>
        </w:rPr>
        <w:t>)</w:t>
      </w:r>
      <w:r w:rsidR="00666652">
        <w:rPr>
          <w:lang w:bidi="ar-SA"/>
        </w:rPr>
        <w:t xml:space="preserve">, the </w:t>
      </w:r>
      <w:r w:rsidR="00666652">
        <w:t xml:space="preserve">2002 </w:t>
      </w:r>
      <w:r w:rsidR="00666652">
        <w:rPr>
          <w:lang w:bidi="ar-SA"/>
        </w:rPr>
        <w:t>New Zealand Children’s Nutrition Survey</w:t>
      </w:r>
      <w:r w:rsidR="00666652" w:rsidRPr="000C20F5">
        <w:rPr>
          <w:lang w:bidi="ar-SA"/>
        </w:rPr>
        <w:t xml:space="preserve"> </w:t>
      </w:r>
      <w:r w:rsidR="00666652">
        <w:rPr>
          <w:lang w:bidi="ar-SA"/>
        </w:rPr>
        <w:t>(NZCNS)</w:t>
      </w:r>
      <w:r w:rsidR="00666652" w:rsidRPr="000C20F5">
        <w:rPr>
          <w:lang w:bidi="ar-SA"/>
        </w:rPr>
        <w:t xml:space="preserve"> </w:t>
      </w:r>
      <w:r w:rsidR="00666652">
        <w:rPr>
          <w:lang w:bidi="ar-SA"/>
        </w:rPr>
        <w:t>and the 2008 New Zealand Adult Nutrition Survey (NZANS).</w:t>
      </w:r>
    </w:p>
    <w:p w14:paraId="7AB9EE23" w14:textId="77777777" w:rsidR="00666652" w:rsidRDefault="00666652" w:rsidP="00D20A1E">
      <w:pPr>
        <w:widowControl/>
        <w:rPr>
          <w:lang w:bidi="ar-SA"/>
        </w:rPr>
      </w:pPr>
    </w:p>
    <w:p w14:paraId="23BE743D" w14:textId="7BD2D468" w:rsidR="005D7054" w:rsidRDefault="00A53C15" w:rsidP="00D20A1E">
      <w:pPr>
        <w:widowControl/>
        <w:rPr>
          <w:lang w:bidi="ar-SA"/>
        </w:rPr>
      </w:pPr>
      <w:r>
        <w:t xml:space="preserve">FSANZ also referred to the previous evaluation of </w:t>
      </w:r>
      <w:r w:rsidR="005D7054" w:rsidRPr="00202465">
        <w:t>the safety</w:t>
      </w:r>
      <w:r w:rsidR="005D7054">
        <w:t xml:space="preserve"> of fortification of cereal-based beverages </w:t>
      </w:r>
      <w:r w:rsidR="00A21841">
        <w:t>with vitamins and minerals on the basis of nutritional equivalence</w:t>
      </w:r>
      <w:r w:rsidR="004F0F10">
        <w:t xml:space="preserve"> in </w:t>
      </w:r>
      <w:r w:rsidR="00796C80">
        <w:t xml:space="preserve">the </w:t>
      </w:r>
      <w:r w:rsidR="004F0F10">
        <w:t xml:space="preserve">A500 </w:t>
      </w:r>
      <w:r>
        <w:t>a</w:t>
      </w:r>
      <w:r w:rsidR="00EC23F2">
        <w:t>ssessment</w:t>
      </w:r>
      <w:r w:rsidR="00202465">
        <w:t xml:space="preserve">. </w:t>
      </w:r>
      <w:r w:rsidR="00EC23F2">
        <w:t>A</w:t>
      </w:r>
      <w:r w:rsidR="005D7054">
        <w:t>n extensive nutritional</w:t>
      </w:r>
      <w:r w:rsidR="00202465">
        <w:t>, safety</w:t>
      </w:r>
      <w:r w:rsidR="005D7054">
        <w:t xml:space="preserve"> and dietary intake assessment was undertaken</w:t>
      </w:r>
      <w:r>
        <w:t xml:space="preserve"> for A500</w:t>
      </w:r>
      <w:r w:rsidR="005D7054">
        <w:t>, including assessment of nutrient intakes for non-dairy consumers</w:t>
      </w:r>
      <w:r w:rsidR="005D7054">
        <w:rPr>
          <w:rStyle w:val="FootnoteReference"/>
        </w:rPr>
        <w:footnoteReference w:id="3"/>
      </w:r>
      <w:r w:rsidR="005D7054">
        <w:t xml:space="preserve">. The A500 assessment used </w:t>
      </w:r>
      <w:r w:rsidR="007D689D">
        <w:t xml:space="preserve">food consumption </w:t>
      </w:r>
      <w:r w:rsidR="005D7054">
        <w:t>data from the 1995 Aus</w:t>
      </w:r>
      <w:r w:rsidR="005D7054" w:rsidRPr="004A7119">
        <w:t>NNS</w:t>
      </w:r>
      <w:r w:rsidR="005D7054">
        <w:t xml:space="preserve"> and </w:t>
      </w:r>
      <w:r w:rsidR="007D689D">
        <w:rPr>
          <w:lang w:bidi="ar-SA"/>
        </w:rPr>
        <w:t>1997 </w:t>
      </w:r>
      <w:r w:rsidR="00602956">
        <w:rPr>
          <w:lang w:bidi="ar-SA"/>
        </w:rPr>
        <w:t xml:space="preserve">adults </w:t>
      </w:r>
      <w:r w:rsidR="005D7054" w:rsidRPr="000C20F5">
        <w:rPr>
          <w:lang w:bidi="ar-SA"/>
        </w:rPr>
        <w:t>NZNNS</w:t>
      </w:r>
      <w:r w:rsidR="00EC23F2">
        <w:rPr>
          <w:lang w:bidi="ar-SA"/>
        </w:rPr>
        <w:t>, as the best available data at that time</w:t>
      </w:r>
      <w:r w:rsidR="005D7054">
        <w:t>.</w:t>
      </w:r>
      <w:r w:rsidR="005D7054" w:rsidRPr="005D7054">
        <w:t xml:space="preserve"> </w:t>
      </w:r>
      <w:r w:rsidR="00666652">
        <w:t>The comparative analysis across all the surveys was used to determine the validity of using the A500 assessment of nutrient intakes</w:t>
      </w:r>
      <w:r w:rsidR="00796C80">
        <w:t xml:space="preserve"> for</w:t>
      </w:r>
      <w:r w:rsidR="00666652">
        <w:t xml:space="preserve"> non-dairy consumers versus the general population for this application.</w:t>
      </w:r>
      <w:r w:rsidR="003D608F">
        <w:t xml:space="preserve"> </w:t>
      </w:r>
      <w:r w:rsidR="00A21841">
        <w:rPr>
          <w:lang w:bidi="ar-SA"/>
        </w:rPr>
        <w:t>T</w:t>
      </w:r>
      <w:r w:rsidR="005D7054">
        <w:rPr>
          <w:lang w:bidi="ar-SA"/>
        </w:rPr>
        <w:t xml:space="preserve">he </w:t>
      </w:r>
      <w:r w:rsidR="00687C12">
        <w:rPr>
          <w:lang w:bidi="ar-SA"/>
        </w:rPr>
        <w:t xml:space="preserve">more recent </w:t>
      </w:r>
      <w:r w:rsidR="005D7054">
        <w:rPr>
          <w:lang w:bidi="ar-SA"/>
        </w:rPr>
        <w:t>Australian 2011</w:t>
      </w:r>
      <w:r w:rsidR="002776FD">
        <w:rPr>
          <w:lang w:bidi="ar-SA"/>
        </w:rPr>
        <w:t>-</w:t>
      </w:r>
      <w:r w:rsidR="005D7054">
        <w:rPr>
          <w:lang w:bidi="ar-SA"/>
        </w:rPr>
        <w:t xml:space="preserve">12 National Nutrition and Physical Activity Survey (NNPAS) </w:t>
      </w:r>
      <w:r w:rsidR="00687C12">
        <w:rPr>
          <w:lang w:bidi="ar-SA"/>
        </w:rPr>
        <w:t xml:space="preserve">data </w:t>
      </w:r>
      <w:r w:rsidR="003D608F">
        <w:rPr>
          <w:lang w:bidi="ar-SA"/>
        </w:rPr>
        <w:t xml:space="preserve">are </w:t>
      </w:r>
      <w:r w:rsidR="00A21841">
        <w:rPr>
          <w:lang w:bidi="ar-SA"/>
        </w:rPr>
        <w:t xml:space="preserve">not currently </w:t>
      </w:r>
      <w:r w:rsidR="007A6B50">
        <w:rPr>
          <w:lang w:bidi="ar-SA"/>
        </w:rPr>
        <w:t xml:space="preserve">available </w:t>
      </w:r>
      <w:r w:rsidR="00A21841">
        <w:rPr>
          <w:lang w:bidi="ar-SA"/>
        </w:rPr>
        <w:t>to FSANZ</w:t>
      </w:r>
      <w:r w:rsidR="007A6B50">
        <w:rPr>
          <w:lang w:bidi="ar-SA"/>
        </w:rPr>
        <w:t xml:space="preserve"> </w:t>
      </w:r>
      <w:r w:rsidR="005D7054">
        <w:rPr>
          <w:lang w:bidi="ar-SA"/>
        </w:rPr>
        <w:t xml:space="preserve">in a format that would allow a </w:t>
      </w:r>
      <w:r w:rsidR="00C22129">
        <w:rPr>
          <w:lang w:bidi="ar-SA"/>
        </w:rPr>
        <w:t xml:space="preserve">similar </w:t>
      </w:r>
      <w:r w:rsidR="005D7054">
        <w:rPr>
          <w:lang w:bidi="ar-SA"/>
        </w:rPr>
        <w:t>detailed analysis of nutrient intakes.</w:t>
      </w:r>
    </w:p>
    <w:p w14:paraId="1ABCF897" w14:textId="00AE7160" w:rsidR="007A6B50" w:rsidRPr="00353A99" w:rsidRDefault="00AF4FCB" w:rsidP="00D20A1E">
      <w:pPr>
        <w:pStyle w:val="Heading2"/>
      </w:pPr>
      <w:bookmarkStart w:id="14" w:name="_Toc427672148"/>
      <w:bookmarkStart w:id="15" w:name="_Toc427678214"/>
      <w:r>
        <w:t>1.2</w:t>
      </w:r>
      <w:r>
        <w:tab/>
      </w:r>
      <w:r w:rsidR="007A6B50">
        <w:t>S</w:t>
      </w:r>
      <w:r w:rsidR="007A6B50" w:rsidRPr="00353A99">
        <w:t>cope</w:t>
      </w:r>
      <w:r w:rsidR="007A6B50">
        <w:t xml:space="preserve"> of this assessment</w:t>
      </w:r>
      <w:bookmarkEnd w:id="14"/>
      <w:bookmarkEnd w:id="15"/>
    </w:p>
    <w:p w14:paraId="1EF5509E" w14:textId="081DF361" w:rsidR="005D7054" w:rsidRDefault="007D689D" w:rsidP="00D20A1E">
      <w:pPr>
        <w:widowControl/>
      </w:pPr>
      <w:r>
        <w:t>The assessment of nutrient intakes is limited to those vitamins and minerals requested for voluntary fortification in this Application and to the macronutrients discussed in A500 (i.e. energy, protein and fat).</w:t>
      </w:r>
      <w:r w:rsidR="005D6CAA" w:rsidRPr="005D6CAA">
        <w:t xml:space="preserve"> </w:t>
      </w:r>
      <w:r w:rsidR="005D6CAA">
        <w:t xml:space="preserve">Reviewing the existing vitamin and mineral fortification profile of </w:t>
      </w:r>
      <w:r w:rsidR="004F0F10">
        <w:t xml:space="preserve">milk </w:t>
      </w:r>
      <w:r w:rsidR="00955A74">
        <w:t xml:space="preserve">substitutes </w:t>
      </w:r>
      <w:r w:rsidR="005D6CAA">
        <w:t>is outside the scope of this assessment.</w:t>
      </w:r>
    </w:p>
    <w:p w14:paraId="3815DE12" w14:textId="0AD44EDF" w:rsidR="00204FBB" w:rsidRDefault="00204FBB" w:rsidP="00D20A1E">
      <w:pPr>
        <w:widowControl/>
      </w:pPr>
    </w:p>
    <w:p w14:paraId="7413DAAA" w14:textId="58387D36" w:rsidR="00204FBB" w:rsidRDefault="00204FBB" w:rsidP="00D20A1E">
      <w:pPr>
        <w:widowControl/>
      </w:pPr>
      <w:r w:rsidRPr="00E24DE8" w:rsidDel="00C41B34">
        <w:t xml:space="preserve">FSANZ </w:t>
      </w:r>
      <w:r w:rsidDel="00C41B34">
        <w:t xml:space="preserve">completed a </w:t>
      </w:r>
      <w:r w:rsidRPr="00E24DE8" w:rsidDel="00C41B34">
        <w:t>review</w:t>
      </w:r>
      <w:r w:rsidDel="00C41B34">
        <w:t xml:space="preserve"> of</w:t>
      </w:r>
      <w:r w:rsidRPr="00E24DE8" w:rsidDel="00C41B34">
        <w:t xml:space="preserve"> the </w:t>
      </w:r>
      <w:r w:rsidDel="00C41B34">
        <w:t>Code</w:t>
      </w:r>
      <w:r w:rsidRPr="00407DF4" w:rsidDel="00C41B34">
        <w:t xml:space="preserve"> </w:t>
      </w:r>
      <w:r w:rsidDel="00C41B34">
        <w:t>in 2015 and the revised</w:t>
      </w:r>
      <w:r w:rsidRPr="00E24DE8" w:rsidDel="00C41B34">
        <w:t xml:space="preserve"> Code will commence </w:t>
      </w:r>
      <w:r w:rsidR="008C2C35">
        <w:t>on 1 </w:t>
      </w:r>
      <w:r w:rsidDel="00C41B34">
        <w:t>March</w:t>
      </w:r>
      <w:r w:rsidRPr="00E24DE8" w:rsidDel="00C41B34">
        <w:t xml:space="preserve"> </w:t>
      </w:r>
      <w:r w:rsidRPr="006B7785" w:rsidDel="00C41B34">
        <w:t>201</w:t>
      </w:r>
      <w:r w:rsidRPr="00072693" w:rsidDel="00C41B34">
        <w:t>6</w:t>
      </w:r>
      <w:r w:rsidDel="00C41B34">
        <w:t>.</w:t>
      </w:r>
      <w:r>
        <w:t xml:space="preserve"> </w:t>
      </w:r>
      <w:r w:rsidR="008C2C35">
        <w:t>Since t</w:t>
      </w:r>
      <w:r>
        <w:t>he draft variations arising from this Application are likely to take effect around that date, draft amendments are proposed for the revised Code only. All references to Standards or Schedules in this assessment refer to the revised Code requirements only.</w:t>
      </w:r>
    </w:p>
    <w:p w14:paraId="065BCD01" w14:textId="3FF93703" w:rsidR="00AF4FCB" w:rsidRDefault="00AF4FCB" w:rsidP="00D20A1E">
      <w:pPr>
        <w:widowControl/>
      </w:pPr>
      <w:r>
        <w:br w:type="page"/>
      </w:r>
    </w:p>
    <w:p w14:paraId="4238C791" w14:textId="44E403BE" w:rsidR="007565D1" w:rsidRPr="00353A99" w:rsidRDefault="00AF4FCB" w:rsidP="00D20A1E">
      <w:pPr>
        <w:pStyle w:val="Heading2"/>
      </w:pPr>
      <w:bookmarkStart w:id="16" w:name="_Toc427672149"/>
      <w:bookmarkStart w:id="17" w:name="_Toc427678215"/>
      <w:r>
        <w:lastRenderedPageBreak/>
        <w:t>1.3</w:t>
      </w:r>
      <w:r>
        <w:tab/>
      </w:r>
      <w:r w:rsidR="007565D1" w:rsidRPr="00353A99">
        <w:t>Risk assessment questions</w:t>
      </w:r>
      <w:bookmarkEnd w:id="16"/>
      <w:bookmarkEnd w:id="17"/>
    </w:p>
    <w:p w14:paraId="174CDB79" w14:textId="7E2CF892" w:rsidR="007565D1" w:rsidRDefault="007565D1" w:rsidP="00D20A1E">
      <w:pPr>
        <w:widowControl/>
      </w:pPr>
      <w:r>
        <w:t xml:space="preserve">To assist in the </w:t>
      </w:r>
      <w:r w:rsidRPr="00440DE3">
        <w:t>evaluat</w:t>
      </w:r>
      <w:r>
        <w:t>ion of</w:t>
      </w:r>
      <w:r w:rsidRPr="00440DE3">
        <w:t xml:space="preserve"> </w:t>
      </w:r>
      <w:r w:rsidR="005D6CAA">
        <w:t>this Application</w:t>
      </w:r>
      <w:r>
        <w:t xml:space="preserve">, the following </w:t>
      </w:r>
      <w:r w:rsidR="005D6CAA">
        <w:t xml:space="preserve">risk assessment </w:t>
      </w:r>
      <w:r>
        <w:t xml:space="preserve">questions were </w:t>
      </w:r>
      <w:r w:rsidR="005D6CAA">
        <w:t>posed</w:t>
      </w:r>
      <w:r>
        <w:t>:</w:t>
      </w:r>
    </w:p>
    <w:p w14:paraId="7A8C639B" w14:textId="09E2F7E5" w:rsidR="007565D1" w:rsidRPr="00353A99" w:rsidRDefault="00513153" w:rsidP="00D20A1E">
      <w:pPr>
        <w:pStyle w:val="Heading3"/>
        <w:keepLines/>
        <w:widowControl/>
      </w:pPr>
      <w:bookmarkStart w:id="18" w:name="_Toc427672150"/>
      <w:bookmarkStart w:id="19" w:name="_Toc427678216"/>
      <w:r>
        <w:t>1.3.1</w:t>
      </w:r>
      <w:r>
        <w:tab/>
      </w:r>
      <w:r w:rsidR="007565D1" w:rsidRPr="00353A99">
        <w:t>Consumption patterns and market share</w:t>
      </w:r>
      <w:bookmarkEnd w:id="18"/>
      <w:bookmarkEnd w:id="19"/>
    </w:p>
    <w:p w14:paraId="76D6296A" w14:textId="4821DDD0" w:rsidR="007565D1" w:rsidRPr="00051D04" w:rsidRDefault="007565D1" w:rsidP="00051D04">
      <w:pPr>
        <w:pStyle w:val="FSBullet1"/>
      </w:pPr>
      <w:r w:rsidRPr="00602EEF">
        <w:t>H</w:t>
      </w:r>
      <w:r w:rsidR="003E44E3">
        <w:t>ow do the us</w:t>
      </w:r>
      <w:r w:rsidR="003E44E3" w:rsidRPr="00051D04">
        <w:t xml:space="preserve">age patterns of </w:t>
      </w:r>
      <w:r w:rsidR="00075E2F" w:rsidRPr="00051D04">
        <w:t xml:space="preserve">nut- </w:t>
      </w:r>
      <w:r w:rsidRPr="00051D04">
        <w:t>and seed-</w:t>
      </w:r>
      <w:r w:rsidR="00321767" w:rsidRPr="00051D04">
        <w:t xml:space="preserve">based </w:t>
      </w:r>
      <w:r w:rsidRPr="00051D04">
        <w:t xml:space="preserve">beverages compare to usage patterns of milk by discrete consumers of these two foods in all population groups? For example, what proportions of total milk or </w:t>
      </w:r>
      <w:r w:rsidR="00075E2F" w:rsidRPr="00051D04">
        <w:t xml:space="preserve">nut- </w:t>
      </w:r>
      <w:r w:rsidRPr="00051D04">
        <w:t>and seed-</w:t>
      </w:r>
      <w:r w:rsidR="00321767" w:rsidRPr="00051D04">
        <w:t xml:space="preserve">based </w:t>
      </w:r>
      <w:r w:rsidRPr="00051D04">
        <w:t>beverages are consumed as a beverage, used on breakfast cereal, and for other uses?</w:t>
      </w:r>
    </w:p>
    <w:p w14:paraId="10FFCE4F" w14:textId="472C5F05" w:rsidR="007565D1" w:rsidRPr="00051D04" w:rsidRDefault="007565D1" w:rsidP="00051D04">
      <w:pPr>
        <w:pStyle w:val="FSBullet1"/>
      </w:pPr>
      <w:r w:rsidRPr="00051D04">
        <w:t>What proportion of indiv</w:t>
      </w:r>
      <w:r w:rsidR="003E44E3" w:rsidRPr="00051D04">
        <w:t xml:space="preserve">iduals who report consuming </w:t>
      </w:r>
      <w:r w:rsidR="00075E2F" w:rsidRPr="00051D04">
        <w:t xml:space="preserve">nut- </w:t>
      </w:r>
      <w:r w:rsidRPr="00051D04">
        <w:t>and seed-</w:t>
      </w:r>
      <w:r w:rsidR="00321767" w:rsidRPr="00051D04">
        <w:t xml:space="preserve">based </w:t>
      </w:r>
      <w:r w:rsidRPr="00051D04">
        <w:t>beverages also consume milk?</w:t>
      </w:r>
    </w:p>
    <w:p w14:paraId="409A577C" w14:textId="02D728FB" w:rsidR="007565D1" w:rsidRDefault="007565D1" w:rsidP="00051D04">
      <w:pPr>
        <w:pStyle w:val="FSBullet1"/>
      </w:pPr>
      <w:r w:rsidRPr="00051D04">
        <w:t>What impact on market share of the different types of milk analogues has the emergence and</w:t>
      </w:r>
      <w:r w:rsidRPr="00602EEF">
        <w:t xml:space="preserve"> growth of </w:t>
      </w:r>
      <w:r w:rsidR="00075E2F">
        <w:t xml:space="preserve">nut- </w:t>
      </w:r>
      <w:r w:rsidRPr="00602EEF">
        <w:t>and seed-</w:t>
      </w:r>
      <w:r w:rsidR="00321767">
        <w:t xml:space="preserve">based </w:t>
      </w:r>
      <w:r w:rsidRPr="00602EEF">
        <w:t>beverages had over the past 5 years?</w:t>
      </w:r>
    </w:p>
    <w:p w14:paraId="366D330A" w14:textId="0777366C" w:rsidR="00D466D8" w:rsidRPr="00353A99" w:rsidRDefault="00513153" w:rsidP="00D20A1E">
      <w:pPr>
        <w:pStyle w:val="Heading3"/>
        <w:widowControl/>
      </w:pPr>
      <w:bookmarkStart w:id="20" w:name="_Toc427672151"/>
      <w:bookmarkStart w:id="21" w:name="_Toc427678217"/>
      <w:r>
        <w:t>1.3.2</w:t>
      </w:r>
      <w:r>
        <w:tab/>
      </w:r>
      <w:r w:rsidR="00D466D8">
        <w:t xml:space="preserve">Consumer </w:t>
      </w:r>
      <w:r w:rsidR="00FD3D4A">
        <w:t>perceptions</w:t>
      </w:r>
      <w:bookmarkEnd w:id="20"/>
      <w:bookmarkEnd w:id="21"/>
    </w:p>
    <w:p w14:paraId="56896B82" w14:textId="70865B2E" w:rsidR="00D466D8" w:rsidRPr="00D466D8" w:rsidRDefault="00D466D8" w:rsidP="00D20A1E">
      <w:pPr>
        <w:pStyle w:val="FSBullet1"/>
        <w:spacing w:after="60"/>
      </w:pPr>
      <w:r w:rsidRPr="00D466D8">
        <w:t xml:space="preserve">What are consumer perceptions around </w:t>
      </w:r>
      <w:r w:rsidR="00075E2F">
        <w:t xml:space="preserve">nut- </w:t>
      </w:r>
      <w:r w:rsidRPr="00D466D8">
        <w:t>and seed</w:t>
      </w:r>
      <w:r w:rsidR="00321767">
        <w:t>-based</w:t>
      </w:r>
      <w:r w:rsidRPr="00D466D8">
        <w:t xml:space="preserve"> beverages?</w:t>
      </w:r>
    </w:p>
    <w:p w14:paraId="241DACB3" w14:textId="2424B3DA" w:rsidR="00D466D8" w:rsidRDefault="00D466D8" w:rsidP="00D20A1E">
      <w:pPr>
        <w:pStyle w:val="FSBullet1"/>
        <w:spacing w:after="60"/>
      </w:pPr>
      <w:r w:rsidRPr="00D466D8">
        <w:t>Why are people purchasing and consuming the products?</w:t>
      </w:r>
      <w:r>
        <w:t xml:space="preserve"> </w:t>
      </w:r>
      <w:r w:rsidRPr="00D466D8">
        <w:t>How are consumer perceptions linked to these two outcomes?</w:t>
      </w:r>
    </w:p>
    <w:p w14:paraId="2C82F9EC" w14:textId="0410E4AC" w:rsidR="00602EEF" w:rsidRPr="00353A99" w:rsidRDefault="00513153" w:rsidP="00D20A1E">
      <w:pPr>
        <w:pStyle w:val="Heading3"/>
        <w:widowControl/>
      </w:pPr>
      <w:bookmarkStart w:id="22" w:name="_Toc427672152"/>
      <w:bookmarkStart w:id="23" w:name="_Toc427678218"/>
      <w:r>
        <w:t>1.3.3</w:t>
      </w:r>
      <w:r>
        <w:tab/>
      </w:r>
      <w:r w:rsidR="00602EEF">
        <w:t>Effects of processing and storage on the added vitamins and minerals</w:t>
      </w:r>
      <w:bookmarkEnd w:id="22"/>
      <w:bookmarkEnd w:id="23"/>
    </w:p>
    <w:p w14:paraId="37BAAC6D" w14:textId="60538ECB" w:rsidR="00602EEF" w:rsidRPr="00D81E30" w:rsidRDefault="00602EEF" w:rsidP="00051D04">
      <w:pPr>
        <w:pStyle w:val="FSBullet1"/>
      </w:pPr>
      <w:r w:rsidRPr="00A152F4">
        <w:rPr>
          <w:lang w:val="en-AU"/>
        </w:rPr>
        <w:t xml:space="preserve">What is the likely effect of processing and storage on the lability of </w:t>
      </w:r>
      <w:r>
        <w:rPr>
          <w:lang w:val="en-AU"/>
        </w:rPr>
        <w:t xml:space="preserve">the requested </w:t>
      </w:r>
      <w:r w:rsidRPr="00A152F4">
        <w:rPr>
          <w:lang w:val="en-AU"/>
        </w:rPr>
        <w:t>vitamin</w:t>
      </w:r>
      <w:r>
        <w:rPr>
          <w:lang w:val="en-AU"/>
        </w:rPr>
        <w:t xml:space="preserve"> and minerals</w:t>
      </w:r>
      <w:r w:rsidRPr="00A152F4">
        <w:rPr>
          <w:lang w:val="en-AU"/>
        </w:rPr>
        <w:t xml:space="preserve"> in </w:t>
      </w:r>
      <w:r w:rsidR="00075E2F">
        <w:rPr>
          <w:lang w:val="en-AU"/>
        </w:rPr>
        <w:t xml:space="preserve">nut- </w:t>
      </w:r>
      <w:r>
        <w:rPr>
          <w:lang w:val="en-AU"/>
        </w:rPr>
        <w:t>and seed-based beverages</w:t>
      </w:r>
      <w:r w:rsidRPr="00A152F4">
        <w:rPr>
          <w:lang w:val="en-AU"/>
        </w:rPr>
        <w:t>?</w:t>
      </w:r>
    </w:p>
    <w:p w14:paraId="32B64DE4" w14:textId="4A21DD1C" w:rsidR="007565D1" w:rsidRPr="00353A99" w:rsidRDefault="00513153" w:rsidP="00D20A1E">
      <w:pPr>
        <w:pStyle w:val="Heading3"/>
        <w:widowControl/>
      </w:pPr>
      <w:bookmarkStart w:id="24" w:name="_Toc427672153"/>
      <w:bookmarkStart w:id="25" w:name="_Toc427678219"/>
      <w:r>
        <w:t>1.3.4</w:t>
      </w:r>
      <w:r>
        <w:tab/>
      </w:r>
      <w:r w:rsidR="007565D1" w:rsidRPr="00353A99">
        <w:t>Bioavailability of the added vitamins and minerals</w:t>
      </w:r>
      <w:bookmarkEnd w:id="24"/>
      <w:bookmarkEnd w:id="25"/>
    </w:p>
    <w:p w14:paraId="16D6ED09" w14:textId="29A3BA00" w:rsidR="007565D1" w:rsidRPr="00602EEF" w:rsidRDefault="007565D1" w:rsidP="00051D04">
      <w:pPr>
        <w:pStyle w:val="FSBullet1"/>
      </w:pPr>
      <w:r w:rsidRPr="00602EEF">
        <w:t xml:space="preserve">Are there any constituents in </w:t>
      </w:r>
      <w:r w:rsidR="00075E2F">
        <w:t xml:space="preserve">nut- </w:t>
      </w:r>
      <w:r w:rsidRPr="00602EEF">
        <w:t>and seed-based beverages that could bind the added vitamins and minerals and prevent</w:t>
      </w:r>
      <w:r w:rsidR="00782000">
        <w:t xml:space="preserve"> or reduce</w:t>
      </w:r>
      <w:r w:rsidRPr="00602EEF">
        <w:t xml:space="preserve"> their absorption?</w:t>
      </w:r>
    </w:p>
    <w:p w14:paraId="766E2368" w14:textId="6F10E38D" w:rsidR="007565D1" w:rsidRPr="00353A99" w:rsidRDefault="00513153" w:rsidP="00D20A1E">
      <w:pPr>
        <w:pStyle w:val="Heading3"/>
        <w:widowControl/>
      </w:pPr>
      <w:bookmarkStart w:id="26" w:name="_Toc427672154"/>
      <w:bookmarkStart w:id="27" w:name="_Toc427678220"/>
      <w:r>
        <w:t>1.3.5</w:t>
      </w:r>
      <w:r>
        <w:tab/>
      </w:r>
      <w:r w:rsidR="007565D1" w:rsidRPr="00353A99">
        <w:t>Dietary intakes of the requested vitamins and minerals</w:t>
      </w:r>
      <w:bookmarkEnd w:id="26"/>
      <w:bookmarkEnd w:id="27"/>
    </w:p>
    <w:p w14:paraId="7A513AEC" w14:textId="17924C44" w:rsidR="007565D1" w:rsidRPr="00051D04" w:rsidRDefault="007565D1" w:rsidP="00051D04">
      <w:pPr>
        <w:pStyle w:val="FSBullet1"/>
      </w:pPr>
      <w:r w:rsidRPr="00602EEF">
        <w:t>What are the differenc</w:t>
      </w:r>
      <w:r w:rsidRPr="00051D04">
        <w:t xml:space="preserve">es in the dietary intakes of the requested vitamins and minerals between milk consumers and unfortified </w:t>
      </w:r>
      <w:r w:rsidR="00075E2F" w:rsidRPr="00051D04">
        <w:t xml:space="preserve">nut- </w:t>
      </w:r>
      <w:r w:rsidRPr="00051D04">
        <w:t>and seed-based beverage consumers for all population groups?</w:t>
      </w:r>
    </w:p>
    <w:p w14:paraId="194E7064" w14:textId="69D33F3F" w:rsidR="007565D1" w:rsidRPr="00051D04" w:rsidRDefault="00602EEF" w:rsidP="00051D04">
      <w:pPr>
        <w:pStyle w:val="FSBullet1"/>
      </w:pPr>
      <w:r w:rsidRPr="00051D04">
        <w:t xml:space="preserve">What is the difference in </w:t>
      </w:r>
      <w:r w:rsidR="00D038E2" w:rsidRPr="00051D04">
        <w:t xml:space="preserve">the dietary intake of </w:t>
      </w:r>
      <w:r w:rsidRPr="00051D04">
        <w:t>macronutrient</w:t>
      </w:r>
      <w:r w:rsidR="00D038E2" w:rsidRPr="00051D04">
        <w:t>s</w:t>
      </w:r>
      <w:r w:rsidRPr="00051D04">
        <w:t xml:space="preserve"> of young children (aged 2</w:t>
      </w:r>
      <w:r w:rsidRPr="00051D04">
        <w:noBreakHyphen/>
        <w:t xml:space="preserve">5 years) consuming </w:t>
      </w:r>
      <w:r w:rsidR="00075E2F" w:rsidRPr="00051D04">
        <w:t xml:space="preserve">nut- </w:t>
      </w:r>
      <w:r w:rsidRPr="00051D04">
        <w:t xml:space="preserve">and seed-based beverages without milk or legume-based beverages, compared to those consuming milk? </w:t>
      </w:r>
    </w:p>
    <w:p w14:paraId="713A5B28" w14:textId="4F50B232" w:rsidR="007565D1" w:rsidRDefault="007565D1" w:rsidP="00051D04">
      <w:pPr>
        <w:pStyle w:val="FSBullet1"/>
      </w:pPr>
      <w:r w:rsidRPr="00051D04">
        <w:t>What is the risk of exc</w:t>
      </w:r>
      <w:r w:rsidRPr="00602EEF">
        <w:t xml:space="preserve">ess dietary intake of the requested vitamins and minerals for all population groups if added to </w:t>
      </w:r>
      <w:r w:rsidR="00075E2F">
        <w:t xml:space="preserve">nut- </w:t>
      </w:r>
      <w:r w:rsidRPr="00602EEF">
        <w:t>and seed-based beverages?</w:t>
      </w:r>
    </w:p>
    <w:p w14:paraId="5F362870" w14:textId="77777777" w:rsidR="008C2C35" w:rsidRPr="008C2C35" w:rsidRDefault="008C2C35" w:rsidP="00D20A1E">
      <w:pPr>
        <w:widowControl/>
        <w:rPr>
          <w:lang w:bidi="ar-SA"/>
        </w:rPr>
      </w:pPr>
    </w:p>
    <w:p w14:paraId="5F287E84" w14:textId="7F6C8E3B" w:rsidR="00204FBB" w:rsidRDefault="007565D1" w:rsidP="00D20A1E">
      <w:pPr>
        <w:widowControl/>
      </w:pPr>
      <w:r>
        <w:t>Each of these questions is addressed in the assessment below.</w:t>
      </w:r>
    </w:p>
    <w:p w14:paraId="07E1A494" w14:textId="0CEBE4F8" w:rsidR="00C03610" w:rsidRDefault="00AF4FCB" w:rsidP="00D20A1E">
      <w:pPr>
        <w:pStyle w:val="Heading1"/>
        <w:widowControl/>
      </w:pPr>
      <w:bookmarkStart w:id="28" w:name="_Ref421003542"/>
      <w:bookmarkStart w:id="29" w:name="_Ref421003549"/>
      <w:bookmarkStart w:id="30" w:name="_Toc427672155"/>
      <w:bookmarkStart w:id="31" w:name="_Toc427678221"/>
      <w:bookmarkStart w:id="32" w:name="_Ref420334688"/>
      <w:bookmarkStart w:id="33" w:name="_Ref420334697"/>
      <w:r>
        <w:t>2</w:t>
      </w:r>
      <w:r>
        <w:tab/>
      </w:r>
      <w:r w:rsidR="00C03610">
        <w:t>Market share of nut-, seed- and other plant-based milk substitutes</w:t>
      </w:r>
      <w:bookmarkEnd w:id="28"/>
      <w:bookmarkEnd w:id="29"/>
      <w:bookmarkEnd w:id="30"/>
      <w:bookmarkEnd w:id="31"/>
    </w:p>
    <w:p w14:paraId="1EB74CE9" w14:textId="77777777" w:rsidR="00051D04" w:rsidRDefault="00C03610" w:rsidP="00D20A1E">
      <w:pPr>
        <w:widowControl/>
      </w:pPr>
      <w:r>
        <w:t>Nut- and seed-based beverages are relatively new to the Australian and New Zealand markets</w:t>
      </w:r>
      <w:r w:rsidRPr="00D370CC">
        <w:t xml:space="preserve"> </w:t>
      </w:r>
      <w:r>
        <w:t xml:space="preserve">giving additional options to consumers who are unable to, or choose not to, consume milk on all or some occasions. </w:t>
      </w:r>
      <w:r w:rsidR="00051D04">
        <w:br w:type="page"/>
      </w:r>
    </w:p>
    <w:p w14:paraId="76736D5F" w14:textId="4ED6BA56" w:rsidR="00C03610" w:rsidRDefault="00C03610" w:rsidP="00D20A1E">
      <w:pPr>
        <w:widowControl/>
      </w:pPr>
      <w:r>
        <w:lastRenderedPageBreak/>
        <w:t xml:space="preserve">Australian supermarket market share data indicate that, within the UHT/long life </w:t>
      </w:r>
      <w:r w:rsidRPr="00BD7B1C">
        <w:t xml:space="preserve">non-dairy segment of the </w:t>
      </w:r>
      <w:r>
        <w:t>‘</w:t>
      </w:r>
      <w:r w:rsidRPr="00BD7B1C">
        <w:t>non-dairy milk</w:t>
      </w:r>
      <w:r>
        <w:t>’</w:t>
      </w:r>
      <w:r w:rsidRPr="00BD7B1C">
        <w:rPr>
          <w:rStyle w:val="FootnoteReference"/>
        </w:rPr>
        <w:footnoteReference w:id="4"/>
      </w:r>
      <w:r w:rsidRPr="00BD7B1C">
        <w:t xml:space="preserve"> market, brands such as Almond Breeze</w:t>
      </w:r>
      <w:r>
        <w:t>™</w:t>
      </w:r>
      <w:r w:rsidRPr="00BD7B1C">
        <w:t xml:space="preserve"> </w:t>
      </w:r>
      <w:r>
        <w:t xml:space="preserve">was first reported as having a market share in 2012 </w:t>
      </w:r>
      <w:r w:rsidRPr="00833389">
        <w:t>(Retail World Pty Ltd 2012)</w:t>
      </w:r>
      <w:r>
        <w:t xml:space="preserve">. There has been steady growth in the nut- and seed-based beverage market over the past few years with sales volumes of the Almond Breeze™ brand increasing from 1.3 million litres </w:t>
      </w:r>
      <w:r w:rsidRPr="00833389">
        <w:t>(Retail World Pty Ltd 2012)</w:t>
      </w:r>
      <w:r>
        <w:t xml:space="preserve"> to 7.8 million litres </w:t>
      </w:r>
      <w:r w:rsidRPr="00833389">
        <w:t>(Retail World Pty Ltd 2014)</w:t>
      </w:r>
      <w:r w:rsidRPr="00620ABC">
        <w:t xml:space="preserve"> </w:t>
      </w:r>
      <w:r>
        <w:t>between 2012 and 2014. Over this same period, the total market volume of plant-based milk substitutes has increased from 65 million litres to approximately 69 million litres, with UHT/long life plant-based milk substitutes making up about 80% of the volume sold. The increase in market share of nut- and seed-based beverages appears to have contributed to the steady decline of soy-based beverages and resulted in leading brands such as So Good™ and Vitasoy™ introducing nut- and seed-based beverages such as almond-based beverage and coconut-based milk substitutes to their ranges.</w:t>
      </w:r>
    </w:p>
    <w:p w14:paraId="535C3C9C" w14:textId="38C8955A" w:rsidR="00C03610" w:rsidRDefault="00AF4FCB" w:rsidP="00D20A1E">
      <w:pPr>
        <w:pStyle w:val="Heading1"/>
        <w:widowControl/>
      </w:pPr>
      <w:bookmarkStart w:id="34" w:name="_Ref426440851"/>
      <w:bookmarkStart w:id="35" w:name="_Toc427672156"/>
      <w:bookmarkStart w:id="36" w:name="_Toc427678222"/>
      <w:r>
        <w:t>3</w:t>
      </w:r>
      <w:r>
        <w:tab/>
      </w:r>
      <w:r w:rsidR="00C03610">
        <w:t>Consumption of nut- and seed-based beverages and other plant-based milk substitutes</w:t>
      </w:r>
      <w:bookmarkEnd w:id="34"/>
      <w:bookmarkEnd w:id="35"/>
      <w:bookmarkEnd w:id="36"/>
    </w:p>
    <w:p w14:paraId="148E00F8" w14:textId="5C82B8D6" w:rsidR="00C03610" w:rsidRPr="00353A99" w:rsidRDefault="00AF4FCB" w:rsidP="00D20A1E">
      <w:pPr>
        <w:pStyle w:val="Heading2"/>
      </w:pPr>
      <w:bookmarkStart w:id="37" w:name="_Ref423677718"/>
      <w:bookmarkStart w:id="38" w:name="_Toc427672157"/>
      <w:bookmarkStart w:id="39" w:name="_Toc427678223"/>
      <w:r>
        <w:t>3.1</w:t>
      </w:r>
      <w:r>
        <w:tab/>
      </w:r>
      <w:r w:rsidR="00C03610">
        <w:t>Nutrition survey data used for the risk assessment</w:t>
      </w:r>
      <w:bookmarkEnd w:id="37"/>
      <w:bookmarkEnd w:id="38"/>
      <w:bookmarkEnd w:id="39"/>
    </w:p>
    <w:p w14:paraId="26C7EAD5" w14:textId="77777777" w:rsidR="00C03610" w:rsidRDefault="00C03610" w:rsidP="00D20A1E">
      <w:pPr>
        <w:keepNext/>
        <w:keepLines/>
        <w:widowControl/>
        <w:rPr>
          <w:lang w:bidi="ar-SA"/>
        </w:rPr>
      </w:pPr>
      <w:r>
        <w:rPr>
          <w:lang w:bidi="ar-SA"/>
        </w:rPr>
        <w:t>FSANZ uses detailed food consumption data from national nutrition surveys to derive data on food consumption and estimated dietary intakes of nutrients for Australians and New Zealanders. The most recent detailed survey data available to FSANZ for these purposes are outlined below.</w:t>
      </w:r>
    </w:p>
    <w:p w14:paraId="5E88C4D2" w14:textId="77777777" w:rsidR="00C03610" w:rsidRDefault="00C03610" w:rsidP="00D20A1E">
      <w:pPr>
        <w:keepNext/>
        <w:keepLines/>
        <w:widowControl/>
        <w:rPr>
          <w:lang w:bidi="ar-SA"/>
        </w:rPr>
      </w:pPr>
    </w:p>
    <w:p w14:paraId="3FF38528" w14:textId="77777777" w:rsidR="00C03610" w:rsidRDefault="00C03610" w:rsidP="00051D04">
      <w:pPr>
        <w:pStyle w:val="FSBullet1"/>
      </w:pPr>
      <w:r w:rsidRPr="004A7119">
        <w:t xml:space="preserve">1995 </w:t>
      </w:r>
      <w:r>
        <w:t>Austral</w:t>
      </w:r>
      <w:r w:rsidRPr="00051D04">
        <w:t>ian National Nutrition Survey (AusNNS) is a one day 24-hour recall survey of 13,858 respondents aged 2 years and above (with 10% of respondents undertaking a second 24-hour recall on a non-consecutive day). Results in this assessment are for Day 1 only. A respondent was counted as a consumer of a food if the food was consumed on Day 1 only.</w:t>
      </w:r>
    </w:p>
    <w:p w14:paraId="12D709E1" w14:textId="77777777" w:rsidR="00051D04" w:rsidRPr="00051D04" w:rsidRDefault="00051D04" w:rsidP="00051D04">
      <w:pPr>
        <w:rPr>
          <w:lang w:bidi="ar-SA"/>
        </w:rPr>
      </w:pPr>
    </w:p>
    <w:p w14:paraId="7C481357" w14:textId="77777777" w:rsidR="00C03610" w:rsidRDefault="00C03610" w:rsidP="00051D04">
      <w:pPr>
        <w:pStyle w:val="FSBullet1"/>
      </w:pPr>
      <w:r w:rsidRPr="00051D04">
        <w:t>2007 Australian National Children’s Nutrition and Physical Activity Survey (ANCNPAS) is a 24-hour recall survey of 4,487 respondents aged 2-16 years, with all respondents undertaking a second 24 hour recall on a non-consecutive day. A respondent is counted as a consumer of a food in this assessment if the food was consumed on either Day 1 or Day 2, or both days.</w:t>
      </w:r>
    </w:p>
    <w:p w14:paraId="2C4B592F" w14:textId="77777777" w:rsidR="00051D04" w:rsidRPr="00051D04" w:rsidRDefault="00051D04" w:rsidP="00051D04">
      <w:pPr>
        <w:rPr>
          <w:lang w:bidi="ar-SA"/>
        </w:rPr>
      </w:pPr>
    </w:p>
    <w:p w14:paraId="741AD934" w14:textId="77777777" w:rsidR="00C03610" w:rsidRDefault="00C03610" w:rsidP="00051D04">
      <w:pPr>
        <w:pStyle w:val="FSBullet1"/>
      </w:pPr>
      <w:r w:rsidRPr="00051D04">
        <w:t xml:space="preserve">2002 New Zealand Children’s Nutrition Survey (2002 NZCNS) is a one day 24-hour recall survey of 3,275 respondents aged 5-14 years (with 15% of respondents undertaking a </w:t>
      </w:r>
      <w:r w:rsidRPr="004A7119">
        <w:t xml:space="preserve">second 24-hour recall on a non-consecutive day). </w:t>
      </w:r>
      <w:r>
        <w:t xml:space="preserve">The results in this assessment are for Day 1 only. </w:t>
      </w:r>
      <w:r w:rsidRPr="004A7119">
        <w:t xml:space="preserve">A respondent is counted as a consumer </w:t>
      </w:r>
      <w:r>
        <w:t xml:space="preserve">of a food </w:t>
      </w:r>
      <w:r w:rsidRPr="004A7119">
        <w:t xml:space="preserve">if the food was consumed on </w:t>
      </w:r>
      <w:r>
        <w:t>D</w:t>
      </w:r>
      <w:r w:rsidRPr="004A7119">
        <w:t>ay 1 only.</w:t>
      </w:r>
    </w:p>
    <w:p w14:paraId="450B8F9C" w14:textId="77777777" w:rsidR="00C03610" w:rsidRDefault="00C03610" w:rsidP="00D20A1E">
      <w:pPr>
        <w:pStyle w:val="FSBullet1"/>
        <w:keepNext/>
        <w:keepLines/>
        <w:spacing w:after="60"/>
      </w:pPr>
      <w:r>
        <w:t xml:space="preserve">2008-09 New Zealand Adult Nutrition Survey (2008 NZANS) is </w:t>
      </w:r>
      <w:r w:rsidRPr="004A7119">
        <w:t>a</w:t>
      </w:r>
      <w:r>
        <w:t xml:space="preserve"> one</w:t>
      </w:r>
      <w:r w:rsidRPr="004A7119">
        <w:t xml:space="preserve"> day 24-hour recall survey of </w:t>
      </w:r>
      <w:r>
        <w:t>4,721</w:t>
      </w:r>
      <w:r w:rsidRPr="004A7119">
        <w:t xml:space="preserve"> respondents aged </w:t>
      </w:r>
      <w:r>
        <w:t>15 </w:t>
      </w:r>
      <w:r w:rsidRPr="004A7119">
        <w:t xml:space="preserve">years and </w:t>
      </w:r>
      <w:r>
        <w:t>above (with 25</w:t>
      </w:r>
      <w:r w:rsidRPr="004A7119">
        <w:t xml:space="preserve">% of respondents undertaking a second 24-hour recall on a non-consecutive day). </w:t>
      </w:r>
      <w:r>
        <w:t xml:space="preserve">The results in this assessment are for Day 1 only. </w:t>
      </w:r>
      <w:r w:rsidRPr="004A7119">
        <w:t xml:space="preserve">A respondent is counted as a consumer </w:t>
      </w:r>
      <w:r>
        <w:t xml:space="preserve">of a food </w:t>
      </w:r>
      <w:r w:rsidRPr="004A7119">
        <w:t xml:space="preserve">if the food was consumed on </w:t>
      </w:r>
      <w:r>
        <w:t>D</w:t>
      </w:r>
      <w:r w:rsidRPr="004A7119">
        <w:t>ay 1 only.</w:t>
      </w:r>
    </w:p>
    <w:p w14:paraId="679126EA" w14:textId="77777777" w:rsidR="00C03610" w:rsidRDefault="00C03610" w:rsidP="00051D04">
      <w:pPr>
        <w:rPr>
          <w:lang w:bidi="ar-SA"/>
        </w:rPr>
      </w:pPr>
    </w:p>
    <w:p w14:paraId="4CD40329" w14:textId="77777777" w:rsidR="00051D04" w:rsidRDefault="00051D04" w:rsidP="00051D04">
      <w:pPr>
        <w:rPr>
          <w:lang w:bidi="ar-SA"/>
        </w:rPr>
      </w:pPr>
      <w:r>
        <w:rPr>
          <w:lang w:bidi="ar-SA"/>
        </w:rPr>
        <w:br w:type="page"/>
      </w:r>
    </w:p>
    <w:p w14:paraId="468ED7A4" w14:textId="19B4EC25" w:rsidR="00C03610" w:rsidRDefault="00C03610" w:rsidP="00051D04">
      <w:pPr>
        <w:rPr>
          <w:lang w:bidi="ar-SA"/>
        </w:rPr>
      </w:pPr>
      <w:r w:rsidRPr="000C20F5">
        <w:rPr>
          <w:lang w:bidi="ar-SA"/>
        </w:rPr>
        <w:lastRenderedPageBreak/>
        <w:t xml:space="preserve">The 1997 </w:t>
      </w:r>
      <w:r>
        <w:rPr>
          <w:lang w:bidi="ar-SA"/>
        </w:rPr>
        <w:t>New Zealand National Nutrition Survey (</w:t>
      </w:r>
      <w:r w:rsidRPr="000C20F5">
        <w:rPr>
          <w:lang w:bidi="ar-SA"/>
        </w:rPr>
        <w:t>NZNNS</w:t>
      </w:r>
      <w:r>
        <w:rPr>
          <w:lang w:bidi="ar-SA"/>
        </w:rPr>
        <w:t>)</w:t>
      </w:r>
      <w:r w:rsidRPr="000C20F5">
        <w:rPr>
          <w:lang w:bidi="ar-SA"/>
        </w:rPr>
        <w:t xml:space="preserve"> is a one day 24-hour recall survey of 4,636 respondents aged 15 years and above (with approximately 15% of respondents undertaking a second 24-hour recall on a non-consecutive day). </w:t>
      </w:r>
      <w:r>
        <w:rPr>
          <w:lang w:bidi="ar-SA"/>
        </w:rPr>
        <w:t xml:space="preserve">Generally, this survey is no longer used by FSANZ since it has been superseded by the </w:t>
      </w:r>
      <w:r>
        <w:t>2008 NZANS.</w:t>
      </w:r>
    </w:p>
    <w:p w14:paraId="70F39959" w14:textId="77777777" w:rsidR="00C03610" w:rsidRDefault="00C03610" w:rsidP="00D20A1E">
      <w:pPr>
        <w:widowControl/>
        <w:rPr>
          <w:lang w:bidi="ar-SA"/>
        </w:rPr>
      </w:pPr>
    </w:p>
    <w:p w14:paraId="4C4EE551" w14:textId="0805A7C1" w:rsidR="00C03610" w:rsidRDefault="00C03610" w:rsidP="00D20A1E">
      <w:pPr>
        <w:widowControl/>
        <w:rPr>
          <w:lang w:bidi="ar-SA"/>
        </w:rPr>
      </w:pPr>
      <w:r>
        <w:rPr>
          <w:lang w:bidi="ar-SA"/>
        </w:rPr>
        <w:t xml:space="preserve">Data from the Australian 2011-12 National Nutrition and Physical Activity Survey (NNPAS) has recently become available (ABS 2014a). Summary food and nutrient intake reports have been published by the Australian Bureau of Statistics (ABS) and some additional analyses of these raw data files have been undertaken by FSANZ. However, not all detailed analysis is available yet to include in this report because the data set is not yet included in our custom computer modelling system. Consequently, FSANZ compared the summary nutrient intake data from 1995 AusNNS, 2007 ANCNAPS and 2011-12 NNPAS for Australia, and from the 1997 NZNNS, 2002 NZCNS and the 2008 NZANS for New Zealand (see Sections </w:t>
      </w:r>
      <w:r>
        <w:rPr>
          <w:lang w:bidi="ar-SA"/>
        </w:rPr>
        <w:fldChar w:fldCharType="begin"/>
      </w:r>
      <w:r>
        <w:rPr>
          <w:lang w:bidi="ar-SA"/>
        </w:rPr>
        <w:instrText xml:space="preserve"> REF _Ref422129603 \r \h </w:instrText>
      </w:r>
      <w:r>
        <w:rPr>
          <w:lang w:bidi="ar-SA"/>
        </w:rPr>
      </w:r>
      <w:r>
        <w:rPr>
          <w:lang w:bidi="ar-SA"/>
        </w:rPr>
        <w:fldChar w:fldCharType="separate"/>
      </w:r>
      <w:r w:rsidR="00047581">
        <w:rPr>
          <w:lang w:bidi="ar-SA"/>
        </w:rPr>
        <w:t>8.1.2</w:t>
      </w:r>
      <w:r>
        <w:rPr>
          <w:lang w:bidi="ar-SA"/>
        </w:rPr>
        <w:fldChar w:fldCharType="end"/>
      </w:r>
      <w:r>
        <w:rPr>
          <w:lang w:bidi="ar-SA"/>
        </w:rPr>
        <w:t xml:space="preserve">, </w:t>
      </w:r>
      <w:r w:rsidR="00B75A91">
        <w:rPr>
          <w:lang w:bidi="ar-SA"/>
        </w:rPr>
        <w:fldChar w:fldCharType="begin"/>
      </w:r>
      <w:r w:rsidR="00B75A91">
        <w:rPr>
          <w:lang w:bidi="ar-SA"/>
        </w:rPr>
        <w:instrText xml:space="preserve"> REF _Ref426442910 \r \h </w:instrText>
      </w:r>
      <w:r w:rsidR="00B75A91">
        <w:rPr>
          <w:lang w:bidi="ar-SA"/>
        </w:rPr>
      </w:r>
      <w:r w:rsidR="00B75A91">
        <w:rPr>
          <w:lang w:bidi="ar-SA"/>
        </w:rPr>
        <w:fldChar w:fldCharType="separate"/>
      </w:r>
      <w:r w:rsidR="00047581">
        <w:rPr>
          <w:lang w:bidi="ar-SA"/>
        </w:rPr>
        <w:t>8.2.1.2</w:t>
      </w:r>
      <w:r w:rsidR="00B75A91">
        <w:rPr>
          <w:lang w:bidi="ar-SA"/>
        </w:rPr>
        <w:fldChar w:fldCharType="end"/>
      </w:r>
      <w:r>
        <w:rPr>
          <w:lang w:bidi="ar-SA"/>
        </w:rPr>
        <w:t xml:space="preserve">, </w:t>
      </w:r>
      <w:r>
        <w:rPr>
          <w:lang w:bidi="ar-SA"/>
        </w:rPr>
        <w:fldChar w:fldCharType="begin"/>
      </w:r>
      <w:r>
        <w:rPr>
          <w:lang w:bidi="ar-SA"/>
        </w:rPr>
        <w:instrText xml:space="preserve"> REF _Ref421792644 \r \h </w:instrText>
      </w:r>
      <w:r>
        <w:rPr>
          <w:lang w:bidi="ar-SA"/>
        </w:rPr>
      </w:r>
      <w:r>
        <w:rPr>
          <w:lang w:bidi="ar-SA"/>
        </w:rPr>
        <w:fldChar w:fldCharType="separate"/>
      </w:r>
      <w:r w:rsidR="00047581">
        <w:rPr>
          <w:lang w:bidi="ar-SA"/>
        </w:rPr>
        <w:t>8.2.2.2</w:t>
      </w:r>
      <w:r>
        <w:rPr>
          <w:lang w:bidi="ar-SA"/>
        </w:rPr>
        <w:fldChar w:fldCharType="end"/>
      </w:r>
      <w:r>
        <w:rPr>
          <w:lang w:bidi="ar-SA"/>
        </w:rPr>
        <w:t xml:space="preserve">, </w:t>
      </w:r>
      <w:r>
        <w:rPr>
          <w:lang w:bidi="ar-SA"/>
        </w:rPr>
        <w:fldChar w:fldCharType="begin"/>
      </w:r>
      <w:r>
        <w:rPr>
          <w:lang w:bidi="ar-SA"/>
        </w:rPr>
        <w:instrText xml:space="preserve"> REF _Ref421792654 \r \h </w:instrText>
      </w:r>
      <w:r>
        <w:rPr>
          <w:lang w:bidi="ar-SA"/>
        </w:rPr>
      </w:r>
      <w:r>
        <w:rPr>
          <w:lang w:bidi="ar-SA"/>
        </w:rPr>
        <w:fldChar w:fldCharType="separate"/>
      </w:r>
      <w:r w:rsidR="00047581">
        <w:rPr>
          <w:lang w:bidi="ar-SA"/>
        </w:rPr>
        <w:t>8.2.3.2</w:t>
      </w:r>
      <w:r>
        <w:rPr>
          <w:lang w:bidi="ar-SA"/>
        </w:rPr>
        <w:fldChar w:fldCharType="end"/>
      </w:r>
      <w:r>
        <w:rPr>
          <w:lang w:bidi="ar-SA"/>
        </w:rPr>
        <w:t xml:space="preserve"> and </w:t>
      </w:r>
      <w:r>
        <w:rPr>
          <w:lang w:bidi="ar-SA"/>
        </w:rPr>
        <w:fldChar w:fldCharType="begin"/>
      </w:r>
      <w:r>
        <w:rPr>
          <w:lang w:bidi="ar-SA"/>
        </w:rPr>
        <w:instrText xml:space="preserve"> REF _Ref422129676 \r \h </w:instrText>
      </w:r>
      <w:r>
        <w:rPr>
          <w:lang w:bidi="ar-SA"/>
        </w:rPr>
      </w:r>
      <w:r>
        <w:rPr>
          <w:lang w:bidi="ar-SA"/>
        </w:rPr>
        <w:fldChar w:fldCharType="separate"/>
      </w:r>
      <w:r w:rsidR="00047581">
        <w:rPr>
          <w:lang w:bidi="ar-SA"/>
        </w:rPr>
        <w:t>8.2.4</w:t>
      </w:r>
      <w:r>
        <w:rPr>
          <w:lang w:bidi="ar-SA"/>
        </w:rPr>
        <w:fldChar w:fldCharType="end"/>
      </w:r>
      <w:r>
        <w:rPr>
          <w:lang w:bidi="ar-SA"/>
        </w:rPr>
        <w:t xml:space="preserve"> for the detailed analyses) to determine the validity of using the A500 assessment for comparison of nutrient intake estimates for non-dairy consumers and the general populations in Australian and New Zealand.</w:t>
      </w:r>
    </w:p>
    <w:p w14:paraId="09C0232E" w14:textId="77777777" w:rsidR="00C03610" w:rsidRDefault="00C03610" w:rsidP="00D20A1E">
      <w:pPr>
        <w:widowControl/>
        <w:rPr>
          <w:lang w:bidi="ar-SA"/>
        </w:rPr>
      </w:pPr>
    </w:p>
    <w:p w14:paraId="2B124B84" w14:textId="77777777" w:rsidR="00C03610" w:rsidRDefault="00C03610" w:rsidP="00D20A1E">
      <w:pPr>
        <w:widowControl/>
        <w:rPr>
          <w:lang w:bidi="ar-SA"/>
        </w:rPr>
      </w:pPr>
      <w:r>
        <w:t>In general, the contribution of milk to vitamin and mineral intakes and the mean vitamin and mineral intakes from the more recent Australian and New Zealand national nutrition surveys were similar to those from the older 1995 AusNNS and 1997 NZNNS, the surveys used in the assessment of A500.</w:t>
      </w:r>
      <w:r w:rsidRPr="00410C1B">
        <w:t xml:space="preserve"> Therefore the results shown in A500 </w:t>
      </w:r>
      <w:r>
        <w:t>(and the 1995 AusNNS and 1997 NZ NNS) were</w:t>
      </w:r>
      <w:r w:rsidRPr="00410C1B">
        <w:t xml:space="preserve"> still </w:t>
      </w:r>
      <w:r>
        <w:t xml:space="preserve">considered </w:t>
      </w:r>
      <w:r w:rsidRPr="00410C1B">
        <w:t>relevant for assessing the current Application, except for iodine</w:t>
      </w:r>
      <w:r>
        <w:t>,</w:t>
      </w:r>
      <w:r w:rsidRPr="00410C1B">
        <w:t xml:space="preserve"> </w:t>
      </w:r>
      <w:r>
        <w:t xml:space="preserve">total </w:t>
      </w:r>
      <w:r w:rsidRPr="00410C1B">
        <w:t>folate</w:t>
      </w:r>
      <w:r>
        <w:t>s, dietary folate equivalents and folic acid</w:t>
      </w:r>
      <w:r w:rsidRPr="00410C1B">
        <w:t xml:space="preserve"> owing to fortification initiatives in the intervening period.</w:t>
      </w:r>
    </w:p>
    <w:p w14:paraId="77E7DC71" w14:textId="77777777" w:rsidR="00C03610" w:rsidRDefault="00C03610" w:rsidP="00D20A1E">
      <w:pPr>
        <w:widowControl/>
        <w:rPr>
          <w:lang w:bidi="ar-SA"/>
        </w:rPr>
      </w:pPr>
    </w:p>
    <w:p w14:paraId="1500E4EC" w14:textId="77777777" w:rsidR="00C03610" w:rsidRPr="0084030F" w:rsidRDefault="00C03610" w:rsidP="00D20A1E">
      <w:pPr>
        <w:widowControl/>
        <w:rPr>
          <w:lang w:bidi="ar-SA"/>
        </w:rPr>
      </w:pPr>
      <w:r>
        <w:rPr>
          <w:lang w:bidi="ar-SA"/>
        </w:rPr>
        <w:t>From the recent surveys, the proportion of the population consuming milk and plant-based milk substitutes can be estimated. These estimations include where milk and plant-based milk substitutes were reported as consumed as a beverage or on breakfast cereal. The consumption figures do not include where milk or plant-based milk substitutes have been used in a recipe, such as flat white coffee, cakes or cheese sauce.</w:t>
      </w:r>
    </w:p>
    <w:p w14:paraId="5E5AED9A" w14:textId="77777777" w:rsidR="00C03610" w:rsidRDefault="00C03610" w:rsidP="00D20A1E">
      <w:pPr>
        <w:widowControl/>
      </w:pPr>
    </w:p>
    <w:p w14:paraId="615A0BCE" w14:textId="61F634F9" w:rsidR="00C03610" w:rsidRDefault="00C03610" w:rsidP="00D20A1E">
      <w:pPr>
        <w:widowControl/>
        <w:tabs>
          <w:tab w:val="left" w:pos="1985"/>
        </w:tabs>
      </w:pPr>
      <w:r>
        <w:t xml:space="preserve">The types of plant-based milk substitutes, excluding soy-based beverages, that were reported as consumed in the more recent Australian and New Zealand nutrition surveys are provided in </w:t>
      </w:r>
      <w:r>
        <w:fldChar w:fldCharType="begin"/>
      </w:r>
      <w:r>
        <w:instrText xml:space="preserve"> REF _Ref420069949 \h </w:instrText>
      </w:r>
      <w:r>
        <w:fldChar w:fldCharType="separate"/>
      </w:r>
      <w:r w:rsidR="00047581" w:rsidRPr="00353A99">
        <w:t xml:space="preserve">Table </w:t>
      </w:r>
      <w:r w:rsidR="00047581">
        <w:rPr>
          <w:noProof/>
        </w:rPr>
        <w:t>2</w:t>
      </w:r>
      <w:r>
        <w:fldChar w:fldCharType="end"/>
      </w:r>
      <w:r>
        <w:t>. No nut, seed or cereal-based beverages were reported as being consumed in the 1995 AusNNS. No seed-based beverages were reported as consumed in any of the surveys.</w:t>
      </w:r>
    </w:p>
    <w:p w14:paraId="5683B607" w14:textId="77777777" w:rsidR="00C03610" w:rsidRDefault="00C03610" w:rsidP="00D20A1E">
      <w:pPr>
        <w:widowControl/>
      </w:pPr>
    </w:p>
    <w:p w14:paraId="15EAFC5E" w14:textId="77777777" w:rsidR="00C03610" w:rsidRPr="00C8750F" w:rsidRDefault="00C03610" w:rsidP="00D20A1E">
      <w:pPr>
        <w:widowControl/>
        <w:rPr>
          <w:lang w:bidi="ar-SA"/>
        </w:rPr>
      </w:pPr>
      <w:r>
        <w:t>A range of soy-based beverages were consumed across all nutrition surveys. Soy-based beverages were also reported as consumed as coffee with soy-based beverage (e.g. flat white, cappuccino, latte etc.). In the 2011-12 NNPAS, smoothies and milkshakes/iced coffees were also prepared with soy-based beverages.</w:t>
      </w:r>
    </w:p>
    <w:p w14:paraId="72E0631C" w14:textId="424B6CAE" w:rsidR="00C03610" w:rsidRPr="00353A99" w:rsidRDefault="00AF4FCB" w:rsidP="00D20A1E">
      <w:pPr>
        <w:pStyle w:val="Heading2"/>
        <w:keepNext/>
        <w:keepLines/>
      </w:pPr>
      <w:bookmarkStart w:id="40" w:name="_Ref422210114"/>
      <w:bookmarkStart w:id="41" w:name="_Ref422210202"/>
      <w:bookmarkStart w:id="42" w:name="_Ref422210212"/>
      <w:bookmarkStart w:id="43" w:name="_Toc427672158"/>
      <w:bookmarkStart w:id="44" w:name="_Toc427678224"/>
      <w:r>
        <w:t>3.2</w:t>
      </w:r>
      <w:r>
        <w:tab/>
      </w:r>
      <w:r w:rsidR="00C03610" w:rsidRPr="00353A99">
        <w:t xml:space="preserve">Proportion of the Australian and New Zealand populations consuming </w:t>
      </w:r>
      <w:r w:rsidR="00C03610">
        <w:t>plant-based milk substitute</w:t>
      </w:r>
      <w:r w:rsidR="00C03610" w:rsidRPr="00353A99">
        <w:t>s</w:t>
      </w:r>
      <w:bookmarkEnd w:id="40"/>
      <w:bookmarkEnd w:id="41"/>
      <w:bookmarkEnd w:id="42"/>
      <w:bookmarkEnd w:id="43"/>
      <w:bookmarkEnd w:id="44"/>
    </w:p>
    <w:p w14:paraId="25471585" w14:textId="7C41D7C9" w:rsidR="00C03610" w:rsidRDefault="00C03610" w:rsidP="00D20A1E">
      <w:pPr>
        <w:keepNext/>
        <w:keepLines/>
        <w:widowControl/>
      </w:pPr>
      <w:r>
        <w:t>Generally, the proportion of the Australian and New Zealand populations consuming plant-based milk substitutes was small, with soy-based beverages being consumed by approximately 2% and other plant-based beverages being consumed by &lt;1% of survey respondents in the most recent Australian (2007 ANCNPAS and 2011-12 NNPAS) and New Zealand (2002 CNS and 2008-09 ANS) nutrition surveys (</w:t>
      </w:r>
      <w:r>
        <w:fldChar w:fldCharType="begin"/>
      </w:r>
      <w:r>
        <w:instrText xml:space="preserve"> REF _Ref417648746 \h </w:instrText>
      </w:r>
      <w:r>
        <w:fldChar w:fldCharType="separate"/>
      </w:r>
      <w:r w:rsidR="00047581">
        <w:t>Table A1.</w:t>
      </w:r>
      <w:r w:rsidR="00047581">
        <w:rPr>
          <w:noProof/>
        </w:rPr>
        <w:t>2</w:t>
      </w:r>
      <w:r>
        <w:fldChar w:fldCharType="end"/>
      </w:r>
      <w:r>
        <w:t xml:space="preserve"> in </w:t>
      </w:r>
      <w:r>
        <w:fldChar w:fldCharType="begin"/>
      </w:r>
      <w:r>
        <w:instrText xml:space="preserve"> REF _Ref417648450 \h </w:instrText>
      </w:r>
      <w:r>
        <w:fldChar w:fldCharType="separate"/>
      </w:r>
      <w:r w:rsidR="00047581">
        <w:t xml:space="preserve">Appendix </w:t>
      </w:r>
      <w:r w:rsidR="00047581">
        <w:rPr>
          <w:noProof/>
        </w:rPr>
        <w:t>1</w:t>
      </w:r>
      <w:r>
        <w:fldChar w:fldCharType="end"/>
      </w:r>
      <w:r>
        <w:t>). No survey respondents reported consuming cereal-, nut- or seed-based beverages in the 1995</w:t>
      </w:r>
      <w:r w:rsidR="00A16296">
        <w:t> </w:t>
      </w:r>
      <w:r>
        <w:t>AusNNS, with &lt;0.1% of 1997 NZNNS respondents consuming a cereal-based beverage.</w:t>
      </w:r>
    </w:p>
    <w:p w14:paraId="33115BD2" w14:textId="57582003" w:rsidR="00051D04" w:rsidRDefault="00051D04" w:rsidP="00D20A1E">
      <w:pPr>
        <w:widowControl/>
      </w:pPr>
      <w:r>
        <w:br w:type="page"/>
      </w:r>
    </w:p>
    <w:bookmarkEnd w:id="32"/>
    <w:bookmarkEnd w:id="33"/>
    <w:p w14:paraId="3BFC4C39" w14:textId="77777777" w:rsidR="00C03610" w:rsidRDefault="00C03610" w:rsidP="005076F8">
      <w:pPr>
        <w:widowControl/>
        <w:ind w:right="-330"/>
      </w:pPr>
      <w:r>
        <w:lastRenderedPageBreak/>
        <w:t xml:space="preserve">In the 2011-12 NNPAS, the proportion of the population aged 2 years and above consuming </w:t>
      </w:r>
      <w:r w:rsidDel="009919AF">
        <w:t>cereal</w:t>
      </w:r>
      <w:r>
        <w:t>-</w:t>
      </w:r>
      <w:r w:rsidDel="009919AF">
        <w:t xml:space="preserve"> or nut-based beverages </w:t>
      </w:r>
      <w:r>
        <w:t>was 0.7% (noting that no seed-based beverages were reported as consumed in this survey</w:t>
      </w:r>
      <w:r w:rsidRPr="00045FF4">
        <w:t xml:space="preserve">). Of the consumers of cereal- or nut-based beverages, 27% also consumed fluid milk (plain/ flavoured/ milkshake/ hot chocolate). Similarly, there were consumers of soy-based beverages (plain or flavoured), who also consumed fluid milk (29%). The age range of consumers of </w:t>
      </w:r>
      <w:r>
        <w:t xml:space="preserve">nut- </w:t>
      </w:r>
      <w:r w:rsidRPr="00045FF4">
        <w:t>or cereal-based beverages was from very young (2 years) up to 85 years</w:t>
      </w:r>
      <w:r>
        <w:t xml:space="preserve"> and over</w:t>
      </w:r>
      <w:r w:rsidRPr="00045FF4">
        <w:t xml:space="preserve">. However, across all products in this group, 68% of consumers were aged 30 years and over, with only 8% of consumers aged 10 years or under. In terms of gender, 59% of consumers of any </w:t>
      </w:r>
      <w:r>
        <w:t xml:space="preserve">nut- </w:t>
      </w:r>
      <w:r w:rsidRPr="00045FF4">
        <w:t>or cereal-based beverages were females and 41% were males.</w:t>
      </w:r>
      <w:r w:rsidRPr="00F95C50">
        <w:t xml:space="preserve"> </w:t>
      </w:r>
      <w:r>
        <w:t>In the 2011-12 NNPAS, respondents were also asked if they avoided any foods for any reason</w:t>
      </w:r>
      <w:r w:rsidRPr="00045FF4">
        <w:t xml:space="preserve">. Of the </w:t>
      </w:r>
      <w:r>
        <w:t xml:space="preserve">nut- </w:t>
      </w:r>
      <w:r w:rsidRPr="00045FF4">
        <w:t xml:space="preserve">and cereal-based beverages consumers, 36% reported avoiding </w:t>
      </w:r>
      <w:r>
        <w:t>cow’s</w:t>
      </w:r>
      <w:r w:rsidRPr="00045FF4">
        <w:t xml:space="preserve"> milk/dairy due to allergy or intolerance (despite </w:t>
      </w:r>
      <w:r w:rsidRPr="00C702B6">
        <w:t>this, 25% of these avoiders actually reported consuming some form of plain fluid milk). None</w:t>
      </w:r>
      <w:r>
        <w:t xml:space="preserve"> of the consumers of nut- or cereal-based beverages said they avoided dairy due to religious or cultural reasons.</w:t>
      </w:r>
    </w:p>
    <w:p w14:paraId="590504BE" w14:textId="77777777" w:rsidR="00C03610" w:rsidRDefault="00C03610" w:rsidP="00D20A1E">
      <w:pPr>
        <w:widowControl/>
      </w:pPr>
    </w:p>
    <w:p w14:paraId="3093C54A" w14:textId="2EE93E2D" w:rsidR="00C03610" w:rsidRDefault="00C03610" w:rsidP="00D20A1E">
      <w:pPr>
        <w:widowControl/>
      </w:pPr>
      <w:r w:rsidRPr="00045FF4">
        <w:t>In the 2011-12 NNPAS, most cereal</w:t>
      </w:r>
      <w:r>
        <w:t>-</w:t>
      </w:r>
      <w:r w:rsidRPr="00045FF4" w:rsidDel="001961C4">
        <w:t xml:space="preserve"> </w:t>
      </w:r>
      <w:r w:rsidRPr="00045FF4">
        <w:t xml:space="preserve">or nut-based beverage consumers (78%) consumed the beverage once per day. Twenty-two (22%) percent of consumers had more than one eating occasion in the day, with the highest number of eating occasions of any one of the identified products being 4 times over the day. </w:t>
      </w:r>
      <w:r>
        <w:t xml:space="preserve">Of the </w:t>
      </w:r>
      <w:r w:rsidRPr="00045FF4">
        <w:t>cereal-</w:t>
      </w:r>
      <w:r w:rsidRPr="00045FF4" w:rsidDel="001961C4">
        <w:t xml:space="preserve"> </w:t>
      </w:r>
      <w:r w:rsidRPr="00045FF4">
        <w:t>or nut-based beverage consumers</w:t>
      </w:r>
      <w:r>
        <w:t xml:space="preserve">, approximately 5% also consumed soy-beverages. </w:t>
      </w:r>
      <w:r w:rsidRPr="00045FF4">
        <w:t xml:space="preserve">No respondents consumed more than </w:t>
      </w:r>
      <w:r w:rsidRPr="00094C56">
        <w:t>one of the cereal-</w:t>
      </w:r>
      <w:r>
        <w:t xml:space="preserve"> </w:t>
      </w:r>
      <w:r w:rsidRPr="00094C56">
        <w:t xml:space="preserve">or nut-based product types listed in </w:t>
      </w:r>
      <w:r w:rsidRPr="00094C56">
        <w:fldChar w:fldCharType="begin"/>
      </w:r>
      <w:r w:rsidRPr="00094C56">
        <w:instrText xml:space="preserve"> REF _Ref420069949 \h  \* MERGEFORMAT </w:instrText>
      </w:r>
      <w:r w:rsidRPr="00094C56">
        <w:fldChar w:fldCharType="separate"/>
      </w:r>
      <w:r w:rsidR="00047581" w:rsidRPr="00353A99">
        <w:t xml:space="preserve">Table </w:t>
      </w:r>
      <w:r w:rsidR="00047581">
        <w:rPr>
          <w:noProof/>
        </w:rPr>
        <w:t>2</w:t>
      </w:r>
      <w:r w:rsidRPr="00094C56">
        <w:fldChar w:fldCharType="end"/>
      </w:r>
      <w:r w:rsidRPr="00094C56">
        <w:t xml:space="preserve"> on Day 1.</w:t>
      </w:r>
    </w:p>
    <w:p w14:paraId="300480AD" w14:textId="77777777" w:rsidR="00C03610" w:rsidRDefault="00C03610" w:rsidP="00D20A1E">
      <w:pPr>
        <w:widowControl/>
      </w:pPr>
    </w:p>
    <w:p w14:paraId="37C929B1" w14:textId="634C48DA" w:rsidR="00C03610" w:rsidRDefault="00C03610" w:rsidP="00D20A1E">
      <w:pPr>
        <w:widowControl/>
      </w:pPr>
      <w:r>
        <w:t>For consumers only, mean</w:t>
      </w:r>
      <w:r w:rsidDel="001961C4">
        <w:t xml:space="preserve"> </w:t>
      </w:r>
      <w:r>
        <w:t xml:space="preserve">consumption of plain fluid milks, plain soy-based beverages and </w:t>
      </w:r>
      <w:r w:rsidDel="00AB5E2C">
        <w:t xml:space="preserve">other </w:t>
      </w:r>
      <w:r>
        <w:t xml:space="preserve">plain plant-based milk substitutes (only cereal- and nut-based products were consumed) appeared to be in the same range, at around 130–400 grams/day (see </w:t>
      </w:r>
      <w:r>
        <w:fldChar w:fldCharType="begin"/>
      </w:r>
      <w:r>
        <w:instrText xml:space="preserve"> REF _Ref423685803 \h </w:instrText>
      </w:r>
      <w:r>
        <w:fldChar w:fldCharType="separate"/>
      </w:r>
      <w:r w:rsidR="00047581" w:rsidRPr="0001478A">
        <w:t xml:space="preserve">Figure </w:t>
      </w:r>
      <w:r w:rsidR="00047581">
        <w:rPr>
          <w:noProof/>
        </w:rPr>
        <w:t>1</w:t>
      </w:r>
      <w:r>
        <w:fldChar w:fldCharType="end"/>
      </w:r>
      <w:r>
        <w:t xml:space="preserve">, </w:t>
      </w:r>
      <w:r>
        <w:fldChar w:fldCharType="begin"/>
      </w:r>
      <w:r>
        <w:instrText xml:space="preserve"> REF _Ref423965446 \h </w:instrText>
      </w:r>
      <w:r>
        <w:fldChar w:fldCharType="separate"/>
      </w:r>
      <w:r w:rsidR="00047581" w:rsidRPr="0001478A">
        <w:t xml:space="preserve">Figure </w:t>
      </w:r>
      <w:r w:rsidR="00047581">
        <w:rPr>
          <w:noProof/>
        </w:rPr>
        <w:t>2</w:t>
      </w:r>
      <w:r>
        <w:fldChar w:fldCharType="end"/>
      </w:r>
      <w:r>
        <w:t xml:space="preserve"> and </w:t>
      </w:r>
      <w:r>
        <w:fldChar w:fldCharType="begin"/>
      </w:r>
      <w:r>
        <w:instrText xml:space="preserve"> REF _Ref417649018 \h </w:instrText>
      </w:r>
      <w:r>
        <w:fldChar w:fldCharType="separate"/>
      </w:r>
      <w:r w:rsidR="00047581" w:rsidRPr="00FE3234">
        <w:t>Table A1.</w:t>
      </w:r>
      <w:r w:rsidR="00047581">
        <w:rPr>
          <w:noProof/>
        </w:rPr>
        <w:t>3</w:t>
      </w:r>
      <w:r>
        <w:fldChar w:fldCharType="end"/>
      </w:r>
      <w:r>
        <w:t xml:space="preserve"> in </w:t>
      </w:r>
      <w:r>
        <w:fldChar w:fldCharType="begin"/>
      </w:r>
      <w:r>
        <w:instrText xml:space="preserve"> REF _Ref417648450 \h </w:instrText>
      </w:r>
      <w:r>
        <w:fldChar w:fldCharType="separate"/>
      </w:r>
      <w:r w:rsidR="00047581">
        <w:t xml:space="preserve">Appendix </w:t>
      </w:r>
      <w:r w:rsidR="00047581">
        <w:rPr>
          <w:noProof/>
        </w:rPr>
        <w:t>1</w:t>
      </w:r>
      <w:r>
        <w:fldChar w:fldCharType="end"/>
      </w:r>
      <w:r>
        <w:t>), with children generally consuming more than adults or the general population.</w:t>
      </w:r>
    </w:p>
    <w:p w14:paraId="3B5131A9" w14:textId="77777777" w:rsidR="00C03610" w:rsidRDefault="00C03610" w:rsidP="00D20A1E">
      <w:pPr>
        <w:widowControl/>
      </w:pPr>
    </w:p>
    <w:p w14:paraId="34EAE960" w14:textId="77777777" w:rsidR="00C03610" w:rsidRDefault="00C03610" w:rsidP="00D20A1E">
      <w:pPr>
        <w:pStyle w:val="FSTableTitle"/>
        <w:keepNext/>
        <w:keepLines/>
        <w:widowControl/>
      </w:pPr>
      <w:bookmarkStart w:id="45" w:name="_Ref420069949"/>
      <w:bookmarkStart w:id="46" w:name="_Toc420307331"/>
      <w:r w:rsidRPr="00353A99">
        <w:t xml:space="preserve">Table </w:t>
      </w:r>
      <w:fldSimple w:instr=" SEQ Table \* ARABIC ">
        <w:r w:rsidR="00047581">
          <w:rPr>
            <w:noProof/>
          </w:rPr>
          <w:t>2</w:t>
        </w:r>
      </w:fldSimple>
      <w:bookmarkEnd w:id="45"/>
      <w:r w:rsidRPr="00353A99">
        <w:t>:</w:t>
      </w:r>
      <w:r>
        <w:t xml:space="preserve"> </w:t>
      </w:r>
      <w:r w:rsidRPr="00353A99">
        <w:t xml:space="preserve">Types of </w:t>
      </w:r>
      <w:r>
        <w:t>plant-based milk substitute</w:t>
      </w:r>
      <w:r w:rsidRPr="00353A99">
        <w:t>s (excluding soy beverages) reported as consumed in the more recent Australian and New Zealand nutrition surveys</w:t>
      </w:r>
      <w:bookmarkEnd w:id="46"/>
    </w:p>
    <w:p w14:paraId="0A113F1C" w14:textId="77777777" w:rsidR="00513153" w:rsidRPr="00513153" w:rsidRDefault="00513153" w:rsidP="00513153"/>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81"/>
        <w:gridCol w:w="1226"/>
        <w:gridCol w:w="1227"/>
        <w:gridCol w:w="1227"/>
        <w:gridCol w:w="1227"/>
      </w:tblGrid>
      <w:tr w:rsidR="00C03610" w:rsidRPr="003D3D09" w14:paraId="1990E09B" w14:textId="77777777" w:rsidTr="00A004E1">
        <w:trPr>
          <w:trHeight w:val="300"/>
          <w:tblHeader/>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307DE91" w14:textId="77777777" w:rsidR="00C03610" w:rsidRPr="003D3D09" w:rsidRDefault="00C03610" w:rsidP="00D20A1E">
            <w:pPr>
              <w:keepNext/>
              <w:keepLines/>
              <w:widowControl/>
              <w:spacing w:before="60" w:after="60"/>
              <w:rPr>
                <w:rFonts w:cs="Arial"/>
                <w:b/>
                <w:sz w:val="20"/>
                <w:szCs w:val="20"/>
              </w:rPr>
            </w:pPr>
            <w:r>
              <w:rPr>
                <w:rFonts w:cs="Arial"/>
                <w:b/>
                <w:sz w:val="20"/>
                <w:szCs w:val="20"/>
              </w:rPr>
              <w:t>Milk Substitute</w:t>
            </w:r>
            <w:r w:rsidRPr="003024CA">
              <w:rPr>
                <w:rFonts w:cs="Arial"/>
                <w:b/>
                <w:sz w:val="20"/>
                <w:szCs w:val="20"/>
              </w:rPr>
              <w:t xml:space="preserve"> Type</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4FF24095" w14:textId="77777777" w:rsidR="00C03610" w:rsidRPr="003D3D09" w:rsidRDefault="00C03610" w:rsidP="00D20A1E">
            <w:pPr>
              <w:keepNext/>
              <w:keepLines/>
              <w:widowControl/>
              <w:spacing w:before="60" w:after="60"/>
              <w:rPr>
                <w:rFonts w:cs="Arial"/>
                <w:b/>
                <w:sz w:val="20"/>
                <w:szCs w:val="20"/>
              </w:rPr>
            </w:pPr>
            <w:r w:rsidRPr="003024CA">
              <w:rPr>
                <w:rFonts w:cs="Arial"/>
                <w:b/>
                <w:color w:val="000000"/>
                <w:sz w:val="18"/>
                <w:szCs w:val="20"/>
              </w:rPr>
              <w:t>Sub-type</w:t>
            </w:r>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BA48127" w14:textId="77777777" w:rsidR="00C03610" w:rsidRPr="003D3D09" w:rsidRDefault="00C03610" w:rsidP="00D20A1E">
            <w:pPr>
              <w:keepNext/>
              <w:keepLines/>
              <w:widowControl/>
              <w:spacing w:before="60" w:after="60"/>
              <w:jc w:val="center"/>
              <w:rPr>
                <w:rFonts w:cs="Arial"/>
                <w:b/>
                <w:sz w:val="20"/>
                <w:szCs w:val="20"/>
              </w:rPr>
            </w:pPr>
            <w:r w:rsidRPr="003D3D09">
              <w:rPr>
                <w:rFonts w:cs="Arial"/>
                <w:b/>
                <w:sz w:val="20"/>
                <w:szCs w:val="20"/>
              </w:rPr>
              <w:t>Australia</w:t>
            </w:r>
          </w:p>
        </w:tc>
        <w:tc>
          <w:tcPr>
            <w:tcW w:w="2454"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0FB73A9" w14:textId="77777777" w:rsidR="00C03610" w:rsidRPr="003D3D09" w:rsidRDefault="00C03610" w:rsidP="00D20A1E">
            <w:pPr>
              <w:keepNext/>
              <w:keepLines/>
              <w:widowControl/>
              <w:spacing w:before="60" w:after="60"/>
              <w:jc w:val="center"/>
              <w:rPr>
                <w:rFonts w:cs="Arial"/>
                <w:b/>
                <w:sz w:val="20"/>
                <w:szCs w:val="20"/>
              </w:rPr>
            </w:pPr>
            <w:r w:rsidRPr="003D3D09">
              <w:rPr>
                <w:rFonts w:cs="Arial"/>
                <w:b/>
                <w:sz w:val="20"/>
                <w:szCs w:val="20"/>
              </w:rPr>
              <w:t>New Zealand</w:t>
            </w:r>
          </w:p>
        </w:tc>
      </w:tr>
      <w:tr w:rsidR="00C03610" w:rsidRPr="003024CA" w14:paraId="1627C07A" w14:textId="77777777" w:rsidTr="00A004E1">
        <w:trPr>
          <w:trHeight w:val="300"/>
          <w:tblHeader/>
        </w:trPr>
        <w:tc>
          <w:tcPr>
            <w:tcW w:w="1843"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605555A" w14:textId="77777777" w:rsidR="00C03610" w:rsidRPr="003024CA" w:rsidRDefault="00C03610" w:rsidP="00D20A1E">
            <w:pPr>
              <w:keepNext/>
              <w:keepLines/>
              <w:widowControl/>
              <w:spacing w:before="60" w:after="60"/>
              <w:rPr>
                <w:rFonts w:cs="Arial"/>
                <w:b/>
                <w:sz w:val="20"/>
                <w:szCs w:val="20"/>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75A83CA0" w14:textId="77777777" w:rsidR="00C03610" w:rsidRPr="003024CA" w:rsidRDefault="00C03610" w:rsidP="00D20A1E">
            <w:pPr>
              <w:keepNext/>
              <w:keepLines/>
              <w:widowControl/>
              <w:spacing w:before="60" w:after="60"/>
              <w:rPr>
                <w:rFonts w:cs="Arial"/>
                <w:b/>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522ACBA5" w14:textId="77777777" w:rsidR="00C03610" w:rsidRPr="003024CA" w:rsidRDefault="00C03610" w:rsidP="00D20A1E">
            <w:pPr>
              <w:keepNext/>
              <w:keepLines/>
              <w:widowControl/>
              <w:spacing w:before="60" w:after="60"/>
              <w:jc w:val="center"/>
              <w:rPr>
                <w:rFonts w:cs="Arial"/>
                <w:b/>
                <w:sz w:val="20"/>
                <w:szCs w:val="20"/>
              </w:rPr>
            </w:pPr>
            <w:r w:rsidRPr="003024CA">
              <w:rPr>
                <w:rFonts w:cs="Arial"/>
                <w:b/>
                <w:sz w:val="20"/>
                <w:szCs w:val="20"/>
              </w:rPr>
              <w:t>2007 ANCNPAS</w:t>
            </w:r>
          </w:p>
        </w:tc>
        <w:tc>
          <w:tcPr>
            <w:tcW w:w="122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4ED36D01" w14:textId="77777777" w:rsidR="00C03610" w:rsidRPr="003024CA" w:rsidRDefault="00C03610" w:rsidP="00D20A1E">
            <w:pPr>
              <w:keepNext/>
              <w:keepLines/>
              <w:widowControl/>
              <w:spacing w:before="60" w:after="60"/>
              <w:jc w:val="center"/>
              <w:rPr>
                <w:rFonts w:cs="Arial"/>
                <w:b/>
                <w:sz w:val="20"/>
                <w:szCs w:val="20"/>
              </w:rPr>
            </w:pPr>
            <w:r w:rsidRPr="003024CA">
              <w:rPr>
                <w:rFonts w:cs="Arial"/>
                <w:b/>
                <w:sz w:val="20"/>
                <w:szCs w:val="20"/>
              </w:rPr>
              <w:t>2011-12 NNPAS</w:t>
            </w:r>
          </w:p>
        </w:tc>
        <w:tc>
          <w:tcPr>
            <w:tcW w:w="122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009A711" w14:textId="77777777" w:rsidR="00C03610" w:rsidRPr="003024CA" w:rsidRDefault="00C03610" w:rsidP="00D20A1E">
            <w:pPr>
              <w:keepNext/>
              <w:keepLines/>
              <w:widowControl/>
              <w:spacing w:before="60" w:after="60"/>
              <w:jc w:val="center"/>
              <w:rPr>
                <w:rFonts w:cs="Arial"/>
                <w:b/>
                <w:sz w:val="20"/>
                <w:szCs w:val="20"/>
              </w:rPr>
            </w:pPr>
            <w:r>
              <w:rPr>
                <w:rFonts w:cs="Arial"/>
                <w:b/>
                <w:sz w:val="20"/>
                <w:szCs w:val="20"/>
              </w:rPr>
              <w:t>2002 NZCNS</w:t>
            </w:r>
          </w:p>
        </w:tc>
        <w:tc>
          <w:tcPr>
            <w:tcW w:w="122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D5AF9A3" w14:textId="77777777" w:rsidR="00C03610" w:rsidRPr="003024CA" w:rsidRDefault="00C03610" w:rsidP="00D20A1E">
            <w:pPr>
              <w:keepNext/>
              <w:keepLines/>
              <w:widowControl/>
              <w:spacing w:before="60" w:after="60"/>
              <w:jc w:val="center"/>
              <w:rPr>
                <w:rFonts w:cs="Arial"/>
                <w:b/>
                <w:sz w:val="20"/>
                <w:szCs w:val="20"/>
              </w:rPr>
            </w:pPr>
            <w:r w:rsidRPr="003024CA">
              <w:rPr>
                <w:rFonts w:cs="Arial"/>
                <w:b/>
                <w:sz w:val="20"/>
                <w:szCs w:val="20"/>
              </w:rPr>
              <w:t>2008-09 NZANS</w:t>
            </w:r>
          </w:p>
        </w:tc>
      </w:tr>
      <w:tr w:rsidR="00C03610" w:rsidRPr="003024CA" w14:paraId="7FD7C704" w14:textId="77777777" w:rsidTr="00A004E1">
        <w:trPr>
          <w:trHeight w:val="300"/>
        </w:trPr>
        <w:tc>
          <w:tcPr>
            <w:tcW w:w="1843" w:type="dxa"/>
            <w:tcBorders>
              <w:top w:val="single" w:sz="4" w:space="0" w:color="000000"/>
              <w:bottom w:val="nil"/>
            </w:tcBorders>
            <w:vAlign w:val="center"/>
          </w:tcPr>
          <w:p w14:paraId="0E0FCF22" w14:textId="77777777" w:rsidR="00C03610" w:rsidRPr="002321CC" w:rsidRDefault="00C03610" w:rsidP="00051D04">
            <w:pPr>
              <w:spacing w:before="60" w:after="60"/>
              <w:rPr>
                <w:rFonts w:cs="Arial"/>
                <w:b/>
                <w:color w:val="000000"/>
                <w:sz w:val="20"/>
                <w:szCs w:val="20"/>
              </w:rPr>
            </w:pPr>
            <w:r w:rsidRPr="002321CC">
              <w:rPr>
                <w:rFonts w:cs="Arial"/>
                <w:b/>
                <w:color w:val="000000"/>
                <w:sz w:val="20"/>
                <w:szCs w:val="20"/>
              </w:rPr>
              <w:t>Almond-based</w:t>
            </w:r>
          </w:p>
        </w:tc>
        <w:tc>
          <w:tcPr>
            <w:tcW w:w="2181" w:type="dxa"/>
            <w:tcBorders>
              <w:top w:val="single" w:sz="4" w:space="0" w:color="000000"/>
            </w:tcBorders>
            <w:vAlign w:val="center"/>
          </w:tcPr>
          <w:p w14:paraId="0F89F16B" w14:textId="77777777" w:rsidR="00C03610" w:rsidRPr="002321CC" w:rsidRDefault="00C03610" w:rsidP="00D20A1E">
            <w:pPr>
              <w:keepNext/>
              <w:keepLines/>
              <w:widowControl/>
              <w:spacing w:before="60" w:after="60"/>
              <w:rPr>
                <w:rFonts w:cs="Arial"/>
                <w:color w:val="000000"/>
                <w:sz w:val="20"/>
                <w:szCs w:val="20"/>
              </w:rPr>
            </w:pPr>
            <w:r w:rsidRPr="002321CC">
              <w:rPr>
                <w:rFonts w:cs="Arial"/>
                <w:color w:val="000000"/>
                <w:sz w:val="20"/>
                <w:szCs w:val="20"/>
              </w:rPr>
              <w:t>Almond-based beverage</w:t>
            </w:r>
          </w:p>
        </w:tc>
        <w:tc>
          <w:tcPr>
            <w:tcW w:w="1226" w:type="dxa"/>
            <w:tcBorders>
              <w:top w:val="single" w:sz="4" w:space="0" w:color="000000"/>
            </w:tcBorders>
            <w:vAlign w:val="center"/>
          </w:tcPr>
          <w:p w14:paraId="39FF53D6" w14:textId="77777777" w:rsidR="00C03610" w:rsidRPr="002321CC" w:rsidRDefault="00C03610" w:rsidP="00D20A1E">
            <w:pPr>
              <w:keepNext/>
              <w:keepLines/>
              <w:widowControl/>
              <w:spacing w:before="60" w:after="60"/>
              <w:jc w:val="center"/>
              <w:rPr>
                <w:rFonts w:cs="Arial"/>
                <w:color w:val="000000"/>
                <w:sz w:val="20"/>
                <w:szCs w:val="20"/>
              </w:rPr>
            </w:pPr>
            <w:r w:rsidRPr="002321CC">
              <w:rPr>
                <w:rFonts w:cs="Arial"/>
                <w:color w:val="000000"/>
                <w:sz w:val="20"/>
                <w:szCs w:val="20"/>
              </w:rPr>
              <w:sym w:font="Wingdings" w:char="F0FC"/>
            </w:r>
          </w:p>
        </w:tc>
        <w:tc>
          <w:tcPr>
            <w:tcW w:w="1227" w:type="dxa"/>
            <w:tcBorders>
              <w:top w:val="single" w:sz="4" w:space="0" w:color="000000"/>
            </w:tcBorders>
            <w:vAlign w:val="center"/>
          </w:tcPr>
          <w:p w14:paraId="13401AE7" w14:textId="77777777" w:rsidR="00C03610" w:rsidRPr="002321CC" w:rsidRDefault="00C03610" w:rsidP="00D20A1E">
            <w:pPr>
              <w:keepNext/>
              <w:keepLines/>
              <w:widowControl/>
              <w:spacing w:before="60" w:after="60"/>
              <w:jc w:val="center"/>
              <w:rPr>
                <w:rFonts w:cs="Arial"/>
                <w:sz w:val="20"/>
                <w:szCs w:val="20"/>
              </w:rPr>
            </w:pPr>
            <w:r w:rsidRPr="002321CC">
              <w:rPr>
                <w:rFonts w:cs="Arial"/>
                <w:color w:val="000000"/>
                <w:sz w:val="20"/>
                <w:szCs w:val="20"/>
              </w:rPr>
              <w:sym w:font="Wingdings" w:char="F0FC"/>
            </w:r>
          </w:p>
        </w:tc>
        <w:tc>
          <w:tcPr>
            <w:tcW w:w="1227" w:type="dxa"/>
            <w:tcBorders>
              <w:top w:val="single" w:sz="4" w:space="0" w:color="000000"/>
            </w:tcBorders>
            <w:vAlign w:val="center"/>
          </w:tcPr>
          <w:p w14:paraId="1D54C173" w14:textId="77777777" w:rsidR="00C03610" w:rsidRPr="002321CC" w:rsidRDefault="00C03610" w:rsidP="00D20A1E">
            <w:pPr>
              <w:keepNext/>
              <w:keepLines/>
              <w:widowControl/>
              <w:spacing w:before="60" w:after="60"/>
              <w:jc w:val="center"/>
              <w:rPr>
                <w:rFonts w:cs="Arial"/>
                <w:color w:val="000000"/>
                <w:sz w:val="20"/>
                <w:szCs w:val="20"/>
              </w:rPr>
            </w:pPr>
          </w:p>
        </w:tc>
        <w:tc>
          <w:tcPr>
            <w:tcW w:w="1227" w:type="dxa"/>
            <w:tcBorders>
              <w:top w:val="single" w:sz="4" w:space="0" w:color="000000"/>
            </w:tcBorders>
            <w:vAlign w:val="center"/>
          </w:tcPr>
          <w:p w14:paraId="578E0EB9" w14:textId="77777777" w:rsidR="00C03610" w:rsidRPr="002321CC" w:rsidRDefault="00C03610" w:rsidP="00D20A1E">
            <w:pPr>
              <w:keepNext/>
              <w:keepLines/>
              <w:widowControl/>
              <w:spacing w:before="60" w:after="60"/>
              <w:jc w:val="center"/>
              <w:rPr>
                <w:rFonts w:cs="Arial"/>
                <w:color w:val="000000"/>
                <w:sz w:val="20"/>
                <w:szCs w:val="20"/>
              </w:rPr>
            </w:pPr>
          </w:p>
        </w:tc>
      </w:tr>
      <w:tr w:rsidR="00C03610" w:rsidRPr="003D3D09" w14:paraId="1E49F0A2" w14:textId="77777777" w:rsidTr="00A004E1">
        <w:trPr>
          <w:trHeight w:val="300"/>
        </w:trPr>
        <w:tc>
          <w:tcPr>
            <w:tcW w:w="1843" w:type="dxa"/>
            <w:tcBorders>
              <w:bottom w:val="nil"/>
            </w:tcBorders>
            <w:vAlign w:val="center"/>
          </w:tcPr>
          <w:p w14:paraId="13FACF4E" w14:textId="77777777" w:rsidR="00C03610" w:rsidRPr="002321CC" w:rsidRDefault="00C03610" w:rsidP="00051D04">
            <w:pPr>
              <w:spacing w:before="60" w:after="60"/>
              <w:rPr>
                <w:rFonts w:cs="Arial"/>
                <w:b/>
                <w:color w:val="000000"/>
                <w:sz w:val="20"/>
                <w:szCs w:val="20"/>
              </w:rPr>
            </w:pPr>
            <w:r w:rsidRPr="002321CC">
              <w:rPr>
                <w:rFonts w:cs="Arial"/>
                <w:b/>
                <w:color w:val="000000"/>
                <w:sz w:val="20"/>
                <w:szCs w:val="20"/>
              </w:rPr>
              <w:t>Oat-based</w:t>
            </w:r>
          </w:p>
        </w:tc>
        <w:tc>
          <w:tcPr>
            <w:tcW w:w="2181" w:type="dxa"/>
            <w:vAlign w:val="center"/>
          </w:tcPr>
          <w:p w14:paraId="17EF9790" w14:textId="77777777" w:rsidR="00C03610" w:rsidRPr="002321CC" w:rsidRDefault="00C03610" w:rsidP="00D20A1E">
            <w:pPr>
              <w:keepNext/>
              <w:keepLines/>
              <w:widowControl/>
              <w:spacing w:before="60" w:after="60"/>
              <w:rPr>
                <w:rFonts w:cs="Arial"/>
                <w:color w:val="000000"/>
                <w:sz w:val="20"/>
                <w:szCs w:val="20"/>
              </w:rPr>
            </w:pPr>
            <w:r w:rsidRPr="002321CC">
              <w:rPr>
                <w:rFonts w:cs="Arial"/>
                <w:color w:val="000000"/>
                <w:sz w:val="20"/>
                <w:szCs w:val="20"/>
              </w:rPr>
              <w:t>Oat-based beverage</w:t>
            </w:r>
          </w:p>
        </w:tc>
        <w:tc>
          <w:tcPr>
            <w:tcW w:w="1226" w:type="dxa"/>
            <w:vAlign w:val="center"/>
          </w:tcPr>
          <w:p w14:paraId="5D9639F1" w14:textId="77777777" w:rsidR="00C03610" w:rsidRPr="002321CC" w:rsidRDefault="00C03610" w:rsidP="00D20A1E">
            <w:pPr>
              <w:keepNext/>
              <w:keepLines/>
              <w:widowControl/>
              <w:spacing w:before="60" w:after="60"/>
              <w:jc w:val="center"/>
              <w:rPr>
                <w:rFonts w:cs="Arial"/>
                <w:color w:val="000000"/>
                <w:sz w:val="20"/>
                <w:szCs w:val="20"/>
              </w:rPr>
            </w:pPr>
            <w:r w:rsidRPr="002321CC">
              <w:rPr>
                <w:rFonts w:cs="Arial"/>
                <w:color w:val="000000"/>
                <w:sz w:val="20"/>
                <w:szCs w:val="20"/>
              </w:rPr>
              <w:sym w:font="Wingdings" w:char="F0FC"/>
            </w:r>
          </w:p>
        </w:tc>
        <w:tc>
          <w:tcPr>
            <w:tcW w:w="1227" w:type="dxa"/>
            <w:vAlign w:val="center"/>
          </w:tcPr>
          <w:p w14:paraId="6739A917" w14:textId="77777777" w:rsidR="00C03610" w:rsidRPr="002321CC" w:rsidRDefault="00C03610" w:rsidP="00D20A1E">
            <w:pPr>
              <w:keepNext/>
              <w:keepLines/>
              <w:widowControl/>
              <w:spacing w:before="60" w:after="60"/>
              <w:jc w:val="center"/>
              <w:rPr>
                <w:rFonts w:cs="Arial"/>
                <w:sz w:val="20"/>
                <w:szCs w:val="20"/>
              </w:rPr>
            </w:pPr>
            <w:r w:rsidRPr="002321CC">
              <w:rPr>
                <w:rFonts w:cs="Arial"/>
                <w:color w:val="000000"/>
                <w:sz w:val="20"/>
                <w:szCs w:val="20"/>
              </w:rPr>
              <w:sym w:font="Wingdings" w:char="F0FC"/>
            </w:r>
          </w:p>
        </w:tc>
        <w:tc>
          <w:tcPr>
            <w:tcW w:w="1227" w:type="dxa"/>
            <w:vAlign w:val="center"/>
          </w:tcPr>
          <w:p w14:paraId="2A18CFB1" w14:textId="77777777" w:rsidR="00C03610" w:rsidRPr="002321CC" w:rsidRDefault="00C03610" w:rsidP="00D20A1E">
            <w:pPr>
              <w:keepNext/>
              <w:keepLines/>
              <w:widowControl/>
              <w:spacing w:before="60" w:after="60"/>
              <w:jc w:val="center"/>
              <w:rPr>
                <w:rFonts w:cs="Arial"/>
                <w:sz w:val="20"/>
                <w:szCs w:val="20"/>
              </w:rPr>
            </w:pPr>
          </w:p>
        </w:tc>
        <w:tc>
          <w:tcPr>
            <w:tcW w:w="1227" w:type="dxa"/>
            <w:vAlign w:val="center"/>
          </w:tcPr>
          <w:p w14:paraId="14E48834" w14:textId="77777777" w:rsidR="00C03610" w:rsidRPr="002321CC" w:rsidRDefault="00C03610" w:rsidP="00D20A1E">
            <w:pPr>
              <w:keepNext/>
              <w:keepLines/>
              <w:widowControl/>
              <w:spacing w:before="60" w:after="60"/>
              <w:jc w:val="center"/>
              <w:rPr>
                <w:rFonts w:cs="Arial"/>
                <w:color w:val="000000"/>
                <w:sz w:val="20"/>
                <w:szCs w:val="20"/>
              </w:rPr>
            </w:pPr>
          </w:p>
        </w:tc>
      </w:tr>
      <w:tr w:rsidR="00C03610" w:rsidRPr="003D3D09" w14:paraId="0C7D7F75" w14:textId="77777777" w:rsidTr="00A004E1">
        <w:trPr>
          <w:trHeight w:val="300"/>
        </w:trPr>
        <w:tc>
          <w:tcPr>
            <w:tcW w:w="1843" w:type="dxa"/>
            <w:tcBorders>
              <w:top w:val="nil"/>
              <w:bottom w:val="nil"/>
            </w:tcBorders>
            <w:vAlign w:val="center"/>
          </w:tcPr>
          <w:p w14:paraId="15A1441B" w14:textId="77777777" w:rsidR="00C03610" w:rsidRPr="002321CC" w:rsidRDefault="00C03610" w:rsidP="00051D04">
            <w:pPr>
              <w:spacing w:before="60" w:after="60"/>
              <w:rPr>
                <w:rFonts w:cs="Arial"/>
                <w:b/>
                <w:color w:val="000000"/>
                <w:sz w:val="20"/>
                <w:szCs w:val="20"/>
              </w:rPr>
            </w:pPr>
          </w:p>
        </w:tc>
        <w:tc>
          <w:tcPr>
            <w:tcW w:w="2181" w:type="dxa"/>
            <w:vAlign w:val="center"/>
          </w:tcPr>
          <w:p w14:paraId="66BE7DB3" w14:textId="77777777" w:rsidR="00C03610" w:rsidRPr="002321CC" w:rsidRDefault="00C03610" w:rsidP="00D20A1E">
            <w:pPr>
              <w:keepNext/>
              <w:keepLines/>
              <w:widowControl/>
              <w:spacing w:before="60" w:after="60"/>
              <w:rPr>
                <w:rFonts w:cs="Arial"/>
                <w:color w:val="000000"/>
                <w:sz w:val="20"/>
                <w:szCs w:val="20"/>
              </w:rPr>
            </w:pPr>
            <w:r w:rsidRPr="002321CC">
              <w:rPr>
                <w:rFonts w:cs="Arial"/>
                <w:color w:val="000000"/>
                <w:sz w:val="20"/>
                <w:szCs w:val="20"/>
              </w:rPr>
              <w:t>Oat-based beverage, fortified</w:t>
            </w:r>
          </w:p>
        </w:tc>
        <w:tc>
          <w:tcPr>
            <w:tcW w:w="1226" w:type="dxa"/>
            <w:vAlign w:val="center"/>
          </w:tcPr>
          <w:p w14:paraId="34E91737" w14:textId="77777777" w:rsidR="00C03610" w:rsidRPr="002321CC" w:rsidRDefault="00C03610" w:rsidP="00D20A1E">
            <w:pPr>
              <w:keepNext/>
              <w:keepLines/>
              <w:widowControl/>
              <w:spacing w:before="60" w:after="60"/>
              <w:jc w:val="center"/>
              <w:rPr>
                <w:rFonts w:cs="Arial"/>
                <w:color w:val="000000"/>
                <w:sz w:val="20"/>
                <w:szCs w:val="20"/>
              </w:rPr>
            </w:pPr>
          </w:p>
        </w:tc>
        <w:tc>
          <w:tcPr>
            <w:tcW w:w="1227" w:type="dxa"/>
            <w:vAlign w:val="center"/>
          </w:tcPr>
          <w:p w14:paraId="6D2C74FD" w14:textId="77777777" w:rsidR="00C03610" w:rsidRPr="002321CC" w:rsidRDefault="00C03610" w:rsidP="00D20A1E">
            <w:pPr>
              <w:keepNext/>
              <w:keepLines/>
              <w:widowControl/>
              <w:spacing w:before="60" w:after="60"/>
              <w:jc w:val="center"/>
              <w:rPr>
                <w:rFonts w:cs="Arial"/>
                <w:sz w:val="20"/>
                <w:szCs w:val="20"/>
              </w:rPr>
            </w:pPr>
            <w:r w:rsidRPr="002321CC">
              <w:rPr>
                <w:rFonts w:cs="Arial"/>
                <w:color w:val="000000"/>
                <w:sz w:val="20"/>
                <w:szCs w:val="20"/>
              </w:rPr>
              <w:sym w:font="Wingdings" w:char="F0FC"/>
            </w:r>
          </w:p>
        </w:tc>
        <w:tc>
          <w:tcPr>
            <w:tcW w:w="1227" w:type="dxa"/>
            <w:vAlign w:val="center"/>
          </w:tcPr>
          <w:p w14:paraId="5D911035" w14:textId="77777777" w:rsidR="00C03610" w:rsidRPr="002321CC" w:rsidRDefault="00C03610" w:rsidP="00D20A1E">
            <w:pPr>
              <w:keepNext/>
              <w:keepLines/>
              <w:widowControl/>
              <w:spacing w:before="60" w:after="60"/>
              <w:jc w:val="center"/>
              <w:rPr>
                <w:rFonts w:cs="Arial"/>
                <w:sz w:val="20"/>
                <w:szCs w:val="20"/>
              </w:rPr>
            </w:pPr>
          </w:p>
        </w:tc>
        <w:tc>
          <w:tcPr>
            <w:tcW w:w="1227" w:type="dxa"/>
            <w:vAlign w:val="center"/>
          </w:tcPr>
          <w:p w14:paraId="2127BCAA" w14:textId="77777777" w:rsidR="00C03610" w:rsidRPr="002321CC" w:rsidRDefault="00C03610" w:rsidP="00D20A1E">
            <w:pPr>
              <w:keepNext/>
              <w:keepLines/>
              <w:widowControl/>
              <w:spacing w:before="60" w:after="60"/>
              <w:jc w:val="center"/>
              <w:rPr>
                <w:rFonts w:cs="Arial"/>
                <w:sz w:val="20"/>
                <w:szCs w:val="20"/>
              </w:rPr>
            </w:pPr>
          </w:p>
        </w:tc>
      </w:tr>
      <w:tr w:rsidR="00C03610" w:rsidRPr="003D3D09" w14:paraId="28B9B3F2" w14:textId="77777777" w:rsidTr="00A004E1">
        <w:trPr>
          <w:trHeight w:val="300"/>
        </w:trPr>
        <w:tc>
          <w:tcPr>
            <w:tcW w:w="1843" w:type="dxa"/>
            <w:tcBorders>
              <w:bottom w:val="nil"/>
            </w:tcBorders>
            <w:vAlign w:val="center"/>
          </w:tcPr>
          <w:p w14:paraId="458F59BC" w14:textId="77777777" w:rsidR="00C03610" w:rsidRPr="002321CC" w:rsidRDefault="00C03610" w:rsidP="00051D04">
            <w:pPr>
              <w:spacing w:before="60" w:after="60"/>
              <w:rPr>
                <w:rFonts w:cs="Arial"/>
                <w:b/>
                <w:color w:val="000000"/>
                <w:sz w:val="20"/>
                <w:szCs w:val="20"/>
              </w:rPr>
            </w:pPr>
            <w:r w:rsidRPr="002321CC">
              <w:rPr>
                <w:rFonts w:cs="Arial"/>
                <w:b/>
                <w:color w:val="000000"/>
                <w:sz w:val="20"/>
                <w:szCs w:val="20"/>
              </w:rPr>
              <w:t>Rice-based</w:t>
            </w:r>
          </w:p>
        </w:tc>
        <w:tc>
          <w:tcPr>
            <w:tcW w:w="2181" w:type="dxa"/>
            <w:vAlign w:val="center"/>
          </w:tcPr>
          <w:p w14:paraId="27725DE9" w14:textId="77777777" w:rsidR="00C03610" w:rsidRPr="002321CC" w:rsidRDefault="00C03610" w:rsidP="00D20A1E">
            <w:pPr>
              <w:keepNext/>
              <w:keepLines/>
              <w:widowControl/>
              <w:spacing w:before="60" w:after="60"/>
              <w:rPr>
                <w:rFonts w:cs="Arial"/>
                <w:color w:val="000000"/>
                <w:sz w:val="20"/>
                <w:szCs w:val="20"/>
              </w:rPr>
            </w:pPr>
            <w:r w:rsidRPr="002321CC">
              <w:rPr>
                <w:rFonts w:cs="Arial"/>
                <w:color w:val="000000"/>
                <w:sz w:val="20"/>
                <w:szCs w:val="20"/>
              </w:rPr>
              <w:t>Rice-based beverage</w:t>
            </w:r>
          </w:p>
        </w:tc>
        <w:tc>
          <w:tcPr>
            <w:tcW w:w="1226" w:type="dxa"/>
            <w:vAlign w:val="center"/>
          </w:tcPr>
          <w:p w14:paraId="69897A99" w14:textId="77777777" w:rsidR="00C03610" w:rsidRPr="002321CC" w:rsidRDefault="00C03610" w:rsidP="00D20A1E">
            <w:pPr>
              <w:keepNext/>
              <w:keepLines/>
              <w:widowControl/>
              <w:spacing w:before="60" w:after="60"/>
              <w:jc w:val="center"/>
              <w:rPr>
                <w:rFonts w:cs="Arial"/>
                <w:color w:val="000000"/>
                <w:sz w:val="20"/>
                <w:szCs w:val="20"/>
              </w:rPr>
            </w:pPr>
            <w:r w:rsidRPr="002321CC">
              <w:rPr>
                <w:rFonts w:cs="Arial"/>
                <w:color w:val="000000"/>
                <w:sz w:val="20"/>
                <w:szCs w:val="20"/>
              </w:rPr>
              <w:sym w:font="Wingdings" w:char="F0FC"/>
            </w:r>
          </w:p>
        </w:tc>
        <w:tc>
          <w:tcPr>
            <w:tcW w:w="1227" w:type="dxa"/>
            <w:vAlign w:val="center"/>
          </w:tcPr>
          <w:p w14:paraId="5A31404F" w14:textId="77777777" w:rsidR="00C03610" w:rsidRPr="002321CC" w:rsidRDefault="00C03610" w:rsidP="00D20A1E">
            <w:pPr>
              <w:keepNext/>
              <w:keepLines/>
              <w:widowControl/>
              <w:spacing w:before="60" w:after="60"/>
              <w:jc w:val="center"/>
              <w:rPr>
                <w:rFonts w:cs="Arial"/>
                <w:sz w:val="20"/>
                <w:szCs w:val="20"/>
              </w:rPr>
            </w:pPr>
          </w:p>
        </w:tc>
        <w:tc>
          <w:tcPr>
            <w:tcW w:w="1227" w:type="dxa"/>
            <w:vAlign w:val="center"/>
          </w:tcPr>
          <w:p w14:paraId="2E7CF2CA" w14:textId="77777777" w:rsidR="00C03610" w:rsidRPr="002321CC" w:rsidRDefault="00C03610" w:rsidP="00D20A1E">
            <w:pPr>
              <w:keepNext/>
              <w:keepLines/>
              <w:widowControl/>
              <w:spacing w:before="60" w:after="60"/>
              <w:jc w:val="center"/>
              <w:rPr>
                <w:rFonts w:cs="Arial"/>
                <w:sz w:val="20"/>
                <w:szCs w:val="20"/>
              </w:rPr>
            </w:pPr>
          </w:p>
        </w:tc>
        <w:tc>
          <w:tcPr>
            <w:tcW w:w="1227" w:type="dxa"/>
            <w:vAlign w:val="center"/>
          </w:tcPr>
          <w:p w14:paraId="0A7AEBEE" w14:textId="77777777" w:rsidR="00C03610" w:rsidRPr="002321CC" w:rsidRDefault="00C03610" w:rsidP="00D20A1E">
            <w:pPr>
              <w:keepNext/>
              <w:keepLines/>
              <w:widowControl/>
              <w:spacing w:before="60" w:after="60"/>
              <w:jc w:val="center"/>
              <w:rPr>
                <w:rFonts w:cs="Arial"/>
                <w:sz w:val="20"/>
                <w:szCs w:val="20"/>
              </w:rPr>
            </w:pPr>
            <w:r w:rsidRPr="002321CC">
              <w:rPr>
                <w:rFonts w:cs="Arial"/>
                <w:color w:val="000000"/>
                <w:sz w:val="20"/>
                <w:szCs w:val="20"/>
              </w:rPr>
              <w:sym w:font="Wingdings" w:char="F0FC"/>
            </w:r>
          </w:p>
        </w:tc>
      </w:tr>
      <w:tr w:rsidR="00C03610" w:rsidRPr="003D3D09" w14:paraId="41C285B1" w14:textId="77777777" w:rsidTr="00A004E1">
        <w:trPr>
          <w:trHeight w:val="300"/>
        </w:trPr>
        <w:tc>
          <w:tcPr>
            <w:tcW w:w="1843" w:type="dxa"/>
            <w:tcBorders>
              <w:top w:val="nil"/>
              <w:bottom w:val="nil"/>
            </w:tcBorders>
            <w:vAlign w:val="center"/>
          </w:tcPr>
          <w:p w14:paraId="77392460" w14:textId="77777777" w:rsidR="00C03610" w:rsidRPr="002321CC" w:rsidRDefault="00C03610" w:rsidP="00051D04">
            <w:pPr>
              <w:spacing w:before="60" w:after="60"/>
              <w:rPr>
                <w:rFonts w:cs="Arial"/>
                <w:b/>
                <w:color w:val="000000"/>
                <w:sz w:val="20"/>
                <w:szCs w:val="20"/>
              </w:rPr>
            </w:pPr>
          </w:p>
        </w:tc>
        <w:tc>
          <w:tcPr>
            <w:tcW w:w="2181" w:type="dxa"/>
            <w:vAlign w:val="center"/>
          </w:tcPr>
          <w:p w14:paraId="6635726E" w14:textId="77777777" w:rsidR="00C03610" w:rsidRPr="002321CC" w:rsidRDefault="00C03610" w:rsidP="00D20A1E">
            <w:pPr>
              <w:keepNext/>
              <w:keepLines/>
              <w:widowControl/>
              <w:spacing w:before="60" w:after="60"/>
              <w:rPr>
                <w:rFonts w:cs="Arial"/>
                <w:color w:val="000000"/>
                <w:sz w:val="20"/>
                <w:szCs w:val="20"/>
              </w:rPr>
            </w:pPr>
            <w:r w:rsidRPr="002321CC">
              <w:rPr>
                <w:rFonts w:cs="Arial"/>
                <w:color w:val="000000"/>
                <w:sz w:val="20"/>
                <w:szCs w:val="20"/>
              </w:rPr>
              <w:t>Rice-based beverage, fortified</w:t>
            </w:r>
          </w:p>
        </w:tc>
        <w:tc>
          <w:tcPr>
            <w:tcW w:w="1226" w:type="dxa"/>
            <w:vAlign w:val="center"/>
          </w:tcPr>
          <w:p w14:paraId="2B73D408" w14:textId="77777777" w:rsidR="00C03610" w:rsidRPr="002321CC" w:rsidRDefault="00C03610" w:rsidP="00D20A1E">
            <w:pPr>
              <w:keepNext/>
              <w:keepLines/>
              <w:widowControl/>
              <w:spacing w:before="60" w:after="60"/>
              <w:jc w:val="center"/>
              <w:rPr>
                <w:rFonts w:cs="Arial"/>
                <w:color w:val="000000"/>
                <w:sz w:val="20"/>
                <w:szCs w:val="20"/>
              </w:rPr>
            </w:pPr>
            <w:r w:rsidRPr="002321CC">
              <w:rPr>
                <w:rFonts w:cs="Arial"/>
                <w:color w:val="000000"/>
                <w:sz w:val="20"/>
                <w:szCs w:val="20"/>
              </w:rPr>
              <w:sym w:font="Wingdings" w:char="F0FC"/>
            </w:r>
          </w:p>
        </w:tc>
        <w:tc>
          <w:tcPr>
            <w:tcW w:w="1227" w:type="dxa"/>
            <w:vAlign w:val="center"/>
          </w:tcPr>
          <w:p w14:paraId="159A0A3B" w14:textId="77777777" w:rsidR="00C03610" w:rsidRPr="002321CC" w:rsidRDefault="00C03610" w:rsidP="00D20A1E">
            <w:pPr>
              <w:keepNext/>
              <w:keepLines/>
              <w:widowControl/>
              <w:spacing w:before="60" w:after="60"/>
              <w:jc w:val="center"/>
              <w:rPr>
                <w:rFonts w:cs="Arial"/>
                <w:sz w:val="20"/>
                <w:szCs w:val="20"/>
              </w:rPr>
            </w:pPr>
            <w:r w:rsidRPr="002321CC">
              <w:rPr>
                <w:rFonts w:cs="Arial"/>
                <w:color w:val="000000"/>
                <w:sz w:val="20"/>
                <w:szCs w:val="20"/>
              </w:rPr>
              <w:sym w:font="Wingdings" w:char="F0FC"/>
            </w:r>
          </w:p>
        </w:tc>
        <w:tc>
          <w:tcPr>
            <w:tcW w:w="1227" w:type="dxa"/>
            <w:vAlign w:val="center"/>
          </w:tcPr>
          <w:p w14:paraId="51872C4F" w14:textId="77777777" w:rsidR="00C03610" w:rsidRPr="002321CC" w:rsidRDefault="00C03610" w:rsidP="00D20A1E">
            <w:pPr>
              <w:keepNext/>
              <w:keepLines/>
              <w:widowControl/>
              <w:spacing w:before="60" w:after="60"/>
              <w:jc w:val="center"/>
              <w:rPr>
                <w:rFonts w:cs="Arial"/>
                <w:sz w:val="20"/>
                <w:szCs w:val="20"/>
              </w:rPr>
            </w:pPr>
          </w:p>
        </w:tc>
        <w:tc>
          <w:tcPr>
            <w:tcW w:w="1227" w:type="dxa"/>
            <w:vAlign w:val="center"/>
          </w:tcPr>
          <w:p w14:paraId="49BBB95A" w14:textId="77777777" w:rsidR="00C03610" w:rsidRPr="002321CC" w:rsidRDefault="00C03610" w:rsidP="00D20A1E">
            <w:pPr>
              <w:keepNext/>
              <w:keepLines/>
              <w:widowControl/>
              <w:spacing w:before="60" w:after="60"/>
              <w:jc w:val="center"/>
              <w:rPr>
                <w:rFonts w:cs="Arial"/>
                <w:sz w:val="20"/>
                <w:szCs w:val="20"/>
              </w:rPr>
            </w:pPr>
            <w:r w:rsidRPr="002321CC">
              <w:rPr>
                <w:rFonts w:cs="Arial"/>
                <w:color w:val="000000"/>
                <w:sz w:val="20"/>
                <w:szCs w:val="20"/>
              </w:rPr>
              <w:sym w:font="Wingdings" w:char="F0FC"/>
            </w:r>
          </w:p>
        </w:tc>
      </w:tr>
      <w:tr w:rsidR="00C03610" w:rsidRPr="003D3D09" w14:paraId="1EAE36A5" w14:textId="77777777" w:rsidTr="00A004E1">
        <w:trPr>
          <w:trHeight w:val="300"/>
        </w:trPr>
        <w:tc>
          <w:tcPr>
            <w:tcW w:w="1843" w:type="dxa"/>
            <w:tcBorders>
              <w:top w:val="nil"/>
              <w:bottom w:val="nil"/>
            </w:tcBorders>
            <w:vAlign w:val="center"/>
          </w:tcPr>
          <w:p w14:paraId="5E8FA287" w14:textId="77777777" w:rsidR="00C03610" w:rsidRPr="002321CC" w:rsidRDefault="00C03610" w:rsidP="00051D04">
            <w:pPr>
              <w:spacing w:before="60" w:after="60"/>
              <w:rPr>
                <w:rFonts w:cs="Arial"/>
                <w:b/>
                <w:color w:val="000000"/>
                <w:sz w:val="20"/>
                <w:szCs w:val="20"/>
              </w:rPr>
            </w:pPr>
          </w:p>
        </w:tc>
        <w:tc>
          <w:tcPr>
            <w:tcW w:w="2181" w:type="dxa"/>
            <w:vAlign w:val="center"/>
          </w:tcPr>
          <w:p w14:paraId="475AFCF8" w14:textId="77777777" w:rsidR="00C03610" w:rsidRPr="002321CC" w:rsidRDefault="00C03610" w:rsidP="00D20A1E">
            <w:pPr>
              <w:keepNext/>
              <w:keepLines/>
              <w:widowControl/>
              <w:spacing w:before="60" w:after="60"/>
              <w:rPr>
                <w:rFonts w:cs="Arial"/>
                <w:color w:val="000000"/>
                <w:sz w:val="20"/>
                <w:szCs w:val="20"/>
              </w:rPr>
            </w:pPr>
            <w:r w:rsidRPr="002321CC">
              <w:rPr>
                <w:rFonts w:cs="Arial"/>
                <w:color w:val="000000"/>
                <w:sz w:val="20"/>
                <w:szCs w:val="20"/>
              </w:rPr>
              <w:t>Rice-based beverage, flavoured</w:t>
            </w:r>
          </w:p>
        </w:tc>
        <w:tc>
          <w:tcPr>
            <w:tcW w:w="1226" w:type="dxa"/>
            <w:vAlign w:val="center"/>
          </w:tcPr>
          <w:p w14:paraId="08A78D77" w14:textId="77777777" w:rsidR="00C03610" w:rsidRPr="002321CC" w:rsidRDefault="00C03610" w:rsidP="00D20A1E">
            <w:pPr>
              <w:keepNext/>
              <w:keepLines/>
              <w:widowControl/>
              <w:spacing w:before="60" w:after="60"/>
              <w:jc w:val="center"/>
              <w:rPr>
                <w:rFonts w:cs="Arial"/>
                <w:color w:val="000000"/>
                <w:sz w:val="20"/>
                <w:szCs w:val="20"/>
              </w:rPr>
            </w:pPr>
          </w:p>
        </w:tc>
        <w:tc>
          <w:tcPr>
            <w:tcW w:w="1227" w:type="dxa"/>
            <w:vAlign w:val="center"/>
          </w:tcPr>
          <w:p w14:paraId="1EEAB9C4" w14:textId="77777777" w:rsidR="00C03610" w:rsidRPr="002321CC" w:rsidRDefault="00C03610" w:rsidP="00D20A1E">
            <w:pPr>
              <w:keepNext/>
              <w:keepLines/>
              <w:widowControl/>
              <w:spacing w:before="60" w:after="60"/>
              <w:jc w:val="center"/>
              <w:rPr>
                <w:rFonts w:cs="Arial"/>
                <w:sz w:val="20"/>
                <w:szCs w:val="20"/>
              </w:rPr>
            </w:pPr>
          </w:p>
        </w:tc>
        <w:tc>
          <w:tcPr>
            <w:tcW w:w="1227" w:type="dxa"/>
            <w:vAlign w:val="center"/>
          </w:tcPr>
          <w:p w14:paraId="2DE55C23" w14:textId="77777777" w:rsidR="00C03610" w:rsidRPr="002321CC" w:rsidRDefault="00C03610" w:rsidP="00D20A1E">
            <w:pPr>
              <w:keepNext/>
              <w:keepLines/>
              <w:widowControl/>
              <w:spacing w:before="60" w:after="60"/>
              <w:jc w:val="center"/>
              <w:rPr>
                <w:rFonts w:cs="Arial"/>
                <w:sz w:val="20"/>
                <w:szCs w:val="20"/>
              </w:rPr>
            </w:pPr>
            <w:r w:rsidRPr="002321CC">
              <w:rPr>
                <w:rFonts w:cs="Arial"/>
                <w:color w:val="000000"/>
                <w:sz w:val="20"/>
                <w:szCs w:val="20"/>
              </w:rPr>
              <w:sym w:font="Wingdings" w:char="F0FC"/>
            </w:r>
          </w:p>
        </w:tc>
        <w:tc>
          <w:tcPr>
            <w:tcW w:w="1227" w:type="dxa"/>
            <w:vAlign w:val="center"/>
          </w:tcPr>
          <w:p w14:paraId="530C6C93" w14:textId="77777777" w:rsidR="00C03610" w:rsidRPr="002321CC" w:rsidRDefault="00C03610" w:rsidP="00D20A1E">
            <w:pPr>
              <w:keepNext/>
              <w:keepLines/>
              <w:widowControl/>
              <w:spacing w:before="60" w:after="60"/>
              <w:jc w:val="center"/>
              <w:rPr>
                <w:rFonts w:cs="Arial"/>
                <w:sz w:val="20"/>
                <w:szCs w:val="20"/>
              </w:rPr>
            </w:pPr>
          </w:p>
        </w:tc>
      </w:tr>
      <w:tr w:rsidR="00C03610" w:rsidRPr="003D3D09" w14:paraId="0C00B26D" w14:textId="77777777" w:rsidTr="00A004E1">
        <w:trPr>
          <w:trHeight w:val="300"/>
        </w:trPr>
        <w:tc>
          <w:tcPr>
            <w:tcW w:w="1843" w:type="dxa"/>
            <w:tcBorders>
              <w:top w:val="nil"/>
              <w:bottom w:val="nil"/>
            </w:tcBorders>
            <w:vAlign w:val="center"/>
          </w:tcPr>
          <w:p w14:paraId="1C73195B" w14:textId="77777777" w:rsidR="00C03610" w:rsidRPr="002321CC" w:rsidRDefault="00C03610" w:rsidP="00051D04">
            <w:pPr>
              <w:spacing w:before="60" w:after="60"/>
              <w:rPr>
                <w:rFonts w:cs="Arial"/>
                <w:b/>
                <w:color w:val="000000"/>
                <w:sz w:val="20"/>
                <w:szCs w:val="20"/>
              </w:rPr>
            </w:pPr>
          </w:p>
        </w:tc>
        <w:tc>
          <w:tcPr>
            <w:tcW w:w="2181" w:type="dxa"/>
            <w:vAlign w:val="center"/>
          </w:tcPr>
          <w:p w14:paraId="06A0817E" w14:textId="77777777" w:rsidR="00C03610" w:rsidRPr="002321CC" w:rsidRDefault="00C03610" w:rsidP="00D20A1E">
            <w:pPr>
              <w:keepNext/>
              <w:keepLines/>
              <w:widowControl/>
              <w:spacing w:before="60" w:after="60"/>
              <w:rPr>
                <w:rFonts w:cs="Arial"/>
                <w:color w:val="000000"/>
                <w:sz w:val="20"/>
                <w:szCs w:val="20"/>
              </w:rPr>
            </w:pPr>
            <w:r w:rsidRPr="002321CC">
              <w:rPr>
                <w:rFonts w:cs="Arial"/>
                <w:color w:val="000000"/>
                <w:sz w:val="20"/>
                <w:szCs w:val="20"/>
              </w:rPr>
              <w:t>Rice-based beverage, flavoured, fortified</w:t>
            </w:r>
          </w:p>
        </w:tc>
        <w:tc>
          <w:tcPr>
            <w:tcW w:w="1226" w:type="dxa"/>
            <w:vAlign w:val="center"/>
          </w:tcPr>
          <w:p w14:paraId="5694728C" w14:textId="77777777" w:rsidR="00C03610" w:rsidRPr="002321CC" w:rsidRDefault="00C03610" w:rsidP="00D20A1E">
            <w:pPr>
              <w:keepNext/>
              <w:keepLines/>
              <w:widowControl/>
              <w:spacing w:before="60" w:after="60"/>
              <w:jc w:val="center"/>
              <w:rPr>
                <w:rFonts w:cs="Arial"/>
                <w:color w:val="000000"/>
                <w:sz w:val="20"/>
                <w:szCs w:val="20"/>
              </w:rPr>
            </w:pPr>
          </w:p>
        </w:tc>
        <w:tc>
          <w:tcPr>
            <w:tcW w:w="1227" w:type="dxa"/>
            <w:vAlign w:val="center"/>
          </w:tcPr>
          <w:p w14:paraId="17FB5268" w14:textId="77777777" w:rsidR="00C03610" w:rsidRPr="002321CC" w:rsidRDefault="00C03610" w:rsidP="00D20A1E">
            <w:pPr>
              <w:keepNext/>
              <w:keepLines/>
              <w:widowControl/>
              <w:spacing w:before="60" w:after="60"/>
              <w:jc w:val="center"/>
              <w:rPr>
                <w:rFonts w:cs="Arial"/>
                <w:sz w:val="20"/>
                <w:szCs w:val="20"/>
              </w:rPr>
            </w:pPr>
          </w:p>
        </w:tc>
        <w:tc>
          <w:tcPr>
            <w:tcW w:w="1227" w:type="dxa"/>
            <w:vAlign w:val="center"/>
          </w:tcPr>
          <w:p w14:paraId="1F9528B0" w14:textId="77777777" w:rsidR="00C03610" w:rsidRPr="002321CC" w:rsidRDefault="00C03610" w:rsidP="00D20A1E">
            <w:pPr>
              <w:keepNext/>
              <w:keepLines/>
              <w:widowControl/>
              <w:spacing w:before="60" w:after="60"/>
              <w:jc w:val="center"/>
              <w:rPr>
                <w:rFonts w:cs="Arial"/>
                <w:sz w:val="20"/>
                <w:szCs w:val="20"/>
              </w:rPr>
            </w:pPr>
          </w:p>
        </w:tc>
        <w:tc>
          <w:tcPr>
            <w:tcW w:w="1227" w:type="dxa"/>
            <w:vAlign w:val="center"/>
          </w:tcPr>
          <w:p w14:paraId="3846B7A9" w14:textId="77777777" w:rsidR="00C03610" w:rsidRPr="002321CC" w:rsidRDefault="00C03610" w:rsidP="00D20A1E">
            <w:pPr>
              <w:keepNext/>
              <w:keepLines/>
              <w:widowControl/>
              <w:spacing w:before="60" w:after="60"/>
              <w:jc w:val="center"/>
              <w:rPr>
                <w:rFonts w:cs="Arial"/>
                <w:sz w:val="20"/>
                <w:szCs w:val="20"/>
              </w:rPr>
            </w:pPr>
            <w:r w:rsidRPr="002321CC">
              <w:rPr>
                <w:rFonts w:cs="Arial"/>
                <w:color w:val="000000"/>
                <w:sz w:val="20"/>
                <w:szCs w:val="20"/>
              </w:rPr>
              <w:sym w:font="Wingdings" w:char="F0FC"/>
            </w:r>
          </w:p>
        </w:tc>
      </w:tr>
      <w:tr w:rsidR="00C03610" w:rsidRPr="003D3D09" w14:paraId="243C5BDF" w14:textId="77777777" w:rsidTr="00A004E1">
        <w:trPr>
          <w:trHeight w:val="300"/>
        </w:trPr>
        <w:tc>
          <w:tcPr>
            <w:tcW w:w="1843" w:type="dxa"/>
            <w:tcBorders>
              <w:top w:val="nil"/>
            </w:tcBorders>
            <w:vAlign w:val="center"/>
          </w:tcPr>
          <w:p w14:paraId="11C9C5E2" w14:textId="77777777" w:rsidR="00C03610" w:rsidRPr="002321CC" w:rsidRDefault="00C03610" w:rsidP="00051D04">
            <w:pPr>
              <w:spacing w:before="60" w:after="60"/>
              <w:rPr>
                <w:rFonts w:cs="Arial"/>
                <w:b/>
                <w:color w:val="000000"/>
                <w:sz w:val="20"/>
                <w:szCs w:val="20"/>
              </w:rPr>
            </w:pPr>
          </w:p>
        </w:tc>
        <w:tc>
          <w:tcPr>
            <w:tcW w:w="2181" w:type="dxa"/>
            <w:vAlign w:val="center"/>
          </w:tcPr>
          <w:p w14:paraId="04B9311E" w14:textId="77777777" w:rsidR="00C03610" w:rsidRPr="002321CC" w:rsidRDefault="00C03610" w:rsidP="00D20A1E">
            <w:pPr>
              <w:keepNext/>
              <w:keepLines/>
              <w:widowControl/>
              <w:spacing w:before="60" w:after="60"/>
              <w:rPr>
                <w:rFonts w:cs="Arial"/>
                <w:color w:val="000000"/>
                <w:sz w:val="20"/>
                <w:szCs w:val="20"/>
              </w:rPr>
            </w:pPr>
            <w:r w:rsidRPr="002321CC">
              <w:rPr>
                <w:rFonts w:cs="Arial"/>
                <w:color w:val="000000"/>
                <w:sz w:val="20"/>
                <w:szCs w:val="20"/>
              </w:rPr>
              <w:t>Rice-based beverage, protein enriched, fortified</w:t>
            </w:r>
          </w:p>
        </w:tc>
        <w:tc>
          <w:tcPr>
            <w:tcW w:w="1226" w:type="dxa"/>
            <w:vAlign w:val="center"/>
          </w:tcPr>
          <w:p w14:paraId="4F9E0059" w14:textId="77777777" w:rsidR="00C03610" w:rsidRPr="002321CC" w:rsidRDefault="00C03610" w:rsidP="00D20A1E">
            <w:pPr>
              <w:keepNext/>
              <w:keepLines/>
              <w:widowControl/>
              <w:spacing w:before="60" w:after="60"/>
              <w:jc w:val="center"/>
              <w:rPr>
                <w:rFonts w:cs="Arial"/>
                <w:color w:val="000000"/>
                <w:sz w:val="20"/>
                <w:szCs w:val="20"/>
              </w:rPr>
            </w:pPr>
            <w:r w:rsidRPr="002321CC">
              <w:rPr>
                <w:rFonts w:cs="Arial"/>
                <w:color w:val="000000"/>
                <w:sz w:val="20"/>
                <w:szCs w:val="20"/>
              </w:rPr>
              <w:sym w:font="Wingdings" w:char="F0FC"/>
            </w:r>
          </w:p>
        </w:tc>
        <w:tc>
          <w:tcPr>
            <w:tcW w:w="1227" w:type="dxa"/>
            <w:vAlign w:val="center"/>
          </w:tcPr>
          <w:p w14:paraId="7B8035DD" w14:textId="77777777" w:rsidR="00C03610" w:rsidRPr="002321CC" w:rsidRDefault="00C03610" w:rsidP="00D20A1E">
            <w:pPr>
              <w:keepNext/>
              <w:keepLines/>
              <w:widowControl/>
              <w:spacing w:before="60" w:after="60"/>
              <w:jc w:val="center"/>
              <w:rPr>
                <w:rFonts w:cs="Arial"/>
                <w:sz w:val="20"/>
                <w:szCs w:val="20"/>
              </w:rPr>
            </w:pPr>
            <w:r w:rsidRPr="002321CC">
              <w:rPr>
                <w:rFonts w:cs="Arial"/>
                <w:color w:val="000000"/>
                <w:sz w:val="20"/>
                <w:szCs w:val="20"/>
              </w:rPr>
              <w:sym w:font="Wingdings" w:char="F0FC"/>
            </w:r>
          </w:p>
        </w:tc>
        <w:tc>
          <w:tcPr>
            <w:tcW w:w="1227" w:type="dxa"/>
            <w:vAlign w:val="center"/>
          </w:tcPr>
          <w:p w14:paraId="009F4FD5" w14:textId="77777777" w:rsidR="00C03610" w:rsidRPr="002321CC" w:rsidRDefault="00C03610" w:rsidP="00D20A1E">
            <w:pPr>
              <w:keepNext/>
              <w:keepLines/>
              <w:widowControl/>
              <w:spacing w:before="60" w:after="60"/>
              <w:jc w:val="center"/>
              <w:rPr>
                <w:rFonts w:cs="Arial"/>
                <w:sz w:val="20"/>
                <w:szCs w:val="20"/>
              </w:rPr>
            </w:pPr>
          </w:p>
        </w:tc>
        <w:tc>
          <w:tcPr>
            <w:tcW w:w="1227" w:type="dxa"/>
            <w:vAlign w:val="center"/>
          </w:tcPr>
          <w:p w14:paraId="7AC64B1C" w14:textId="77777777" w:rsidR="00C03610" w:rsidRPr="002321CC" w:rsidRDefault="00C03610" w:rsidP="00D20A1E">
            <w:pPr>
              <w:keepNext/>
              <w:keepLines/>
              <w:widowControl/>
              <w:spacing w:before="60" w:after="60"/>
              <w:jc w:val="center"/>
              <w:rPr>
                <w:rFonts w:cs="Arial"/>
                <w:sz w:val="20"/>
                <w:szCs w:val="20"/>
              </w:rPr>
            </w:pPr>
            <w:r w:rsidRPr="002321CC">
              <w:rPr>
                <w:rFonts w:cs="Arial"/>
                <w:color w:val="000000"/>
                <w:sz w:val="20"/>
                <w:szCs w:val="20"/>
              </w:rPr>
              <w:sym w:font="Wingdings" w:char="F0FC"/>
            </w:r>
          </w:p>
        </w:tc>
      </w:tr>
      <w:tr w:rsidR="00C03610" w:rsidRPr="003D3D09" w14:paraId="6DCDB501" w14:textId="77777777" w:rsidTr="00A004E1">
        <w:trPr>
          <w:trHeight w:val="300"/>
        </w:trPr>
        <w:tc>
          <w:tcPr>
            <w:tcW w:w="1843" w:type="dxa"/>
            <w:vAlign w:val="center"/>
          </w:tcPr>
          <w:p w14:paraId="3A9D5234" w14:textId="77777777" w:rsidR="00C03610" w:rsidRPr="002321CC" w:rsidRDefault="00C03610" w:rsidP="00051D04">
            <w:pPr>
              <w:pageBreakBefore/>
              <w:spacing w:before="60" w:after="60"/>
              <w:rPr>
                <w:rFonts w:cs="Arial"/>
                <w:b/>
                <w:color w:val="000000"/>
                <w:sz w:val="20"/>
                <w:szCs w:val="20"/>
              </w:rPr>
            </w:pPr>
            <w:r w:rsidRPr="002321CC">
              <w:rPr>
                <w:rFonts w:cs="Arial"/>
                <w:b/>
                <w:color w:val="000000"/>
                <w:sz w:val="20"/>
                <w:szCs w:val="20"/>
              </w:rPr>
              <w:lastRenderedPageBreak/>
              <w:t>Other-base</w:t>
            </w:r>
          </w:p>
        </w:tc>
        <w:tc>
          <w:tcPr>
            <w:tcW w:w="2181" w:type="dxa"/>
            <w:vAlign w:val="center"/>
          </w:tcPr>
          <w:p w14:paraId="406766B6" w14:textId="77777777" w:rsidR="00C03610" w:rsidRPr="002321CC" w:rsidRDefault="00C03610" w:rsidP="00D20A1E">
            <w:pPr>
              <w:keepNext/>
              <w:keepLines/>
              <w:widowControl/>
              <w:spacing w:before="60" w:after="60"/>
              <w:rPr>
                <w:rFonts w:cs="Arial"/>
                <w:color w:val="000000"/>
                <w:sz w:val="20"/>
                <w:szCs w:val="20"/>
              </w:rPr>
            </w:pPr>
            <w:r w:rsidRPr="002321CC">
              <w:rPr>
                <w:rFonts w:cs="Arial"/>
                <w:color w:val="000000"/>
                <w:sz w:val="20"/>
                <w:szCs w:val="20"/>
              </w:rPr>
              <w:t>Milk, other kind (not coconut)</w:t>
            </w:r>
          </w:p>
        </w:tc>
        <w:tc>
          <w:tcPr>
            <w:tcW w:w="1226" w:type="dxa"/>
            <w:vAlign w:val="center"/>
          </w:tcPr>
          <w:p w14:paraId="59DC3B71" w14:textId="77777777" w:rsidR="00C03610" w:rsidRPr="002321CC" w:rsidRDefault="00C03610" w:rsidP="00D20A1E">
            <w:pPr>
              <w:keepNext/>
              <w:keepLines/>
              <w:widowControl/>
              <w:spacing w:before="60" w:after="60"/>
              <w:jc w:val="center"/>
              <w:rPr>
                <w:rFonts w:cs="Arial"/>
                <w:color w:val="000000"/>
                <w:sz w:val="20"/>
                <w:szCs w:val="20"/>
              </w:rPr>
            </w:pPr>
          </w:p>
        </w:tc>
        <w:tc>
          <w:tcPr>
            <w:tcW w:w="1227" w:type="dxa"/>
            <w:vAlign w:val="center"/>
          </w:tcPr>
          <w:p w14:paraId="70E14A65" w14:textId="77777777" w:rsidR="00C03610" w:rsidRPr="002321CC" w:rsidRDefault="00C03610" w:rsidP="00D20A1E">
            <w:pPr>
              <w:keepNext/>
              <w:keepLines/>
              <w:widowControl/>
              <w:spacing w:before="60" w:after="60"/>
              <w:jc w:val="center"/>
              <w:rPr>
                <w:rFonts w:cs="Arial"/>
                <w:sz w:val="20"/>
                <w:szCs w:val="20"/>
              </w:rPr>
            </w:pPr>
          </w:p>
        </w:tc>
        <w:tc>
          <w:tcPr>
            <w:tcW w:w="1227" w:type="dxa"/>
            <w:vAlign w:val="center"/>
          </w:tcPr>
          <w:p w14:paraId="0DEFF78F" w14:textId="77777777" w:rsidR="00C03610" w:rsidRPr="002321CC" w:rsidRDefault="00C03610" w:rsidP="00D20A1E">
            <w:pPr>
              <w:keepNext/>
              <w:keepLines/>
              <w:widowControl/>
              <w:spacing w:before="60" w:after="60"/>
              <w:jc w:val="center"/>
              <w:rPr>
                <w:rFonts w:cs="Arial"/>
                <w:sz w:val="20"/>
                <w:szCs w:val="20"/>
              </w:rPr>
            </w:pPr>
            <w:r w:rsidRPr="002321CC">
              <w:rPr>
                <w:rFonts w:cs="Arial"/>
                <w:color w:val="000000"/>
                <w:sz w:val="20"/>
                <w:szCs w:val="20"/>
              </w:rPr>
              <w:sym w:font="Wingdings" w:char="F0FC"/>
            </w:r>
          </w:p>
        </w:tc>
        <w:tc>
          <w:tcPr>
            <w:tcW w:w="1227" w:type="dxa"/>
            <w:vAlign w:val="center"/>
          </w:tcPr>
          <w:p w14:paraId="49F8EDF5" w14:textId="77777777" w:rsidR="00C03610" w:rsidRPr="002321CC" w:rsidRDefault="00C03610" w:rsidP="00D20A1E">
            <w:pPr>
              <w:keepNext/>
              <w:keepLines/>
              <w:widowControl/>
              <w:spacing w:before="60" w:after="60"/>
              <w:jc w:val="center"/>
              <w:rPr>
                <w:rFonts w:cs="Arial"/>
                <w:sz w:val="20"/>
                <w:szCs w:val="20"/>
              </w:rPr>
            </w:pPr>
          </w:p>
        </w:tc>
      </w:tr>
    </w:tbl>
    <w:p w14:paraId="07A5E1E0" w14:textId="77777777" w:rsidR="00C03610" w:rsidRDefault="00C03610" w:rsidP="00D20A1E">
      <w:pPr>
        <w:widowControl/>
      </w:pPr>
    </w:p>
    <w:p w14:paraId="2CE03263" w14:textId="77777777" w:rsidR="00051D04" w:rsidRDefault="00C03610" w:rsidP="00051D04">
      <w:pPr>
        <w:pStyle w:val="FSFigureTitle"/>
        <w:widowControl/>
        <w:jc w:val="center"/>
      </w:pPr>
      <w:r w:rsidRPr="000C7E8F">
        <w:rPr>
          <w:noProof/>
          <w:lang w:eastAsia="en-GB" w:bidi="ar-SA"/>
        </w:rPr>
        <w:drawing>
          <wp:inline distT="0" distB="0" distL="0" distR="0" wp14:anchorId="7C9607AC" wp14:editId="54909181">
            <wp:extent cx="5244673" cy="3409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7777" cy="3411968"/>
                    </a:xfrm>
                    <a:prstGeom prst="rect">
                      <a:avLst/>
                    </a:prstGeom>
                    <a:noFill/>
                    <a:ln>
                      <a:noFill/>
                    </a:ln>
                  </pic:spPr>
                </pic:pic>
              </a:graphicData>
            </a:graphic>
          </wp:inline>
        </w:drawing>
      </w:r>
      <w:bookmarkStart w:id="47" w:name="_Ref423685803"/>
    </w:p>
    <w:p w14:paraId="01D70141" w14:textId="2FF9D516" w:rsidR="00C03610" w:rsidRDefault="00C03610" w:rsidP="00051D04">
      <w:pPr>
        <w:pStyle w:val="FSFigureTitle"/>
        <w:widowControl/>
        <w:jc w:val="center"/>
      </w:pPr>
      <w:r w:rsidRPr="0001478A">
        <w:t xml:space="preserve">Figure </w:t>
      </w:r>
      <w:fldSimple w:instr=" SEQ Figure \* ARABIC ">
        <w:r w:rsidR="00047581">
          <w:rPr>
            <w:noProof/>
          </w:rPr>
          <w:t>1</w:t>
        </w:r>
      </w:fldSimple>
      <w:bookmarkEnd w:id="47"/>
      <w:r w:rsidR="00513153">
        <w:t xml:space="preserve">: </w:t>
      </w:r>
      <w:r w:rsidRPr="0001478A">
        <w:t xml:space="preserve">Mean consumption of </w:t>
      </w:r>
      <w:r>
        <w:t xml:space="preserve">plain fluid </w:t>
      </w:r>
      <w:r w:rsidRPr="0001478A">
        <w:t xml:space="preserve">milk and </w:t>
      </w:r>
      <w:r>
        <w:t>plant-based milk substitute</w:t>
      </w:r>
      <w:r w:rsidRPr="0001478A">
        <w:t xml:space="preserve">s for Australian </w:t>
      </w:r>
      <w:r w:rsidRPr="009D48F2">
        <w:t>consumers</w:t>
      </w:r>
      <w:r>
        <w:t xml:space="preserve"> (Day 1 only)</w:t>
      </w:r>
      <w:r w:rsidRPr="000C7E8F">
        <w:rPr>
          <w:i w:val="0"/>
        </w:rPr>
        <w:t xml:space="preserve"> </w:t>
      </w:r>
    </w:p>
    <w:p w14:paraId="3575A3EA" w14:textId="77777777" w:rsidR="00C03610" w:rsidRDefault="00C03610" w:rsidP="00D20A1E">
      <w:pPr>
        <w:widowControl/>
      </w:pPr>
    </w:p>
    <w:p w14:paraId="7D1E2A3C" w14:textId="77777777" w:rsidR="00C03610" w:rsidRDefault="00C03610" w:rsidP="00051D04">
      <w:pPr>
        <w:widowControl/>
        <w:jc w:val="center"/>
      </w:pPr>
      <w:r w:rsidRPr="000C7E8F">
        <w:rPr>
          <w:noProof/>
          <w:lang w:eastAsia="en-GB" w:bidi="ar-SA"/>
        </w:rPr>
        <w:drawing>
          <wp:inline distT="0" distB="0" distL="0" distR="0" wp14:anchorId="0946CB4A" wp14:editId="5A2B9681">
            <wp:extent cx="5171423" cy="33623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74483" cy="3364315"/>
                    </a:xfrm>
                    <a:prstGeom prst="rect">
                      <a:avLst/>
                    </a:prstGeom>
                    <a:noFill/>
                    <a:ln>
                      <a:noFill/>
                    </a:ln>
                  </pic:spPr>
                </pic:pic>
              </a:graphicData>
            </a:graphic>
          </wp:inline>
        </w:drawing>
      </w:r>
    </w:p>
    <w:p w14:paraId="09474506" w14:textId="56F4A58A" w:rsidR="00C03610" w:rsidRDefault="00C03610" w:rsidP="00051D04">
      <w:pPr>
        <w:pStyle w:val="FSFigureTitle"/>
        <w:widowControl/>
        <w:jc w:val="center"/>
      </w:pPr>
      <w:bookmarkStart w:id="48" w:name="_Ref423965446"/>
      <w:r w:rsidRPr="0001478A">
        <w:t xml:space="preserve">Figure </w:t>
      </w:r>
      <w:fldSimple w:instr=" SEQ Figure \* ARABIC ">
        <w:r w:rsidR="00047581">
          <w:rPr>
            <w:noProof/>
          </w:rPr>
          <w:t>2</w:t>
        </w:r>
      </w:fldSimple>
      <w:bookmarkEnd w:id="48"/>
      <w:r w:rsidR="00513153">
        <w:t xml:space="preserve">: </w:t>
      </w:r>
      <w:r w:rsidRPr="0001478A">
        <w:t xml:space="preserve">Mean consumption of </w:t>
      </w:r>
      <w:r>
        <w:t xml:space="preserve">plain fluid </w:t>
      </w:r>
      <w:r w:rsidRPr="0001478A">
        <w:t xml:space="preserve">milk and </w:t>
      </w:r>
      <w:r>
        <w:t>plant-based milk substitute</w:t>
      </w:r>
      <w:r w:rsidRPr="0001478A">
        <w:t>s for New Zealand</w:t>
      </w:r>
      <w:r w:rsidRPr="009D48F2">
        <w:t xml:space="preserve"> consumers</w:t>
      </w:r>
      <w:r>
        <w:t xml:space="preserve"> (Day 1 only)</w:t>
      </w:r>
    </w:p>
    <w:p w14:paraId="5573838C" w14:textId="74C64BA3" w:rsidR="00C03610" w:rsidRPr="00353A99" w:rsidRDefault="00AF4FCB" w:rsidP="00D20A1E">
      <w:pPr>
        <w:pStyle w:val="Heading2"/>
      </w:pPr>
      <w:bookmarkStart w:id="49" w:name="_Ref421003676"/>
      <w:bookmarkStart w:id="50" w:name="_Ref421003684"/>
      <w:bookmarkStart w:id="51" w:name="_Toc427672159"/>
      <w:bookmarkStart w:id="52" w:name="_Toc427678225"/>
      <w:r>
        <w:lastRenderedPageBreak/>
        <w:t>3.3</w:t>
      </w:r>
      <w:r>
        <w:tab/>
      </w:r>
      <w:r w:rsidR="00C03610" w:rsidRPr="00353A99">
        <w:t xml:space="preserve">How nut-based beverages and other </w:t>
      </w:r>
      <w:r w:rsidR="00C03610">
        <w:t>plant-based milk substitute</w:t>
      </w:r>
      <w:r w:rsidR="00C03610" w:rsidRPr="00353A99">
        <w:t>s are consumed</w:t>
      </w:r>
      <w:bookmarkEnd w:id="49"/>
      <w:bookmarkEnd w:id="50"/>
      <w:bookmarkEnd w:id="51"/>
      <w:bookmarkEnd w:id="52"/>
    </w:p>
    <w:p w14:paraId="4B8A792F" w14:textId="77777777" w:rsidR="00C03610" w:rsidRDefault="00C03610" w:rsidP="00D20A1E">
      <w:pPr>
        <w:keepNext/>
        <w:keepLines/>
        <w:widowControl/>
      </w:pPr>
      <w:r>
        <w:t>In the 2011-12 NNPAS raw data files (ABS 2014a), a ‘combination code’ is used to identify mixed foods whose ingredients were collected and coded separately, but were consumed together. This includes such foods as milk and coffee, where the same combination code would be given to indicate they were consumed as one. These data were evaluated to determine whether cereal- and nut-based beverages were consumed in the same way as milk, and therefore can be considered as a plant-based milk substitute.</w:t>
      </w:r>
    </w:p>
    <w:p w14:paraId="1A57EC6C" w14:textId="77777777" w:rsidR="00C03610" w:rsidRDefault="00C03610" w:rsidP="00D20A1E">
      <w:pPr>
        <w:widowControl/>
      </w:pPr>
    </w:p>
    <w:p w14:paraId="3A15B7BD" w14:textId="20B76BB1" w:rsidR="00C03610" w:rsidRDefault="00C03610" w:rsidP="00D20A1E">
      <w:pPr>
        <w:widowControl/>
      </w:pPr>
      <w:r>
        <w:t>The highest number of reported eating occasions of plain cereal- and nut-based beverages in the 2011-12 NNPAS was for use with breakfast cereal (48%), followed by in a beverage such as coffee or tea etc. (35%), and consumed on its own (16%) (</w:t>
      </w:r>
      <w:r>
        <w:fldChar w:fldCharType="begin"/>
      </w:r>
      <w:r>
        <w:instrText xml:space="preserve"> REF _Ref419184933 \h </w:instrText>
      </w:r>
      <w:r>
        <w:fldChar w:fldCharType="separate"/>
      </w:r>
      <w:r w:rsidR="00047581">
        <w:t xml:space="preserve">Table </w:t>
      </w:r>
      <w:r w:rsidR="00047581">
        <w:rPr>
          <w:noProof/>
        </w:rPr>
        <w:t>3</w:t>
      </w:r>
      <w:r>
        <w:fldChar w:fldCharType="end"/>
      </w:r>
      <w:r>
        <w:t xml:space="preserve">). </w:t>
      </w:r>
      <w:r w:rsidRPr="004E22D4">
        <w:t xml:space="preserve">There was very little use of cereal- and nut-based beverages in other types of mixed dishes. </w:t>
      </w:r>
      <w:r w:rsidR="004E22D4" w:rsidRPr="004E22D4">
        <w:t xml:space="preserve">In the 2011-12 NNPAS, 13% </w:t>
      </w:r>
      <w:r w:rsidR="00172643">
        <w:t xml:space="preserve">of the eating occasions for </w:t>
      </w:r>
      <w:r w:rsidRPr="004E22D4">
        <w:t xml:space="preserve">plain fluid milk </w:t>
      </w:r>
      <w:r w:rsidR="004E22D4" w:rsidRPr="004E22D4">
        <w:t xml:space="preserve">was </w:t>
      </w:r>
      <w:r w:rsidR="00172643">
        <w:t xml:space="preserve">for milk </w:t>
      </w:r>
      <w:r w:rsidR="004E22D4" w:rsidRPr="004E22D4">
        <w:t xml:space="preserve">consumed on its own, similar to the proportion </w:t>
      </w:r>
      <w:r w:rsidR="00172643">
        <w:t>for</w:t>
      </w:r>
      <w:r w:rsidR="00172643" w:rsidRPr="004E22D4">
        <w:t xml:space="preserve"> </w:t>
      </w:r>
      <w:r w:rsidR="004E22D4" w:rsidRPr="004E22D4">
        <w:t>plain cereal- and nut-based beverages (16%)</w:t>
      </w:r>
      <w:r w:rsidRPr="004E22D4">
        <w:t>. However, for milk, there was a</w:t>
      </w:r>
      <w:r w:rsidRPr="002E5289">
        <w:t xml:space="preserve"> greater proportion consumed in beverages with additions (60%) compared to cereal- and nut-based beverages (35%) and a lower proportion in cereals with additions (24%) than for cereal- and nut-based beverages (48%).</w:t>
      </w:r>
    </w:p>
    <w:p w14:paraId="6E369297" w14:textId="77777777" w:rsidR="00C03610" w:rsidRDefault="00C03610" w:rsidP="00D20A1E">
      <w:pPr>
        <w:widowControl/>
      </w:pPr>
    </w:p>
    <w:p w14:paraId="3EA2AF41" w14:textId="77777777" w:rsidR="00C03610" w:rsidRDefault="00C03610" w:rsidP="00D20A1E">
      <w:pPr>
        <w:pStyle w:val="FSTableTitle"/>
        <w:keepNext/>
        <w:keepLines/>
        <w:widowControl/>
      </w:pPr>
      <w:bookmarkStart w:id="53" w:name="_Ref419184933"/>
      <w:bookmarkStart w:id="54" w:name="_Toc420307332"/>
      <w:r>
        <w:t xml:space="preserve">Table </w:t>
      </w:r>
      <w:fldSimple w:instr=" SEQ Table \* ARABIC ">
        <w:r w:rsidR="00047581">
          <w:rPr>
            <w:noProof/>
          </w:rPr>
          <w:t>3</w:t>
        </w:r>
      </w:fldSimple>
      <w:bookmarkEnd w:id="53"/>
      <w:r>
        <w:t xml:space="preserve">: How plain cereal- and nut-based beverages were consumed by eating occasion in the </w:t>
      </w:r>
      <w:r w:rsidRPr="00440DE3">
        <w:t>2011-12 NNPAS</w:t>
      </w:r>
      <w:r>
        <w:t xml:space="preserve"> compared to plain fluid milk</w:t>
      </w:r>
      <w:bookmarkEnd w:id="54"/>
    </w:p>
    <w:p w14:paraId="027F72E8" w14:textId="77777777" w:rsidR="00513153" w:rsidRPr="00513153" w:rsidRDefault="00513153" w:rsidP="00513153"/>
    <w:tbl>
      <w:tblPr>
        <w:tblStyle w:val="TableGrid"/>
        <w:tblW w:w="0" w:type="auto"/>
        <w:tblLook w:val="04A0" w:firstRow="1" w:lastRow="0" w:firstColumn="1" w:lastColumn="0" w:noHBand="0" w:noVBand="1"/>
      </w:tblPr>
      <w:tblGrid>
        <w:gridCol w:w="1561"/>
        <w:gridCol w:w="2606"/>
        <w:gridCol w:w="1611"/>
        <w:gridCol w:w="1701"/>
        <w:gridCol w:w="1763"/>
      </w:tblGrid>
      <w:tr w:rsidR="00C03610" w14:paraId="43374865" w14:textId="77777777" w:rsidTr="00A004E1">
        <w:tc>
          <w:tcPr>
            <w:tcW w:w="1561" w:type="dxa"/>
            <w:vMerge w:val="restart"/>
            <w:shd w:val="clear" w:color="auto" w:fill="B8CCE4" w:themeFill="accent1" w:themeFillTint="66"/>
            <w:vAlign w:val="center"/>
          </w:tcPr>
          <w:p w14:paraId="022A28F5" w14:textId="77777777" w:rsidR="00C03610" w:rsidRPr="00424579" w:rsidRDefault="00C03610" w:rsidP="00D20A1E">
            <w:pPr>
              <w:keepNext/>
              <w:keepLines/>
              <w:widowControl/>
              <w:spacing w:before="40" w:after="40"/>
              <w:rPr>
                <w:b/>
              </w:rPr>
            </w:pPr>
            <w:r w:rsidRPr="00424579">
              <w:rPr>
                <w:b/>
              </w:rPr>
              <w:t>Combination code</w:t>
            </w:r>
          </w:p>
        </w:tc>
        <w:tc>
          <w:tcPr>
            <w:tcW w:w="2606" w:type="dxa"/>
            <w:vMerge w:val="restart"/>
            <w:shd w:val="clear" w:color="auto" w:fill="B8CCE4" w:themeFill="accent1" w:themeFillTint="66"/>
            <w:vAlign w:val="center"/>
          </w:tcPr>
          <w:p w14:paraId="2671F867" w14:textId="77777777" w:rsidR="00C03610" w:rsidRPr="00424579" w:rsidRDefault="00C03610" w:rsidP="00D20A1E">
            <w:pPr>
              <w:keepNext/>
              <w:keepLines/>
              <w:widowControl/>
              <w:spacing w:before="40" w:after="40"/>
              <w:rPr>
                <w:b/>
              </w:rPr>
            </w:pPr>
            <w:r w:rsidRPr="00424579">
              <w:rPr>
                <w:b/>
              </w:rPr>
              <w:t>Combination code descriptor</w:t>
            </w:r>
          </w:p>
        </w:tc>
        <w:tc>
          <w:tcPr>
            <w:tcW w:w="3312" w:type="dxa"/>
            <w:gridSpan w:val="2"/>
            <w:shd w:val="clear" w:color="auto" w:fill="B8CCE4" w:themeFill="accent1" w:themeFillTint="66"/>
          </w:tcPr>
          <w:p w14:paraId="7D534023" w14:textId="77777777" w:rsidR="00C03610" w:rsidRPr="000E391D" w:rsidRDefault="00C03610" w:rsidP="00D20A1E">
            <w:pPr>
              <w:keepNext/>
              <w:keepLines/>
              <w:widowControl/>
              <w:spacing w:before="40" w:after="40"/>
              <w:jc w:val="center"/>
              <w:rPr>
                <w:b/>
              </w:rPr>
            </w:pPr>
            <w:r>
              <w:rPr>
                <w:b/>
              </w:rPr>
              <w:t>Cereal</w:t>
            </w:r>
            <w:r w:rsidRPr="000E391D">
              <w:rPr>
                <w:b/>
              </w:rPr>
              <w:t xml:space="preserve"> and </w:t>
            </w:r>
            <w:r>
              <w:rPr>
                <w:b/>
              </w:rPr>
              <w:t>n</w:t>
            </w:r>
            <w:r w:rsidRPr="000E391D">
              <w:rPr>
                <w:b/>
              </w:rPr>
              <w:t>ut-based beverages</w:t>
            </w:r>
          </w:p>
        </w:tc>
        <w:tc>
          <w:tcPr>
            <w:tcW w:w="1763" w:type="dxa"/>
            <w:shd w:val="clear" w:color="auto" w:fill="B8CCE4" w:themeFill="accent1" w:themeFillTint="66"/>
          </w:tcPr>
          <w:p w14:paraId="7DD082CF" w14:textId="77777777" w:rsidR="00C03610" w:rsidRDefault="00C03610" w:rsidP="00D20A1E">
            <w:pPr>
              <w:keepNext/>
              <w:keepLines/>
              <w:widowControl/>
              <w:spacing w:before="40" w:after="40"/>
              <w:jc w:val="center"/>
              <w:rPr>
                <w:b/>
              </w:rPr>
            </w:pPr>
            <w:r>
              <w:rPr>
                <w:b/>
              </w:rPr>
              <w:t>Plain fluid milk</w:t>
            </w:r>
          </w:p>
        </w:tc>
      </w:tr>
      <w:tr w:rsidR="00C03610" w14:paraId="1E5F3EBF" w14:textId="77777777" w:rsidTr="00A004E1">
        <w:tc>
          <w:tcPr>
            <w:tcW w:w="1561" w:type="dxa"/>
            <w:vMerge/>
            <w:shd w:val="clear" w:color="auto" w:fill="B8CCE4" w:themeFill="accent1" w:themeFillTint="66"/>
          </w:tcPr>
          <w:p w14:paraId="3AE114A5" w14:textId="77777777" w:rsidR="00C03610" w:rsidRPr="00424579" w:rsidRDefault="00C03610" w:rsidP="00D20A1E">
            <w:pPr>
              <w:keepNext/>
              <w:keepLines/>
              <w:widowControl/>
              <w:spacing w:before="40" w:after="40"/>
              <w:rPr>
                <w:b/>
              </w:rPr>
            </w:pPr>
          </w:p>
        </w:tc>
        <w:tc>
          <w:tcPr>
            <w:tcW w:w="2606" w:type="dxa"/>
            <w:vMerge/>
            <w:shd w:val="clear" w:color="auto" w:fill="B8CCE4" w:themeFill="accent1" w:themeFillTint="66"/>
          </w:tcPr>
          <w:p w14:paraId="67E1E27E" w14:textId="77777777" w:rsidR="00C03610" w:rsidRPr="00424579" w:rsidRDefault="00C03610" w:rsidP="00D20A1E">
            <w:pPr>
              <w:keepNext/>
              <w:keepLines/>
              <w:widowControl/>
              <w:spacing w:before="40" w:after="40"/>
              <w:rPr>
                <w:b/>
              </w:rPr>
            </w:pPr>
          </w:p>
        </w:tc>
        <w:tc>
          <w:tcPr>
            <w:tcW w:w="1611" w:type="dxa"/>
            <w:shd w:val="clear" w:color="auto" w:fill="B8CCE4" w:themeFill="accent1" w:themeFillTint="66"/>
          </w:tcPr>
          <w:p w14:paraId="5FBAF2D5" w14:textId="77777777" w:rsidR="00C03610" w:rsidRPr="00424579" w:rsidRDefault="00C03610" w:rsidP="00D20A1E">
            <w:pPr>
              <w:keepNext/>
              <w:keepLines/>
              <w:widowControl/>
              <w:spacing w:before="40" w:after="40"/>
              <w:jc w:val="center"/>
              <w:rPr>
                <w:b/>
              </w:rPr>
            </w:pPr>
            <w:r w:rsidRPr="00424579">
              <w:rPr>
                <w:b/>
              </w:rPr>
              <w:t>Number of occurrences in the data</w:t>
            </w:r>
            <w:r w:rsidRPr="006E68E8">
              <w:rPr>
                <w:b/>
                <w:vertAlign w:val="superscript"/>
              </w:rPr>
              <w:sym w:font="Wingdings 2" w:char="F0E7"/>
            </w:r>
          </w:p>
        </w:tc>
        <w:tc>
          <w:tcPr>
            <w:tcW w:w="1701" w:type="dxa"/>
            <w:shd w:val="clear" w:color="auto" w:fill="B8CCE4" w:themeFill="accent1" w:themeFillTint="66"/>
          </w:tcPr>
          <w:p w14:paraId="2202C746" w14:textId="77777777" w:rsidR="00C03610" w:rsidRPr="00424579" w:rsidRDefault="00C03610" w:rsidP="00D20A1E">
            <w:pPr>
              <w:keepNext/>
              <w:keepLines/>
              <w:widowControl/>
              <w:spacing w:before="40" w:after="40"/>
              <w:jc w:val="center"/>
              <w:rPr>
                <w:b/>
              </w:rPr>
            </w:pPr>
            <w:r w:rsidRPr="00424579">
              <w:rPr>
                <w:b/>
              </w:rPr>
              <w:t>Proportion</w:t>
            </w:r>
            <w:r>
              <w:rPr>
                <w:b/>
              </w:rPr>
              <w:t xml:space="preserve"> (%)</w:t>
            </w:r>
            <w:r w:rsidRPr="006E68E8">
              <w:rPr>
                <w:b/>
                <w:vertAlign w:val="superscript"/>
              </w:rPr>
              <w:sym w:font="Wingdings 2" w:char="F0E7"/>
            </w:r>
          </w:p>
        </w:tc>
        <w:tc>
          <w:tcPr>
            <w:tcW w:w="1763" w:type="dxa"/>
            <w:shd w:val="clear" w:color="auto" w:fill="B8CCE4" w:themeFill="accent1" w:themeFillTint="66"/>
          </w:tcPr>
          <w:p w14:paraId="5FA37F80" w14:textId="77777777" w:rsidR="00C03610" w:rsidRPr="00424579" w:rsidRDefault="00C03610" w:rsidP="00D20A1E">
            <w:pPr>
              <w:keepNext/>
              <w:keepLines/>
              <w:widowControl/>
              <w:spacing w:before="40" w:after="40"/>
              <w:jc w:val="center"/>
              <w:rPr>
                <w:b/>
              </w:rPr>
            </w:pPr>
            <w:r w:rsidRPr="00424579">
              <w:rPr>
                <w:b/>
              </w:rPr>
              <w:t>Proportion</w:t>
            </w:r>
            <w:r>
              <w:rPr>
                <w:b/>
              </w:rPr>
              <w:t xml:space="preserve"> (%)</w:t>
            </w:r>
            <w:r w:rsidRPr="006E68E8">
              <w:rPr>
                <w:b/>
                <w:vertAlign w:val="superscript"/>
              </w:rPr>
              <w:sym w:font="Wingdings 2" w:char="F0E7"/>
            </w:r>
          </w:p>
        </w:tc>
      </w:tr>
      <w:tr w:rsidR="00C03610" w14:paraId="54865BBF" w14:textId="77777777" w:rsidTr="00A004E1">
        <w:tc>
          <w:tcPr>
            <w:tcW w:w="1561" w:type="dxa"/>
          </w:tcPr>
          <w:p w14:paraId="46F6F8C8" w14:textId="77777777" w:rsidR="00C03610" w:rsidRDefault="00C03610" w:rsidP="00D20A1E">
            <w:pPr>
              <w:keepNext/>
              <w:keepLines/>
              <w:widowControl/>
              <w:spacing w:before="40" w:after="40"/>
            </w:pPr>
            <w:r>
              <w:t>0</w:t>
            </w:r>
          </w:p>
        </w:tc>
        <w:tc>
          <w:tcPr>
            <w:tcW w:w="2606" w:type="dxa"/>
          </w:tcPr>
          <w:p w14:paraId="0BB2F0DE" w14:textId="77777777" w:rsidR="00C03610" w:rsidRDefault="00C03610" w:rsidP="00D20A1E">
            <w:pPr>
              <w:keepNext/>
              <w:keepLines/>
              <w:widowControl/>
              <w:spacing w:before="40" w:after="40"/>
            </w:pPr>
            <w:r>
              <w:t>Food consumed on its own, no combination</w:t>
            </w:r>
          </w:p>
        </w:tc>
        <w:tc>
          <w:tcPr>
            <w:tcW w:w="1611" w:type="dxa"/>
          </w:tcPr>
          <w:p w14:paraId="6ACF30D0" w14:textId="77777777" w:rsidR="00C03610" w:rsidRDefault="00C03610" w:rsidP="00D20A1E">
            <w:pPr>
              <w:keepNext/>
              <w:keepLines/>
              <w:widowControl/>
              <w:tabs>
                <w:tab w:val="decimal" w:pos="936"/>
              </w:tabs>
              <w:spacing w:before="40" w:after="40"/>
            </w:pPr>
            <w:r>
              <w:t>23</w:t>
            </w:r>
          </w:p>
        </w:tc>
        <w:tc>
          <w:tcPr>
            <w:tcW w:w="1701" w:type="dxa"/>
          </w:tcPr>
          <w:p w14:paraId="2990964C" w14:textId="77777777" w:rsidR="00C03610" w:rsidRDefault="00C03610" w:rsidP="00D20A1E">
            <w:pPr>
              <w:keepNext/>
              <w:keepLines/>
              <w:widowControl/>
              <w:tabs>
                <w:tab w:val="decimal" w:pos="974"/>
              </w:tabs>
              <w:spacing w:before="40" w:after="40"/>
            </w:pPr>
            <w:r>
              <w:t>16</w:t>
            </w:r>
          </w:p>
        </w:tc>
        <w:tc>
          <w:tcPr>
            <w:tcW w:w="1763" w:type="dxa"/>
          </w:tcPr>
          <w:p w14:paraId="2AE2A951" w14:textId="77777777" w:rsidR="00C03610" w:rsidRDefault="00C03610" w:rsidP="00D20A1E">
            <w:pPr>
              <w:keepNext/>
              <w:keepLines/>
              <w:widowControl/>
              <w:tabs>
                <w:tab w:val="decimal" w:pos="974"/>
              </w:tabs>
              <w:spacing w:before="40" w:after="40"/>
            </w:pPr>
            <w:r>
              <w:t>13</w:t>
            </w:r>
          </w:p>
        </w:tc>
      </w:tr>
      <w:tr w:rsidR="00C03610" w14:paraId="06109374" w14:textId="77777777" w:rsidTr="00A004E1">
        <w:tc>
          <w:tcPr>
            <w:tcW w:w="1561" w:type="dxa"/>
          </w:tcPr>
          <w:p w14:paraId="417A87A0" w14:textId="77777777" w:rsidR="00C03610" w:rsidRDefault="00C03610" w:rsidP="00D20A1E">
            <w:pPr>
              <w:keepNext/>
              <w:keepLines/>
              <w:widowControl/>
              <w:spacing w:before="40" w:after="40"/>
            </w:pPr>
            <w:r>
              <w:t>1</w:t>
            </w:r>
          </w:p>
        </w:tc>
        <w:tc>
          <w:tcPr>
            <w:tcW w:w="2606" w:type="dxa"/>
          </w:tcPr>
          <w:p w14:paraId="14B1EBC8" w14:textId="77777777" w:rsidR="00C03610" w:rsidRDefault="00C03610" w:rsidP="00D20A1E">
            <w:pPr>
              <w:keepNext/>
              <w:keepLines/>
              <w:widowControl/>
              <w:spacing w:before="40" w:after="40"/>
            </w:pPr>
            <w:r>
              <w:t>Beverage with additions (e.g. coffee, tea)</w:t>
            </w:r>
          </w:p>
        </w:tc>
        <w:tc>
          <w:tcPr>
            <w:tcW w:w="1611" w:type="dxa"/>
          </w:tcPr>
          <w:p w14:paraId="08AF054B" w14:textId="77777777" w:rsidR="00C03610" w:rsidRDefault="00C03610" w:rsidP="00D20A1E">
            <w:pPr>
              <w:keepNext/>
              <w:keepLines/>
              <w:widowControl/>
              <w:tabs>
                <w:tab w:val="decimal" w:pos="936"/>
              </w:tabs>
              <w:spacing w:before="40" w:after="40"/>
            </w:pPr>
            <w:r>
              <w:t>52</w:t>
            </w:r>
          </w:p>
        </w:tc>
        <w:tc>
          <w:tcPr>
            <w:tcW w:w="1701" w:type="dxa"/>
          </w:tcPr>
          <w:p w14:paraId="3D6AB31C" w14:textId="77777777" w:rsidR="00C03610" w:rsidRDefault="00C03610" w:rsidP="00D20A1E">
            <w:pPr>
              <w:keepNext/>
              <w:keepLines/>
              <w:widowControl/>
              <w:tabs>
                <w:tab w:val="decimal" w:pos="974"/>
              </w:tabs>
              <w:spacing w:before="40" w:after="40"/>
            </w:pPr>
            <w:r>
              <w:t>35</w:t>
            </w:r>
          </w:p>
        </w:tc>
        <w:tc>
          <w:tcPr>
            <w:tcW w:w="1763" w:type="dxa"/>
          </w:tcPr>
          <w:p w14:paraId="41662119" w14:textId="77777777" w:rsidR="00C03610" w:rsidRDefault="00C03610" w:rsidP="00D20A1E">
            <w:pPr>
              <w:keepNext/>
              <w:keepLines/>
              <w:widowControl/>
              <w:tabs>
                <w:tab w:val="decimal" w:pos="974"/>
              </w:tabs>
              <w:spacing w:before="40" w:after="40"/>
            </w:pPr>
            <w:r>
              <w:t>60</w:t>
            </w:r>
          </w:p>
        </w:tc>
      </w:tr>
      <w:tr w:rsidR="00C03610" w14:paraId="5330A732" w14:textId="77777777" w:rsidTr="00A004E1">
        <w:tc>
          <w:tcPr>
            <w:tcW w:w="1561" w:type="dxa"/>
          </w:tcPr>
          <w:p w14:paraId="44F574AD" w14:textId="77777777" w:rsidR="00C03610" w:rsidRDefault="00C03610" w:rsidP="00D20A1E">
            <w:pPr>
              <w:keepNext/>
              <w:keepLines/>
              <w:widowControl/>
              <w:spacing w:before="40" w:after="40"/>
            </w:pPr>
            <w:r>
              <w:t>2</w:t>
            </w:r>
          </w:p>
        </w:tc>
        <w:tc>
          <w:tcPr>
            <w:tcW w:w="2606" w:type="dxa"/>
          </w:tcPr>
          <w:p w14:paraId="1789D8C8" w14:textId="77777777" w:rsidR="00C03610" w:rsidRDefault="00C03610" w:rsidP="00D20A1E">
            <w:pPr>
              <w:keepNext/>
              <w:keepLines/>
              <w:widowControl/>
              <w:spacing w:before="40" w:after="40"/>
            </w:pPr>
            <w:r>
              <w:t>Cereal with additions</w:t>
            </w:r>
          </w:p>
        </w:tc>
        <w:tc>
          <w:tcPr>
            <w:tcW w:w="1611" w:type="dxa"/>
          </w:tcPr>
          <w:p w14:paraId="1E4E3285" w14:textId="77777777" w:rsidR="00C03610" w:rsidRDefault="00C03610" w:rsidP="00D20A1E">
            <w:pPr>
              <w:keepNext/>
              <w:keepLines/>
              <w:widowControl/>
              <w:tabs>
                <w:tab w:val="decimal" w:pos="936"/>
              </w:tabs>
              <w:spacing w:before="40" w:after="40"/>
            </w:pPr>
            <w:r>
              <w:t>71</w:t>
            </w:r>
          </w:p>
        </w:tc>
        <w:tc>
          <w:tcPr>
            <w:tcW w:w="1701" w:type="dxa"/>
          </w:tcPr>
          <w:p w14:paraId="38F4E532" w14:textId="77777777" w:rsidR="00C03610" w:rsidRDefault="00C03610" w:rsidP="00D20A1E">
            <w:pPr>
              <w:keepNext/>
              <w:keepLines/>
              <w:widowControl/>
              <w:tabs>
                <w:tab w:val="decimal" w:pos="974"/>
              </w:tabs>
              <w:spacing w:before="40" w:after="40"/>
            </w:pPr>
            <w:r>
              <w:t>48</w:t>
            </w:r>
          </w:p>
        </w:tc>
        <w:tc>
          <w:tcPr>
            <w:tcW w:w="1763" w:type="dxa"/>
          </w:tcPr>
          <w:p w14:paraId="26097094" w14:textId="77777777" w:rsidR="00C03610" w:rsidRDefault="00C03610" w:rsidP="00D20A1E">
            <w:pPr>
              <w:keepNext/>
              <w:keepLines/>
              <w:widowControl/>
              <w:tabs>
                <w:tab w:val="decimal" w:pos="974"/>
              </w:tabs>
              <w:spacing w:before="40" w:after="40"/>
            </w:pPr>
            <w:r>
              <w:t>24</w:t>
            </w:r>
          </w:p>
        </w:tc>
      </w:tr>
      <w:tr w:rsidR="00C03610" w14:paraId="7D89848E" w14:textId="77777777" w:rsidTr="00A004E1">
        <w:tc>
          <w:tcPr>
            <w:tcW w:w="1561" w:type="dxa"/>
          </w:tcPr>
          <w:p w14:paraId="0C8B034E" w14:textId="77777777" w:rsidR="00C03610" w:rsidRDefault="00C03610" w:rsidP="00D20A1E">
            <w:pPr>
              <w:keepNext/>
              <w:keepLines/>
              <w:widowControl/>
              <w:spacing w:before="40" w:after="40"/>
            </w:pPr>
            <w:r>
              <w:t>Various</w:t>
            </w:r>
          </w:p>
        </w:tc>
        <w:tc>
          <w:tcPr>
            <w:tcW w:w="2606" w:type="dxa"/>
          </w:tcPr>
          <w:p w14:paraId="4C0A8E84" w14:textId="77777777" w:rsidR="00C03610" w:rsidRDefault="00C03610" w:rsidP="00D20A1E">
            <w:pPr>
              <w:keepNext/>
              <w:keepLines/>
              <w:widowControl/>
              <w:spacing w:before="40" w:after="40"/>
            </w:pPr>
            <w:r>
              <w:t>Other</w:t>
            </w:r>
          </w:p>
        </w:tc>
        <w:tc>
          <w:tcPr>
            <w:tcW w:w="1611" w:type="dxa"/>
          </w:tcPr>
          <w:p w14:paraId="4C0A4D39" w14:textId="77777777" w:rsidR="00C03610" w:rsidRDefault="00C03610" w:rsidP="00D20A1E">
            <w:pPr>
              <w:keepNext/>
              <w:keepLines/>
              <w:widowControl/>
              <w:tabs>
                <w:tab w:val="decimal" w:pos="936"/>
              </w:tabs>
              <w:spacing w:before="40" w:after="40"/>
            </w:pPr>
            <w:r>
              <w:t>2</w:t>
            </w:r>
            <w:r w:rsidRPr="006E68E8">
              <w:rPr>
                <w:vertAlign w:val="superscript"/>
              </w:rPr>
              <w:sym w:font="Wingdings 2" w:char="F0E7"/>
            </w:r>
            <w:r w:rsidRPr="006E68E8">
              <w:rPr>
                <w:vertAlign w:val="superscript"/>
              </w:rPr>
              <w:sym w:font="Wingdings 2" w:char="F0E7"/>
            </w:r>
          </w:p>
        </w:tc>
        <w:tc>
          <w:tcPr>
            <w:tcW w:w="1701" w:type="dxa"/>
          </w:tcPr>
          <w:p w14:paraId="4241536E" w14:textId="77777777" w:rsidR="00C03610" w:rsidRDefault="00C03610" w:rsidP="00D20A1E">
            <w:pPr>
              <w:keepNext/>
              <w:keepLines/>
              <w:widowControl/>
              <w:tabs>
                <w:tab w:val="decimal" w:pos="974"/>
              </w:tabs>
              <w:spacing w:before="40" w:after="40"/>
            </w:pPr>
            <w:r>
              <w:t>1</w:t>
            </w:r>
          </w:p>
        </w:tc>
        <w:tc>
          <w:tcPr>
            <w:tcW w:w="1763" w:type="dxa"/>
          </w:tcPr>
          <w:p w14:paraId="5F2A86FD" w14:textId="77777777" w:rsidR="00C03610" w:rsidRDefault="00C03610" w:rsidP="00D20A1E">
            <w:pPr>
              <w:keepNext/>
              <w:keepLines/>
              <w:widowControl/>
              <w:tabs>
                <w:tab w:val="decimal" w:pos="974"/>
              </w:tabs>
              <w:spacing w:before="40" w:after="40"/>
            </w:pPr>
            <w:r>
              <w:t>3</w:t>
            </w:r>
          </w:p>
        </w:tc>
      </w:tr>
      <w:tr w:rsidR="00C03610" w:rsidRPr="0073640D" w14:paraId="67646222" w14:textId="77777777" w:rsidTr="00A004E1">
        <w:tc>
          <w:tcPr>
            <w:tcW w:w="1561" w:type="dxa"/>
          </w:tcPr>
          <w:p w14:paraId="1FAF23F7" w14:textId="77777777" w:rsidR="00C03610" w:rsidRPr="0073640D" w:rsidRDefault="00C03610" w:rsidP="00D20A1E">
            <w:pPr>
              <w:keepNext/>
              <w:keepLines/>
              <w:widowControl/>
              <w:spacing w:before="40" w:after="40"/>
              <w:rPr>
                <w:b/>
              </w:rPr>
            </w:pPr>
            <w:r w:rsidRPr="0073640D">
              <w:rPr>
                <w:b/>
              </w:rPr>
              <w:t>Total</w:t>
            </w:r>
          </w:p>
        </w:tc>
        <w:tc>
          <w:tcPr>
            <w:tcW w:w="2606" w:type="dxa"/>
          </w:tcPr>
          <w:p w14:paraId="1D036F42" w14:textId="77777777" w:rsidR="00C03610" w:rsidRPr="0073640D" w:rsidRDefault="00C03610" w:rsidP="00D20A1E">
            <w:pPr>
              <w:keepNext/>
              <w:keepLines/>
              <w:widowControl/>
              <w:spacing w:before="40" w:after="40"/>
              <w:rPr>
                <w:b/>
              </w:rPr>
            </w:pPr>
          </w:p>
        </w:tc>
        <w:tc>
          <w:tcPr>
            <w:tcW w:w="1611" w:type="dxa"/>
          </w:tcPr>
          <w:p w14:paraId="27CFF71E" w14:textId="77777777" w:rsidR="00C03610" w:rsidRPr="0073640D" w:rsidRDefault="00C03610" w:rsidP="00D20A1E">
            <w:pPr>
              <w:keepNext/>
              <w:keepLines/>
              <w:widowControl/>
              <w:tabs>
                <w:tab w:val="decimal" w:pos="936"/>
              </w:tabs>
              <w:spacing w:before="40" w:after="40"/>
              <w:rPr>
                <w:b/>
              </w:rPr>
            </w:pPr>
            <w:r w:rsidRPr="0073640D">
              <w:rPr>
                <w:b/>
              </w:rPr>
              <w:t>1</w:t>
            </w:r>
            <w:r>
              <w:rPr>
                <w:b/>
              </w:rPr>
              <w:t>48</w:t>
            </w:r>
          </w:p>
        </w:tc>
        <w:tc>
          <w:tcPr>
            <w:tcW w:w="1701" w:type="dxa"/>
          </w:tcPr>
          <w:p w14:paraId="7047FFF4" w14:textId="77777777" w:rsidR="00C03610" w:rsidRPr="0073640D" w:rsidRDefault="00C03610" w:rsidP="00D20A1E">
            <w:pPr>
              <w:keepNext/>
              <w:keepLines/>
              <w:widowControl/>
              <w:tabs>
                <w:tab w:val="decimal" w:pos="974"/>
              </w:tabs>
              <w:spacing w:before="40" w:after="40"/>
              <w:rPr>
                <w:b/>
              </w:rPr>
            </w:pPr>
            <w:r w:rsidRPr="0073640D">
              <w:rPr>
                <w:b/>
              </w:rPr>
              <w:t>100</w:t>
            </w:r>
          </w:p>
        </w:tc>
        <w:tc>
          <w:tcPr>
            <w:tcW w:w="1763" w:type="dxa"/>
          </w:tcPr>
          <w:p w14:paraId="15332D7A" w14:textId="77777777" w:rsidR="00C03610" w:rsidRPr="0073640D" w:rsidRDefault="00C03610" w:rsidP="00D20A1E">
            <w:pPr>
              <w:keepNext/>
              <w:keepLines/>
              <w:widowControl/>
              <w:tabs>
                <w:tab w:val="decimal" w:pos="974"/>
              </w:tabs>
              <w:spacing w:before="40" w:after="40"/>
              <w:rPr>
                <w:b/>
              </w:rPr>
            </w:pPr>
            <w:r>
              <w:rPr>
                <w:b/>
              </w:rPr>
              <w:t>100</w:t>
            </w:r>
          </w:p>
        </w:tc>
      </w:tr>
    </w:tbl>
    <w:p w14:paraId="111590C4" w14:textId="77777777" w:rsidR="00C03610" w:rsidRPr="00DF2CD3" w:rsidRDefault="00C03610" w:rsidP="00D20A1E">
      <w:pPr>
        <w:keepNext/>
        <w:keepLines/>
        <w:widowControl/>
        <w:rPr>
          <w:sz w:val="18"/>
        </w:rPr>
      </w:pPr>
      <w:r w:rsidRPr="006E68E8">
        <w:rPr>
          <w:vertAlign w:val="superscript"/>
        </w:rPr>
        <w:sym w:font="Wingdings 2" w:char="F0E7"/>
      </w:r>
      <w:r w:rsidRPr="00DF2CD3">
        <w:rPr>
          <w:sz w:val="18"/>
        </w:rPr>
        <w:t xml:space="preserve"> Day 1 and day 2</w:t>
      </w:r>
    </w:p>
    <w:p w14:paraId="035F5D96" w14:textId="77777777" w:rsidR="00C03610" w:rsidRDefault="00C03610" w:rsidP="00D20A1E">
      <w:pPr>
        <w:keepNext/>
        <w:keepLines/>
        <w:widowControl/>
        <w:rPr>
          <w:sz w:val="18"/>
        </w:rPr>
      </w:pPr>
      <w:r w:rsidRPr="006E68E8">
        <w:rPr>
          <w:vertAlign w:val="superscript"/>
        </w:rPr>
        <w:sym w:font="Wingdings 2" w:char="F0E7"/>
      </w:r>
      <w:r w:rsidRPr="006E68E8">
        <w:rPr>
          <w:vertAlign w:val="superscript"/>
        </w:rPr>
        <w:sym w:font="Wingdings 2" w:char="F0E7"/>
      </w:r>
      <w:r w:rsidRPr="00DF2CD3">
        <w:rPr>
          <w:sz w:val="18"/>
        </w:rPr>
        <w:t xml:space="preserve"> Other mixtures - one for mixed dish (scrambled egg); one for millet porridge</w:t>
      </w:r>
    </w:p>
    <w:p w14:paraId="7B67EF72" w14:textId="04332283" w:rsidR="004E6FAB" w:rsidRDefault="00AF4FCB" w:rsidP="00D20A1E">
      <w:pPr>
        <w:pStyle w:val="Heading1"/>
        <w:widowControl/>
      </w:pPr>
      <w:bookmarkStart w:id="55" w:name="_Ref426443057"/>
      <w:bookmarkStart w:id="56" w:name="_Ref426443070"/>
      <w:bookmarkStart w:id="57" w:name="_Toc427672160"/>
      <w:bookmarkStart w:id="58" w:name="_Toc427678226"/>
      <w:r>
        <w:t>4</w:t>
      </w:r>
      <w:r>
        <w:tab/>
      </w:r>
      <w:r w:rsidR="004E6FAB">
        <w:t>Consumer perceptions of nut-and seed-based beverages</w:t>
      </w:r>
      <w:bookmarkEnd w:id="55"/>
      <w:bookmarkEnd w:id="56"/>
      <w:bookmarkEnd w:id="57"/>
      <w:bookmarkEnd w:id="58"/>
    </w:p>
    <w:p w14:paraId="5D59EBD6" w14:textId="6517F09C" w:rsidR="004E6FAB" w:rsidRDefault="00AF4FCB" w:rsidP="00D20A1E">
      <w:pPr>
        <w:pStyle w:val="Heading2"/>
      </w:pPr>
      <w:bookmarkStart w:id="59" w:name="_Toc427672161"/>
      <w:bookmarkStart w:id="60" w:name="_Toc427678227"/>
      <w:r>
        <w:t>4.1</w:t>
      </w:r>
      <w:r>
        <w:tab/>
      </w:r>
      <w:r w:rsidR="004E6FAB">
        <w:t>Literature search overview</w:t>
      </w:r>
      <w:bookmarkEnd w:id="59"/>
      <w:bookmarkEnd w:id="60"/>
    </w:p>
    <w:p w14:paraId="3209E08B" w14:textId="77777777" w:rsidR="005076F8" w:rsidRDefault="004E6FAB" w:rsidP="00D20A1E">
      <w:pPr>
        <w:widowControl/>
        <w:rPr>
          <w:lang w:eastAsia="en-AU"/>
        </w:rPr>
      </w:pPr>
      <w:r>
        <w:t xml:space="preserve">Using FSANZ subscriptions to EBSCO databases, five searches were conducted to locate research into consumer understanding of nut- and seed-based beverages. No consumer-related literature was identified where the terms ‘nut milk’, ‘seed milk’, or ‘almond milk’ were used. The searches relating to milk analogue/substitute/alternative located research relating to soy-based beverage only (i.e. soy ‘milk’). The </w:t>
      </w:r>
      <w:r>
        <w:rPr>
          <w:lang w:eastAsia="en-AU"/>
        </w:rPr>
        <w:t xml:space="preserve">IBISWorld Industry Report OD5256 </w:t>
      </w:r>
      <w:r w:rsidRPr="009E19B4">
        <w:rPr>
          <w:i/>
          <w:lang w:eastAsia="en-AU"/>
        </w:rPr>
        <w:t>Soy and Almond Milk Production in Australia</w:t>
      </w:r>
      <w:r>
        <w:rPr>
          <w:lang w:eastAsia="en-AU"/>
        </w:rPr>
        <w:t xml:space="preserve">, dated June 2014, was examined for content relating to consumer attitudes towards nut- and seed-based beverages. No relevant content was found. </w:t>
      </w:r>
      <w:r w:rsidR="005076F8">
        <w:rPr>
          <w:lang w:eastAsia="en-AU"/>
        </w:rPr>
        <w:br w:type="page"/>
      </w:r>
    </w:p>
    <w:p w14:paraId="5DB96182" w14:textId="066028CC" w:rsidR="004E6FAB" w:rsidRPr="00A33276" w:rsidRDefault="004E6FAB" w:rsidP="00D20A1E">
      <w:pPr>
        <w:widowControl/>
      </w:pPr>
      <w:r>
        <w:rPr>
          <w:lang w:eastAsia="en-AU"/>
        </w:rPr>
        <w:lastRenderedPageBreak/>
        <w:t xml:space="preserve">Mintel were contacted about their report </w:t>
      </w:r>
      <w:r w:rsidRPr="009E19B4">
        <w:rPr>
          <w:i/>
          <w:lang w:eastAsia="en-AU"/>
        </w:rPr>
        <w:t>Dairy Drinks, Milk and Cream – UK – 2014</w:t>
      </w:r>
      <w:r>
        <w:rPr>
          <w:lang w:eastAsia="en-AU"/>
        </w:rPr>
        <w:t>, however this report also did not contain information suitable for assessing consumer attitudes toward nut- and seed-based beverages.</w:t>
      </w:r>
    </w:p>
    <w:p w14:paraId="2BDEA03B" w14:textId="68BB71FB" w:rsidR="004E6FAB" w:rsidRDefault="00AF4FCB" w:rsidP="00D20A1E">
      <w:pPr>
        <w:pStyle w:val="Heading2"/>
      </w:pPr>
      <w:bookmarkStart w:id="61" w:name="_Toc427672162"/>
      <w:bookmarkStart w:id="62" w:name="_Toc427678228"/>
      <w:r>
        <w:t>4.2</w:t>
      </w:r>
      <w:r>
        <w:tab/>
      </w:r>
      <w:r w:rsidR="004E6FAB">
        <w:t>What are consumer perceptions around nut- and seed-based beverages?</w:t>
      </w:r>
      <w:bookmarkEnd w:id="61"/>
      <w:bookmarkEnd w:id="62"/>
    </w:p>
    <w:p w14:paraId="16B5AF68" w14:textId="0E94A7C1" w:rsidR="004E6FAB" w:rsidRDefault="004E6FAB" w:rsidP="00D20A1E">
      <w:pPr>
        <w:widowControl/>
      </w:pPr>
      <w:r>
        <w:t xml:space="preserve">The literature search did not locate research into general consumer perceptions around nut- and seed-based beverages or whether they were viewed as milk substitutes. It is assumed that consumer perceptions of nut- and seed-based beverages will be similar to consumer perceptions of soy-based beverages, which are also a plant-based milk substitute. This is supported to a certain extent by information on how nut-based beverages were consumed in the 2011-12 NNPAS (refer </w:t>
      </w:r>
      <w:r w:rsidRPr="004E6FAB">
        <w:t xml:space="preserve">to Sections </w:t>
      </w:r>
      <w:r w:rsidRPr="004E6FAB">
        <w:fldChar w:fldCharType="begin"/>
      </w:r>
      <w:r w:rsidRPr="004E6FAB">
        <w:instrText xml:space="preserve"> REF _Ref422210114 \r \h </w:instrText>
      </w:r>
      <w:r>
        <w:instrText xml:space="preserve"> \* MERGEFORMAT </w:instrText>
      </w:r>
      <w:r w:rsidRPr="004E6FAB">
        <w:fldChar w:fldCharType="separate"/>
      </w:r>
      <w:r w:rsidR="00047581">
        <w:t>3.2</w:t>
      </w:r>
      <w:r w:rsidRPr="004E6FAB">
        <w:fldChar w:fldCharType="end"/>
      </w:r>
      <w:r w:rsidRPr="004E6FAB">
        <w:t xml:space="preserve"> and</w:t>
      </w:r>
      <w:r>
        <w:t xml:space="preserve"> </w:t>
      </w:r>
      <w:r w:rsidRPr="004E6FAB">
        <w:fldChar w:fldCharType="begin"/>
      </w:r>
      <w:r w:rsidRPr="004E6FAB">
        <w:instrText xml:space="preserve"> REF _Ref421003676 \r \h </w:instrText>
      </w:r>
      <w:r>
        <w:instrText xml:space="preserve"> \* MERGEFORMAT </w:instrText>
      </w:r>
      <w:r w:rsidRPr="004E6FAB">
        <w:fldChar w:fldCharType="separate"/>
      </w:r>
      <w:r w:rsidR="00047581">
        <w:t>3.3</w:t>
      </w:r>
      <w:r w:rsidRPr="004E6FAB">
        <w:fldChar w:fldCharType="end"/>
      </w:r>
      <w:r w:rsidRPr="004E6FAB">
        <w:t>).</w:t>
      </w:r>
    </w:p>
    <w:p w14:paraId="5316F68E" w14:textId="77777777" w:rsidR="004E6FAB" w:rsidRDefault="004E6FAB" w:rsidP="00D20A1E">
      <w:pPr>
        <w:widowControl/>
      </w:pPr>
    </w:p>
    <w:p w14:paraId="32FD9442" w14:textId="77777777" w:rsidR="004E6FAB" w:rsidRDefault="004E6FAB" w:rsidP="00D20A1E">
      <w:pPr>
        <w:widowControl/>
      </w:pPr>
      <w:r>
        <w:t>If this assumption is true, then familiarity with the nut- and seed-based beverages may not influence consumer understanding of the beverages as the following study suggests. A 2002 study of shoppers purposively sampled from a high socio-economic area (HSEA) and a low socio-economic area (LSEA) of Cape Town, South Africa, found that the HSEA consumers were significantly more likely to correctly answer questions testing basic knowledge of soy milk</w:t>
      </w:r>
      <w:r>
        <w:rPr>
          <w:rStyle w:val="FootnoteReference"/>
        </w:rPr>
        <w:footnoteReference w:id="5"/>
      </w:r>
      <w:r>
        <w:t xml:space="preserve"> </w:t>
      </w:r>
      <w:r w:rsidRPr="00AA10D8">
        <w:fldChar w:fldCharType="begin" w:fldLock="1"/>
      </w:r>
      <w:r w:rsidRPr="00AA10D8">
        <w:instrText>ADDIN CSL_CITATION { "citationItems" : [ { "id" : "ITEM-1", "itemData" : { "abstract" : "The aim of this study was to determine the knowledge and acceptability of soymilk (defined as consumption pattern/ usage and taste) by adult consumers, residing in different socio-economic areas (low vs. high) in Cape Town. The study population of 214 participants were selected using convenience sampling. A questionnaire was developed in order to obtain demographic data (four items); basic general knowledge of soymilk (four items); and acceptability of the tested products (consumption patterns and taste) (eight items). There was a significant difference between the two groups (P = 0.000) regarding basic knowledge of soymilk, with significantly more in the high socio-economic area (HSEA) having a score of at least 75%. Gender (P = 0.082) and age (P = 0.122) did not have a significant impact on the consumption patterns of soymilk. There was no significant difference between the two groups with respect to current usage (P = 0.228) and frequency of use (P = 0.213) of soymilk. However, a significantly smaller group (P = 0.000) of participants in the low socio-economic area had previously tasted soymilk compared with those in the HSEA (16.7% vs. 41.5%; P = 0.000). In conclusion, socio-economic status appeared to be associated with knowledge of soymilk. No significant differences with regard to gender, age or current usage in the two groups studied were noted. (PsycINFO Database Record (c) 2010 APA, all rights reserved) (journal abstract).", "author" : [ { "dropping-particle" : "", "family" : "Hinze", "given" : "Astrid", "non-dropping-particle" : "", "parse-names" : false, "suffix" : "" }, { "dropping-particle" : "", "family" : "Karg", "given" : "Cheryl", "non-dropping-particle" : "", "parse-names" : false, "suffix" : "" }, { "dropping-particle" : "Van", "family" : "Zyl", "given" : "Maryke", "non-dropping-particle" : "", "parse-names" : false, "suffix" : "" }, { "dropping-particle" : "", "family" : "Mohamed", "given" : "Nazreen", "non-dropping-particle" : "", "parse-names" : false, "suffix" : "" }, { "dropping-particle" : "", "family" : "Steyn", "given" : "Nelia P", "non-dropping-particle" : "", "parse-names" : false, "suffix" : "" } ], "container-title" : "International Journal of Consumer Studies", "id" : "ITEM-1", "issue" : "1", "issued" : { "date-parts" : [ [ "2005" ] ] }, "page" : "40-48", "title" : "The acceptability of different types of soymilks available in Cape Town in consumers from high and low socio-economic areas", "type" : "article-journal", "volume" : "28" }, "uris" : [ "http://www.mendeley.com/documents/?uuid=6fe5f879-6368-47f0-84be-16c9e78e1239" ] } ], "mendeley" : { "formattedCitation" : "(Hinze et al. 2005)", "plainTextFormattedCitation" : "(Hinze et al. 2005)" }, "properties" : { "noteIndex" : 0 }, "schema" : "https://github.com/citation-style-language/schema/raw/master/csl-citation.json" }</w:instrText>
      </w:r>
      <w:r w:rsidRPr="00AA10D8">
        <w:fldChar w:fldCharType="separate"/>
      </w:r>
      <w:r w:rsidRPr="00AA10D8">
        <w:rPr>
          <w:noProof/>
        </w:rPr>
        <w:t>(Hinze et al. 2005)</w:t>
      </w:r>
      <w:r w:rsidRPr="00AA10D8">
        <w:fldChar w:fldCharType="end"/>
      </w:r>
      <w:r w:rsidRPr="00AA10D8">
        <w:t>. While significantly more HSEA consumers had ever tasted soy milk</w:t>
      </w:r>
      <w:r>
        <w:t xml:space="preserve"> compared to LSEA consumers (42% and 17%, respectively), there was no significant difference in the proportions who reported current use of soy milk with relatively few of either group consuming this product.</w:t>
      </w:r>
    </w:p>
    <w:p w14:paraId="44AEE584" w14:textId="56B9F714" w:rsidR="00A16296" w:rsidRDefault="00AF4FCB" w:rsidP="00D20A1E">
      <w:pPr>
        <w:pStyle w:val="Heading1"/>
        <w:widowControl/>
      </w:pPr>
      <w:bookmarkStart w:id="63" w:name="_Toc427672163"/>
      <w:bookmarkStart w:id="64" w:name="_Toc427678229"/>
      <w:r>
        <w:t>5</w:t>
      </w:r>
      <w:r>
        <w:tab/>
      </w:r>
      <w:r w:rsidR="00A16296">
        <w:t>Nutrient composition of nut- and seed-based beverages and other plant-based milk substitutes</w:t>
      </w:r>
      <w:bookmarkEnd w:id="63"/>
      <w:bookmarkEnd w:id="64"/>
    </w:p>
    <w:p w14:paraId="04A7D173" w14:textId="77777777" w:rsidR="00A16296" w:rsidRDefault="00A16296" w:rsidP="00D20A1E">
      <w:pPr>
        <w:widowControl/>
      </w:pPr>
      <w:r>
        <w:t>The types of nut- and seed-based beverages being manufactured are increasing. Almond-based beverages are now commonly available in Australia and New Zealand. Other beverages, such as coconut-based milk substitutes and sesame-, sunflower-, macadamia- and hazelnut-</w:t>
      </w:r>
      <w:r w:rsidRPr="00BD7B1C">
        <w:t>based beverages</w:t>
      </w:r>
      <w:r>
        <w:t>,</w:t>
      </w:r>
      <w:r w:rsidRPr="00BD7B1C">
        <w:t xml:space="preserve"> are manufactured in Australia and overseas (see Section </w:t>
      </w:r>
      <w:r>
        <w:fldChar w:fldCharType="begin"/>
      </w:r>
      <w:r>
        <w:instrText xml:space="preserve"> REF _Ref421003542 \r \h </w:instrText>
      </w:r>
      <w:r>
        <w:fldChar w:fldCharType="separate"/>
      </w:r>
      <w:r w:rsidR="00047581">
        <w:t>2</w:t>
      </w:r>
      <w:r>
        <w:fldChar w:fldCharType="end"/>
      </w:r>
      <w:r w:rsidRPr="00BD7B1C">
        <w:t xml:space="preserve"> for details on market share)</w:t>
      </w:r>
      <w:r>
        <w:t xml:space="preserve"> and are now being sold in Australia and New Zealand</w:t>
      </w:r>
      <w:r w:rsidRPr="00BD7B1C">
        <w:t>.</w:t>
      </w:r>
      <w:r>
        <w:t xml:space="preserve"> Both sweetened and unsweetened varieties of nut- and seed-based beverages are available.</w:t>
      </w:r>
    </w:p>
    <w:p w14:paraId="351AC9BF" w14:textId="77777777" w:rsidR="00A16296" w:rsidRDefault="00A16296" w:rsidP="00D20A1E">
      <w:pPr>
        <w:widowControl/>
      </w:pPr>
    </w:p>
    <w:p w14:paraId="5FBA7B3A" w14:textId="77777777" w:rsidR="00A16296" w:rsidRDefault="00A16296" w:rsidP="00D20A1E">
      <w:pPr>
        <w:widowControl/>
      </w:pPr>
      <w:r>
        <w:t xml:space="preserve">Generally, nut- and seed-based beverages differ greatly in composition compared to full cream cow’s milk, particularly in relation to total fat, energy and protein content. </w:t>
      </w:r>
      <w:r>
        <w:fldChar w:fldCharType="begin"/>
      </w:r>
      <w:r>
        <w:instrText xml:space="preserve"> REF _Ref417648633 \h </w:instrText>
      </w:r>
      <w:r>
        <w:fldChar w:fldCharType="separate"/>
      </w:r>
      <w:r w:rsidR="00047581">
        <w:t>Table A1.</w:t>
      </w:r>
      <w:r w:rsidR="00047581">
        <w:rPr>
          <w:noProof/>
        </w:rPr>
        <w:t>1</w:t>
      </w:r>
      <w:r>
        <w:fldChar w:fldCharType="end"/>
      </w:r>
      <w:r>
        <w:t xml:space="preserve"> in </w:t>
      </w:r>
      <w:r>
        <w:fldChar w:fldCharType="begin"/>
      </w:r>
      <w:r>
        <w:instrText xml:space="preserve"> REF _Ref417648450 \h </w:instrText>
      </w:r>
      <w:r>
        <w:fldChar w:fldCharType="separate"/>
      </w:r>
      <w:r w:rsidR="00047581">
        <w:t xml:space="preserve">Appendix </w:t>
      </w:r>
      <w:r w:rsidR="00047581">
        <w:rPr>
          <w:noProof/>
        </w:rPr>
        <w:t>1</w:t>
      </w:r>
      <w:r>
        <w:fldChar w:fldCharType="end"/>
      </w:r>
      <w:r>
        <w:t xml:space="preserve"> details examples of a range of available nut- and seed-based beverages and compares their nutrient profiles to full cream cow’s milk, soy- and cereal-based beverages. The similarities and differences between full cream cow’s milk and the plant-based milk substitutes are discussed in further detail below. In this report ‘coconut-based milk substitutes’ specifically excludes coconut milk and coconut cream (i.e. those products used in dishes such as curries), coconut water and coconut water-based drinks.</w:t>
      </w:r>
    </w:p>
    <w:p w14:paraId="3608B2D5" w14:textId="77777777" w:rsidR="005076F8" w:rsidRDefault="005076F8" w:rsidP="00D20A1E">
      <w:pPr>
        <w:pStyle w:val="Heading2"/>
      </w:pPr>
      <w:bookmarkStart w:id="65" w:name="_Toc427672164"/>
      <w:r>
        <w:br w:type="page"/>
      </w:r>
    </w:p>
    <w:p w14:paraId="10164DEB" w14:textId="28CF5BFD" w:rsidR="00A16296" w:rsidRDefault="00AF4FCB" w:rsidP="00D20A1E">
      <w:pPr>
        <w:pStyle w:val="Heading2"/>
      </w:pPr>
      <w:bookmarkStart w:id="66" w:name="_Toc427678230"/>
      <w:r>
        <w:lastRenderedPageBreak/>
        <w:t>5.1</w:t>
      </w:r>
      <w:r>
        <w:tab/>
      </w:r>
      <w:r w:rsidR="00A16296">
        <w:t>Comparison of vitamin, mineral and macronutrient concentrations in nut- and seed-based beverages currently on the market with full cream cow’s milk</w:t>
      </w:r>
      <w:bookmarkEnd w:id="65"/>
      <w:bookmarkEnd w:id="66"/>
    </w:p>
    <w:p w14:paraId="42B7EEC9" w14:textId="76FD1850" w:rsidR="00A16296" w:rsidRDefault="00A16296" w:rsidP="00D20A1E">
      <w:pPr>
        <w:widowControl/>
      </w:pPr>
      <w:r>
        <w:t>The concentrations of vitamins, minerals and protein in nut- and seed-based beverages currently on the market are generally lower than those present naturally in full cream cow’s milk (see</w:t>
      </w:r>
      <w:r w:rsidR="00353B84">
        <w:t xml:space="preserve"> </w:t>
      </w:r>
      <w:r w:rsidR="00353B84">
        <w:fldChar w:fldCharType="begin"/>
      </w:r>
      <w:r w:rsidR="00353B84">
        <w:instrText xml:space="preserve"> REF _Ref427672566 \h </w:instrText>
      </w:r>
      <w:r w:rsidR="00353B84">
        <w:fldChar w:fldCharType="separate"/>
      </w:r>
      <w:r w:rsidR="00047581">
        <w:t xml:space="preserve">Table </w:t>
      </w:r>
      <w:r w:rsidR="00047581">
        <w:rPr>
          <w:noProof/>
        </w:rPr>
        <w:t>4</w:t>
      </w:r>
      <w:r w:rsidR="00353B84">
        <w:fldChar w:fldCharType="end"/>
      </w:r>
      <w:r w:rsidR="00960AFA">
        <w:fldChar w:fldCharType="begin"/>
      </w:r>
      <w:r w:rsidR="00960AFA">
        <w:instrText xml:space="preserve"> REF _Ref426444204 \h </w:instrText>
      </w:r>
      <w:r w:rsidR="00960AFA">
        <w:fldChar w:fldCharType="end"/>
      </w:r>
      <w:r w:rsidR="00177B46">
        <w:rPr>
          <w:b/>
          <w:bCs/>
          <w:lang w:val="en-US"/>
        </w:rPr>
        <w:t xml:space="preserve"> </w:t>
      </w:r>
      <w:r>
        <w:t xml:space="preserve">and </w:t>
      </w:r>
      <w:r>
        <w:fldChar w:fldCharType="begin"/>
      </w:r>
      <w:r>
        <w:instrText xml:space="preserve"> REF _Ref417648633 \h </w:instrText>
      </w:r>
      <w:r>
        <w:fldChar w:fldCharType="separate"/>
      </w:r>
      <w:r w:rsidR="00047581">
        <w:t>Table A1.</w:t>
      </w:r>
      <w:r w:rsidR="00047581">
        <w:rPr>
          <w:noProof/>
        </w:rPr>
        <w:t>1</w:t>
      </w:r>
      <w:r>
        <w:fldChar w:fldCharType="end"/>
      </w:r>
      <w:r>
        <w:t xml:space="preserve"> in </w:t>
      </w:r>
      <w:r>
        <w:fldChar w:fldCharType="begin"/>
      </w:r>
      <w:r>
        <w:instrText xml:space="preserve"> REF _Ref417648450 \h </w:instrText>
      </w:r>
      <w:r>
        <w:fldChar w:fldCharType="separate"/>
      </w:r>
      <w:r w:rsidR="00047581">
        <w:t xml:space="preserve">Appendix </w:t>
      </w:r>
      <w:r w:rsidR="00047581">
        <w:rPr>
          <w:noProof/>
        </w:rPr>
        <w:t>1</w:t>
      </w:r>
      <w:r>
        <w:fldChar w:fldCharType="end"/>
      </w:r>
      <w:r>
        <w:t xml:space="preserve">). The majority of nut- and seed-based beverages have lower energy contents than full cream cow’s milk. Many nut- and seed-based beverages have </w:t>
      </w:r>
      <w:r w:rsidR="005B0EE9">
        <w:t xml:space="preserve">a </w:t>
      </w:r>
      <w:r>
        <w:t xml:space="preserve">similar amount of fat </w:t>
      </w:r>
      <w:r w:rsidR="00FD6448">
        <w:t xml:space="preserve">to </w:t>
      </w:r>
      <w:r>
        <w:t>that of reduced fat cow’s milk with the exception of coconut-based milk substitutes which generally contain a significant amount of saturated fat, similar to that of full cream cow’s milk.</w:t>
      </w:r>
    </w:p>
    <w:p w14:paraId="25507AA0" w14:textId="77777777" w:rsidR="00A16296" w:rsidRDefault="00A16296" w:rsidP="00D20A1E">
      <w:pPr>
        <w:widowControl/>
      </w:pPr>
    </w:p>
    <w:p w14:paraId="1B7D0B4B" w14:textId="5395F6C8" w:rsidR="00A16296" w:rsidRDefault="00A16296" w:rsidP="00D20A1E">
      <w:pPr>
        <w:widowControl/>
      </w:pPr>
      <w:r>
        <w:t xml:space="preserve">The protein content of nut- and seed-based beverages (0–1.2 grams per 200 mL) is comparable to that of cereal-based beverages (0.6–3.0 grams per 200 mL), although lower than that of full cream cow’s milk (approximately 6.8 grams per 200 mL) and soy-based beverages (5.4–8.2 grams per 200 mL) (see </w:t>
      </w:r>
      <w:r>
        <w:fldChar w:fldCharType="begin"/>
      </w:r>
      <w:r>
        <w:instrText xml:space="preserve"> REF _Ref417648633 \h </w:instrText>
      </w:r>
      <w:r>
        <w:fldChar w:fldCharType="separate"/>
      </w:r>
      <w:r w:rsidR="00047581">
        <w:t>Table A1.</w:t>
      </w:r>
      <w:r w:rsidR="00047581">
        <w:rPr>
          <w:noProof/>
        </w:rPr>
        <w:t>1</w:t>
      </w:r>
      <w:r>
        <w:fldChar w:fldCharType="end"/>
      </w:r>
      <w:r>
        <w:t xml:space="preserve"> in </w:t>
      </w:r>
      <w:r>
        <w:fldChar w:fldCharType="begin"/>
      </w:r>
      <w:r>
        <w:instrText xml:space="preserve"> REF _Ref417648450 \h </w:instrText>
      </w:r>
      <w:r>
        <w:fldChar w:fldCharType="separate"/>
      </w:r>
      <w:r w:rsidR="00047581">
        <w:t xml:space="preserve">Appendix </w:t>
      </w:r>
      <w:r w:rsidR="00047581">
        <w:rPr>
          <w:noProof/>
        </w:rPr>
        <w:t>1</w:t>
      </w:r>
      <w:r>
        <w:fldChar w:fldCharType="end"/>
      </w:r>
      <w:r>
        <w:t xml:space="preserve"> for details). Milk contains a complete protein</w:t>
      </w:r>
      <w:r>
        <w:rPr>
          <w:rStyle w:val="FootnoteReference"/>
        </w:rPr>
        <w:footnoteReference w:id="6"/>
      </w:r>
      <w:r>
        <w:t xml:space="preserve"> which consists of 80% casein and 20% whey protein, </w:t>
      </w:r>
      <w:r w:rsidR="0078650E">
        <w:t xml:space="preserve">and </w:t>
      </w:r>
      <w:r>
        <w:t>has the highest bioavailability of</w:t>
      </w:r>
      <w:r w:rsidRPr="00620ABC">
        <w:t xml:space="preserve"> </w:t>
      </w:r>
      <w:r>
        <w:t xml:space="preserve">any protein source (Baste </w:t>
      </w:r>
      <w:r>
        <w:rPr>
          <w:i/>
        </w:rPr>
        <w:t xml:space="preserve">et al. </w:t>
      </w:r>
      <w:r>
        <w:t>2011). Soy-based beverages are the only type of plant-based milk substitute that contains a comparable amount of protein</w:t>
      </w:r>
      <w:r w:rsidR="00CF118D">
        <w:t xml:space="preserve">. Soy protein is also a </w:t>
      </w:r>
      <w:r w:rsidR="00172643">
        <w:t>complete</w:t>
      </w:r>
      <w:r w:rsidR="00CF118D">
        <w:t xml:space="preserve"> protein</w:t>
      </w:r>
      <w:r>
        <w:t>.</w:t>
      </w:r>
    </w:p>
    <w:p w14:paraId="2726F472" w14:textId="77777777" w:rsidR="00A16296" w:rsidRDefault="00A16296" w:rsidP="00D20A1E">
      <w:pPr>
        <w:widowControl/>
      </w:pPr>
    </w:p>
    <w:p w14:paraId="1C7C75BC" w14:textId="77777777" w:rsidR="00A16296" w:rsidRDefault="00A16296" w:rsidP="00D20A1E">
      <w:pPr>
        <w:widowControl/>
      </w:pPr>
      <w:r>
        <w:t>The currently available nut- and seed-based beverages contain similar concentrations of magnesium and thiamin to full cream cow’s milk.</w:t>
      </w:r>
    </w:p>
    <w:p w14:paraId="785F0E39" w14:textId="77777777" w:rsidR="00061783" w:rsidRDefault="00061783" w:rsidP="00D20A1E">
      <w:pPr>
        <w:widowControl/>
      </w:pPr>
    </w:p>
    <w:p w14:paraId="2EA2BD75" w14:textId="77777777" w:rsidR="00061783" w:rsidRDefault="00061783" w:rsidP="00D20A1E">
      <w:pPr>
        <w:pStyle w:val="FSTableTitle"/>
        <w:keepNext/>
        <w:keepLines/>
        <w:widowControl/>
      </w:pPr>
      <w:bookmarkStart w:id="67" w:name="_Ref427672566"/>
      <w:r>
        <w:t xml:space="preserve">Table </w:t>
      </w:r>
      <w:fldSimple w:instr=" SEQ Table \* ARABIC ">
        <w:r w:rsidR="00047581">
          <w:rPr>
            <w:noProof/>
          </w:rPr>
          <w:t>4</w:t>
        </w:r>
      </w:fldSimple>
      <w:bookmarkEnd w:id="67"/>
      <w:r>
        <w:t>: Comparison of the nutrient content per reference quantity of nut- and seed-based beverages currently on the market with skim and full cream cow’s milks and unfortified cereal-based beverages</w:t>
      </w:r>
    </w:p>
    <w:p w14:paraId="4F42D6F7" w14:textId="77777777" w:rsidR="00513153" w:rsidRPr="00513153" w:rsidRDefault="00513153" w:rsidP="00513153"/>
    <w:tbl>
      <w:tblPr>
        <w:tblStyle w:val="TableGrid"/>
        <w:tblW w:w="5000" w:type="pct"/>
        <w:tblLook w:val="04A0" w:firstRow="1" w:lastRow="0" w:firstColumn="1" w:lastColumn="0" w:noHBand="0" w:noVBand="1"/>
      </w:tblPr>
      <w:tblGrid>
        <w:gridCol w:w="1809"/>
        <w:gridCol w:w="1418"/>
        <w:gridCol w:w="1527"/>
        <w:gridCol w:w="1821"/>
        <w:gridCol w:w="2667"/>
      </w:tblGrid>
      <w:tr w:rsidR="00061783" w:rsidRPr="00540936" w14:paraId="637947C6" w14:textId="77777777" w:rsidTr="005076F8">
        <w:trPr>
          <w:tblHeader/>
        </w:trPr>
        <w:tc>
          <w:tcPr>
            <w:tcW w:w="979" w:type="pct"/>
            <w:vMerge w:val="restart"/>
            <w:shd w:val="clear" w:color="auto" w:fill="B8CCE4" w:themeFill="accent1" w:themeFillTint="66"/>
          </w:tcPr>
          <w:p w14:paraId="344AFE75" w14:textId="77777777" w:rsidR="00061783" w:rsidRPr="00623EE7" w:rsidRDefault="00061783" w:rsidP="00D20A1E">
            <w:pPr>
              <w:keepNext/>
              <w:keepLines/>
              <w:widowControl/>
              <w:spacing w:before="40" w:after="40"/>
              <w:rPr>
                <w:b/>
                <w:sz w:val="20"/>
                <w:szCs w:val="20"/>
              </w:rPr>
            </w:pPr>
            <w:r w:rsidRPr="00623EE7">
              <w:rPr>
                <w:b/>
                <w:sz w:val="20"/>
                <w:szCs w:val="20"/>
              </w:rPr>
              <w:t>Nutrient</w:t>
            </w:r>
          </w:p>
        </w:tc>
        <w:tc>
          <w:tcPr>
            <w:tcW w:w="4021" w:type="pct"/>
            <w:gridSpan w:val="4"/>
            <w:shd w:val="clear" w:color="auto" w:fill="B8CCE4" w:themeFill="accent1" w:themeFillTint="66"/>
          </w:tcPr>
          <w:p w14:paraId="3C1096E3" w14:textId="77777777" w:rsidR="00061783" w:rsidRPr="00623EE7" w:rsidRDefault="00061783" w:rsidP="00D20A1E">
            <w:pPr>
              <w:keepNext/>
              <w:keepLines/>
              <w:widowControl/>
              <w:spacing w:before="40" w:after="40"/>
              <w:jc w:val="center"/>
              <w:rPr>
                <w:b/>
                <w:sz w:val="20"/>
                <w:szCs w:val="20"/>
              </w:rPr>
            </w:pPr>
            <w:r w:rsidRPr="00623EE7">
              <w:rPr>
                <w:b/>
                <w:sz w:val="20"/>
                <w:szCs w:val="20"/>
              </w:rPr>
              <w:t xml:space="preserve">Concentration </w:t>
            </w:r>
            <w:r>
              <w:rPr>
                <w:b/>
                <w:sz w:val="20"/>
                <w:szCs w:val="20"/>
              </w:rPr>
              <w:t xml:space="preserve">per reference quantity </w:t>
            </w:r>
            <w:r w:rsidRPr="00623EE7">
              <w:rPr>
                <w:b/>
                <w:sz w:val="20"/>
                <w:szCs w:val="20"/>
              </w:rPr>
              <w:t>(200 mL)</w:t>
            </w:r>
            <w:r w:rsidRPr="00623EE7">
              <w:rPr>
                <w:rFonts w:cs="Arial"/>
                <w:b/>
                <w:sz w:val="20"/>
                <w:szCs w:val="20"/>
                <w:vertAlign w:val="superscript"/>
              </w:rPr>
              <w:t xml:space="preserve"> Δ</w:t>
            </w:r>
          </w:p>
        </w:tc>
      </w:tr>
      <w:tr w:rsidR="00061783" w:rsidRPr="00540936" w14:paraId="5DFCC18A" w14:textId="77777777" w:rsidTr="005076F8">
        <w:trPr>
          <w:trHeight w:val="839"/>
          <w:tblHeader/>
        </w:trPr>
        <w:tc>
          <w:tcPr>
            <w:tcW w:w="979" w:type="pct"/>
            <w:vMerge/>
            <w:tcBorders>
              <w:bottom w:val="single" w:sz="4" w:space="0" w:color="000000"/>
            </w:tcBorders>
            <w:shd w:val="clear" w:color="auto" w:fill="B8CCE4" w:themeFill="accent1" w:themeFillTint="66"/>
          </w:tcPr>
          <w:p w14:paraId="3EC35172" w14:textId="77777777" w:rsidR="00061783" w:rsidRPr="00623EE7" w:rsidRDefault="00061783" w:rsidP="00D20A1E">
            <w:pPr>
              <w:keepNext/>
              <w:keepLines/>
              <w:widowControl/>
              <w:spacing w:before="40" w:after="40"/>
              <w:rPr>
                <w:b/>
                <w:sz w:val="20"/>
                <w:szCs w:val="20"/>
              </w:rPr>
            </w:pPr>
          </w:p>
        </w:tc>
        <w:tc>
          <w:tcPr>
            <w:tcW w:w="767" w:type="pct"/>
            <w:shd w:val="clear" w:color="auto" w:fill="B8CCE4" w:themeFill="accent1" w:themeFillTint="66"/>
          </w:tcPr>
          <w:p w14:paraId="66184613" w14:textId="6AE44B54" w:rsidR="00061783" w:rsidRPr="00623EE7" w:rsidRDefault="00061783" w:rsidP="00D20A1E">
            <w:pPr>
              <w:keepNext/>
              <w:keepLines/>
              <w:widowControl/>
              <w:spacing w:before="40" w:after="40"/>
              <w:jc w:val="center"/>
              <w:rPr>
                <w:b/>
                <w:sz w:val="20"/>
                <w:szCs w:val="20"/>
              </w:rPr>
            </w:pPr>
            <w:r w:rsidRPr="00623EE7">
              <w:rPr>
                <w:b/>
                <w:sz w:val="20"/>
                <w:szCs w:val="20"/>
              </w:rPr>
              <w:t xml:space="preserve">Full cream </w:t>
            </w:r>
            <w:r>
              <w:rPr>
                <w:b/>
                <w:sz w:val="20"/>
                <w:szCs w:val="20"/>
              </w:rPr>
              <w:t>cow’s</w:t>
            </w:r>
            <w:r w:rsidRPr="00623EE7">
              <w:rPr>
                <w:b/>
                <w:sz w:val="20"/>
                <w:szCs w:val="20"/>
              </w:rPr>
              <w:t xml:space="preserve"> milk</w:t>
            </w:r>
            <w:r w:rsidR="00954E58" w:rsidRPr="00623EE7">
              <w:rPr>
                <w:rFonts w:cs="Arial"/>
                <w:b/>
                <w:sz w:val="20"/>
                <w:szCs w:val="20"/>
                <w:vertAlign w:val="superscript"/>
              </w:rPr>
              <w:t>ψ</w:t>
            </w:r>
          </w:p>
        </w:tc>
        <w:tc>
          <w:tcPr>
            <w:tcW w:w="826" w:type="pct"/>
            <w:shd w:val="clear" w:color="auto" w:fill="B8CCE4" w:themeFill="accent1" w:themeFillTint="66"/>
          </w:tcPr>
          <w:p w14:paraId="4C452191" w14:textId="77777777" w:rsidR="00061783" w:rsidRPr="00623EE7" w:rsidRDefault="00061783" w:rsidP="00D20A1E">
            <w:pPr>
              <w:keepNext/>
              <w:keepLines/>
              <w:widowControl/>
              <w:spacing w:before="40" w:after="40"/>
              <w:jc w:val="center"/>
              <w:rPr>
                <w:b/>
                <w:sz w:val="20"/>
                <w:szCs w:val="20"/>
              </w:rPr>
            </w:pPr>
            <w:r>
              <w:rPr>
                <w:b/>
                <w:sz w:val="20"/>
                <w:szCs w:val="20"/>
              </w:rPr>
              <w:t>Skim cow’s milk</w:t>
            </w:r>
            <w:r w:rsidRPr="00623EE7">
              <w:rPr>
                <w:rFonts w:cs="Arial"/>
                <w:b/>
                <w:sz w:val="20"/>
                <w:szCs w:val="20"/>
                <w:vertAlign w:val="superscript"/>
              </w:rPr>
              <w:t>ψ</w:t>
            </w:r>
          </w:p>
        </w:tc>
        <w:tc>
          <w:tcPr>
            <w:tcW w:w="985" w:type="pct"/>
            <w:shd w:val="clear" w:color="auto" w:fill="B8CCE4" w:themeFill="accent1" w:themeFillTint="66"/>
          </w:tcPr>
          <w:p w14:paraId="13258947" w14:textId="77777777" w:rsidR="00061783" w:rsidRPr="00623EE7" w:rsidRDefault="00061783" w:rsidP="00D20A1E">
            <w:pPr>
              <w:keepNext/>
              <w:keepLines/>
              <w:widowControl/>
              <w:spacing w:before="40" w:after="40"/>
              <w:jc w:val="center"/>
              <w:rPr>
                <w:b/>
                <w:sz w:val="20"/>
                <w:szCs w:val="20"/>
              </w:rPr>
            </w:pPr>
            <w:r w:rsidRPr="00623EE7">
              <w:rPr>
                <w:b/>
                <w:sz w:val="20"/>
                <w:szCs w:val="20"/>
              </w:rPr>
              <w:t>Unfortified cereal-based beverages</w:t>
            </w:r>
            <w:r w:rsidRPr="00623EE7">
              <w:rPr>
                <w:rFonts w:cs="Arial"/>
                <w:b/>
                <w:sz w:val="20"/>
                <w:szCs w:val="20"/>
                <w:vertAlign w:val="superscript"/>
              </w:rPr>
              <w:t>ψ</w:t>
            </w:r>
          </w:p>
        </w:tc>
        <w:tc>
          <w:tcPr>
            <w:tcW w:w="1443" w:type="pct"/>
            <w:shd w:val="clear" w:color="auto" w:fill="B8CCE4" w:themeFill="accent1" w:themeFillTint="66"/>
          </w:tcPr>
          <w:p w14:paraId="221014DA" w14:textId="77777777" w:rsidR="00061783" w:rsidRPr="00623EE7" w:rsidRDefault="00061783" w:rsidP="00D20A1E">
            <w:pPr>
              <w:keepNext/>
              <w:keepLines/>
              <w:widowControl/>
              <w:spacing w:before="40" w:after="40"/>
              <w:jc w:val="center"/>
              <w:rPr>
                <w:b/>
                <w:sz w:val="20"/>
                <w:szCs w:val="20"/>
              </w:rPr>
            </w:pPr>
            <w:r>
              <w:rPr>
                <w:b/>
                <w:sz w:val="20"/>
                <w:szCs w:val="20"/>
              </w:rPr>
              <w:t xml:space="preserve">Nut- </w:t>
            </w:r>
            <w:r w:rsidRPr="00623EE7">
              <w:rPr>
                <w:b/>
                <w:sz w:val="20"/>
                <w:szCs w:val="20"/>
              </w:rPr>
              <w:t>and seed-based beverages currently on the market</w:t>
            </w:r>
            <w:r w:rsidRPr="00623EE7">
              <w:rPr>
                <w:rFonts w:cs="Arial"/>
                <w:b/>
                <w:sz w:val="20"/>
                <w:szCs w:val="20"/>
                <w:vertAlign w:val="superscript"/>
              </w:rPr>
              <w:t>ɣ</w:t>
            </w:r>
          </w:p>
        </w:tc>
      </w:tr>
      <w:tr w:rsidR="00061783" w:rsidRPr="00876703" w14:paraId="466ECAA0" w14:textId="77777777" w:rsidTr="00061783">
        <w:tc>
          <w:tcPr>
            <w:tcW w:w="979" w:type="pct"/>
            <w:vAlign w:val="center"/>
          </w:tcPr>
          <w:p w14:paraId="4499BCE0" w14:textId="77777777" w:rsidR="00061783" w:rsidRPr="00623EE7" w:rsidRDefault="00061783" w:rsidP="00D20A1E">
            <w:pPr>
              <w:widowControl/>
              <w:spacing w:before="40" w:after="40"/>
              <w:rPr>
                <w:rFonts w:cs="Arial"/>
                <w:sz w:val="20"/>
                <w:szCs w:val="20"/>
              </w:rPr>
            </w:pPr>
            <w:r w:rsidRPr="00623EE7">
              <w:rPr>
                <w:rFonts w:cs="Arial"/>
                <w:sz w:val="20"/>
                <w:szCs w:val="20"/>
              </w:rPr>
              <w:t>Energy (kJ)</w:t>
            </w:r>
          </w:p>
        </w:tc>
        <w:tc>
          <w:tcPr>
            <w:tcW w:w="767" w:type="pct"/>
            <w:vAlign w:val="center"/>
          </w:tcPr>
          <w:p w14:paraId="58EFACDF" w14:textId="77777777" w:rsidR="00061783" w:rsidRPr="00623EE7" w:rsidRDefault="00061783" w:rsidP="00D20A1E">
            <w:pPr>
              <w:widowControl/>
              <w:spacing w:before="40" w:after="40"/>
              <w:jc w:val="center"/>
              <w:rPr>
                <w:sz w:val="20"/>
                <w:szCs w:val="20"/>
              </w:rPr>
            </w:pPr>
            <w:r w:rsidRPr="00623EE7">
              <w:rPr>
                <w:sz w:val="20"/>
                <w:szCs w:val="20"/>
              </w:rPr>
              <w:t>562</w:t>
            </w:r>
          </w:p>
        </w:tc>
        <w:tc>
          <w:tcPr>
            <w:tcW w:w="826" w:type="pct"/>
            <w:vAlign w:val="center"/>
          </w:tcPr>
          <w:p w14:paraId="7DC7DC7F" w14:textId="77777777" w:rsidR="00061783" w:rsidRPr="00623EE7" w:rsidRDefault="00061783" w:rsidP="00D20A1E">
            <w:pPr>
              <w:widowControl/>
              <w:spacing w:before="40" w:after="40"/>
              <w:jc w:val="center"/>
              <w:rPr>
                <w:rFonts w:cs="Arial"/>
                <w:sz w:val="20"/>
                <w:szCs w:val="20"/>
              </w:rPr>
            </w:pPr>
            <w:r w:rsidRPr="009C6A9A">
              <w:rPr>
                <w:rFonts w:cs="Arial"/>
                <w:sz w:val="20"/>
                <w:szCs w:val="20"/>
              </w:rPr>
              <w:t>284</w:t>
            </w:r>
          </w:p>
        </w:tc>
        <w:tc>
          <w:tcPr>
            <w:tcW w:w="985" w:type="pct"/>
            <w:vAlign w:val="center"/>
          </w:tcPr>
          <w:p w14:paraId="7762ED25" w14:textId="77777777" w:rsidR="00061783" w:rsidRPr="00623EE7" w:rsidRDefault="00061783" w:rsidP="00D20A1E">
            <w:pPr>
              <w:widowControl/>
              <w:spacing w:before="40" w:after="40"/>
              <w:jc w:val="center"/>
              <w:rPr>
                <w:rFonts w:cs="Arial"/>
                <w:sz w:val="20"/>
                <w:szCs w:val="20"/>
              </w:rPr>
            </w:pPr>
            <w:r w:rsidRPr="00623EE7">
              <w:rPr>
                <w:rFonts w:cs="Arial"/>
                <w:sz w:val="20"/>
                <w:szCs w:val="20"/>
              </w:rPr>
              <w:t>444</w:t>
            </w:r>
          </w:p>
        </w:tc>
        <w:tc>
          <w:tcPr>
            <w:tcW w:w="1443" w:type="pct"/>
            <w:vAlign w:val="center"/>
          </w:tcPr>
          <w:p w14:paraId="29308BC5" w14:textId="77777777" w:rsidR="00061783" w:rsidRPr="00623EE7" w:rsidRDefault="00061783" w:rsidP="00D20A1E">
            <w:pPr>
              <w:widowControl/>
              <w:spacing w:before="40" w:after="40"/>
              <w:jc w:val="center"/>
              <w:rPr>
                <w:rFonts w:cs="Arial"/>
                <w:sz w:val="20"/>
                <w:szCs w:val="20"/>
              </w:rPr>
            </w:pPr>
            <w:r w:rsidRPr="00623EE7">
              <w:rPr>
                <w:rFonts w:cs="Arial"/>
                <w:sz w:val="20"/>
                <w:szCs w:val="20"/>
              </w:rPr>
              <w:t>1</w:t>
            </w:r>
            <w:r>
              <w:rPr>
                <w:rFonts w:cs="Arial"/>
                <w:sz w:val="20"/>
                <w:szCs w:val="20"/>
              </w:rPr>
              <w:t>34</w:t>
            </w:r>
            <w:r w:rsidRPr="00623EE7">
              <w:rPr>
                <w:rFonts w:cs="Arial"/>
                <w:sz w:val="20"/>
                <w:szCs w:val="20"/>
              </w:rPr>
              <w:t xml:space="preserve"> – 544</w:t>
            </w:r>
          </w:p>
        </w:tc>
      </w:tr>
      <w:tr w:rsidR="00061783" w:rsidRPr="00876703" w14:paraId="1FFD17A1" w14:textId="77777777" w:rsidTr="00061783">
        <w:tc>
          <w:tcPr>
            <w:tcW w:w="979" w:type="pct"/>
            <w:vAlign w:val="center"/>
          </w:tcPr>
          <w:p w14:paraId="23602F99" w14:textId="77777777" w:rsidR="00061783" w:rsidRPr="00623EE7" w:rsidRDefault="00061783" w:rsidP="00D20A1E">
            <w:pPr>
              <w:widowControl/>
              <w:spacing w:before="40" w:after="40"/>
              <w:rPr>
                <w:rFonts w:cs="Arial"/>
                <w:sz w:val="20"/>
                <w:szCs w:val="20"/>
              </w:rPr>
            </w:pPr>
            <w:r w:rsidRPr="00623EE7">
              <w:rPr>
                <w:rFonts w:cs="Arial"/>
                <w:sz w:val="20"/>
                <w:szCs w:val="20"/>
              </w:rPr>
              <w:t>Protein (g)</w:t>
            </w:r>
          </w:p>
        </w:tc>
        <w:tc>
          <w:tcPr>
            <w:tcW w:w="767" w:type="pct"/>
            <w:vAlign w:val="center"/>
          </w:tcPr>
          <w:p w14:paraId="3C0EC165" w14:textId="77777777" w:rsidR="00061783" w:rsidRPr="00623EE7" w:rsidRDefault="00061783" w:rsidP="00D20A1E">
            <w:pPr>
              <w:widowControl/>
              <w:spacing w:before="40" w:after="40"/>
              <w:jc w:val="center"/>
              <w:rPr>
                <w:sz w:val="20"/>
                <w:szCs w:val="20"/>
              </w:rPr>
            </w:pPr>
            <w:r w:rsidRPr="00623EE7">
              <w:rPr>
                <w:sz w:val="20"/>
                <w:szCs w:val="20"/>
              </w:rPr>
              <w:t>6.8</w:t>
            </w:r>
          </w:p>
        </w:tc>
        <w:tc>
          <w:tcPr>
            <w:tcW w:w="826" w:type="pct"/>
            <w:vAlign w:val="center"/>
          </w:tcPr>
          <w:p w14:paraId="1D1E1E1A" w14:textId="77777777" w:rsidR="00061783" w:rsidRPr="00623EE7" w:rsidRDefault="00061783" w:rsidP="00D20A1E">
            <w:pPr>
              <w:widowControl/>
              <w:spacing w:before="40" w:after="40"/>
              <w:jc w:val="center"/>
              <w:rPr>
                <w:rFonts w:cs="Arial"/>
                <w:sz w:val="20"/>
                <w:szCs w:val="20"/>
              </w:rPr>
            </w:pPr>
            <w:r w:rsidRPr="009C6A9A">
              <w:rPr>
                <w:rFonts w:cs="Arial"/>
                <w:sz w:val="20"/>
                <w:szCs w:val="20"/>
              </w:rPr>
              <w:t>7.2</w:t>
            </w:r>
          </w:p>
        </w:tc>
        <w:tc>
          <w:tcPr>
            <w:tcW w:w="985" w:type="pct"/>
            <w:vAlign w:val="center"/>
          </w:tcPr>
          <w:p w14:paraId="2775A031" w14:textId="77777777" w:rsidR="00061783" w:rsidRPr="00623EE7" w:rsidRDefault="00061783" w:rsidP="00D20A1E">
            <w:pPr>
              <w:widowControl/>
              <w:spacing w:before="40" w:after="40"/>
              <w:jc w:val="center"/>
              <w:rPr>
                <w:rFonts w:cs="Arial"/>
                <w:sz w:val="20"/>
                <w:szCs w:val="20"/>
              </w:rPr>
            </w:pPr>
            <w:r w:rsidRPr="00623EE7">
              <w:rPr>
                <w:rFonts w:cs="Arial"/>
                <w:sz w:val="20"/>
                <w:szCs w:val="20"/>
              </w:rPr>
              <w:t>3.0</w:t>
            </w:r>
          </w:p>
        </w:tc>
        <w:tc>
          <w:tcPr>
            <w:tcW w:w="1443" w:type="pct"/>
            <w:vAlign w:val="center"/>
          </w:tcPr>
          <w:p w14:paraId="668F3BFC" w14:textId="77777777" w:rsidR="00061783" w:rsidRPr="00623EE7" w:rsidRDefault="00061783" w:rsidP="00D20A1E">
            <w:pPr>
              <w:widowControl/>
              <w:spacing w:before="40" w:after="40"/>
              <w:jc w:val="center"/>
              <w:rPr>
                <w:rFonts w:cs="Arial"/>
                <w:sz w:val="20"/>
                <w:szCs w:val="20"/>
              </w:rPr>
            </w:pPr>
            <w:r w:rsidRPr="00623EE7">
              <w:rPr>
                <w:rFonts w:cs="Arial"/>
                <w:sz w:val="20"/>
                <w:szCs w:val="20"/>
              </w:rPr>
              <w:t>0 – 1.2</w:t>
            </w:r>
          </w:p>
        </w:tc>
      </w:tr>
      <w:tr w:rsidR="00061783" w:rsidRPr="00876703" w14:paraId="57342507" w14:textId="77777777" w:rsidTr="00061783">
        <w:tc>
          <w:tcPr>
            <w:tcW w:w="979" w:type="pct"/>
            <w:vAlign w:val="center"/>
          </w:tcPr>
          <w:p w14:paraId="4B80303D" w14:textId="77777777" w:rsidR="00061783" w:rsidRPr="00623EE7" w:rsidRDefault="00061783" w:rsidP="00D20A1E">
            <w:pPr>
              <w:widowControl/>
              <w:spacing w:before="40" w:after="40"/>
              <w:rPr>
                <w:rFonts w:cs="Arial"/>
                <w:sz w:val="20"/>
                <w:szCs w:val="20"/>
              </w:rPr>
            </w:pPr>
            <w:r w:rsidRPr="00623EE7">
              <w:rPr>
                <w:rFonts w:cs="Arial"/>
                <w:sz w:val="20"/>
                <w:szCs w:val="20"/>
              </w:rPr>
              <w:t>Fat (g)</w:t>
            </w:r>
          </w:p>
        </w:tc>
        <w:tc>
          <w:tcPr>
            <w:tcW w:w="767" w:type="pct"/>
            <w:vAlign w:val="center"/>
          </w:tcPr>
          <w:p w14:paraId="0FC76935" w14:textId="77777777" w:rsidR="00061783" w:rsidRPr="00623EE7" w:rsidRDefault="00061783" w:rsidP="00D20A1E">
            <w:pPr>
              <w:widowControl/>
              <w:spacing w:before="40" w:after="40"/>
              <w:jc w:val="center"/>
              <w:rPr>
                <w:sz w:val="20"/>
                <w:szCs w:val="20"/>
              </w:rPr>
            </w:pPr>
            <w:r w:rsidRPr="00623EE7">
              <w:rPr>
                <w:sz w:val="20"/>
                <w:szCs w:val="20"/>
              </w:rPr>
              <w:t>6.8</w:t>
            </w:r>
          </w:p>
        </w:tc>
        <w:tc>
          <w:tcPr>
            <w:tcW w:w="826" w:type="pct"/>
            <w:vAlign w:val="center"/>
          </w:tcPr>
          <w:p w14:paraId="701BCFF2" w14:textId="77777777" w:rsidR="00061783" w:rsidRPr="00623EE7" w:rsidRDefault="00061783" w:rsidP="00D20A1E">
            <w:pPr>
              <w:widowControl/>
              <w:spacing w:before="40" w:after="40"/>
              <w:jc w:val="center"/>
              <w:rPr>
                <w:rFonts w:cs="Arial"/>
                <w:sz w:val="20"/>
                <w:szCs w:val="20"/>
              </w:rPr>
            </w:pPr>
            <w:r w:rsidRPr="009C6A9A">
              <w:rPr>
                <w:rFonts w:cs="Arial"/>
                <w:sz w:val="20"/>
                <w:szCs w:val="20"/>
              </w:rPr>
              <w:t>0.2</w:t>
            </w:r>
          </w:p>
        </w:tc>
        <w:tc>
          <w:tcPr>
            <w:tcW w:w="985" w:type="pct"/>
            <w:vAlign w:val="center"/>
          </w:tcPr>
          <w:p w14:paraId="760571DE" w14:textId="77777777" w:rsidR="00061783" w:rsidRPr="00623EE7" w:rsidRDefault="00061783" w:rsidP="00D20A1E">
            <w:pPr>
              <w:widowControl/>
              <w:spacing w:before="40" w:after="40"/>
              <w:jc w:val="center"/>
              <w:rPr>
                <w:rFonts w:cs="Arial"/>
                <w:sz w:val="20"/>
                <w:szCs w:val="20"/>
              </w:rPr>
            </w:pPr>
            <w:r w:rsidRPr="00623EE7">
              <w:rPr>
                <w:rFonts w:cs="Arial"/>
                <w:sz w:val="20"/>
                <w:szCs w:val="20"/>
              </w:rPr>
              <w:t>4.2</w:t>
            </w:r>
          </w:p>
        </w:tc>
        <w:tc>
          <w:tcPr>
            <w:tcW w:w="1443" w:type="pct"/>
            <w:vAlign w:val="center"/>
          </w:tcPr>
          <w:p w14:paraId="49EE54B3" w14:textId="77777777" w:rsidR="00061783" w:rsidRPr="00623EE7" w:rsidRDefault="00061783" w:rsidP="00D20A1E">
            <w:pPr>
              <w:widowControl/>
              <w:spacing w:before="40" w:after="40"/>
              <w:jc w:val="center"/>
              <w:rPr>
                <w:rFonts w:cs="Arial"/>
                <w:sz w:val="20"/>
                <w:szCs w:val="20"/>
              </w:rPr>
            </w:pPr>
            <w:r w:rsidRPr="00623EE7">
              <w:rPr>
                <w:rFonts w:cs="Arial"/>
                <w:sz w:val="20"/>
                <w:szCs w:val="20"/>
              </w:rPr>
              <w:t>0.8 – 6.8</w:t>
            </w:r>
          </w:p>
        </w:tc>
      </w:tr>
      <w:tr w:rsidR="00061783" w:rsidRPr="00876703" w14:paraId="6C2A7564" w14:textId="77777777" w:rsidTr="00061783">
        <w:tc>
          <w:tcPr>
            <w:tcW w:w="979" w:type="pct"/>
            <w:vAlign w:val="center"/>
          </w:tcPr>
          <w:p w14:paraId="067D5AC2" w14:textId="77777777" w:rsidR="00061783" w:rsidRPr="00623EE7" w:rsidRDefault="00061783" w:rsidP="00D20A1E">
            <w:pPr>
              <w:widowControl/>
              <w:spacing w:before="40" w:after="40"/>
              <w:rPr>
                <w:sz w:val="20"/>
                <w:szCs w:val="20"/>
              </w:rPr>
            </w:pPr>
            <w:r w:rsidRPr="00623EE7">
              <w:rPr>
                <w:rFonts w:cs="Arial"/>
                <w:sz w:val="20"/>
                <w:szCs w:val="20"/>
              </w:rPr>
              <w:t>Calcium (mg)</w:t>
            </w:r>
          </w:p>
        </w:tc>
        <w:tc>
          <w:tcPr>
            <w:tcW w:w="767" w:type="pct"/>
            <w:vAlign w:val="center"/>
          </w:tcPr>
          <w:p w14:paraId="120F7675" w14:textId="77777777" w:rsidR="00061783" w:rsidRPr="00623EE7" w:rsidRDefault="00061783" w:rsidP="00D20A1E">
            <w:pPr>
              <w:widowControl/>
              <w:spacing w:before="40" w:after="40"/>
              <w:jc w:val="center"/>
              <w:rPr>
                <w:sz w:val="20"/>
                <w:szCs w:val="20"/>
              </w:rPr>
            </w:pPr>
            <w:r w:rsidRPr="00623EE7">
              <w:rPr>
                <w:sz w:val="20"/>
                <w:szCs w:val="20"/>
              </w:rPr>
              <w:t>208</w:t>
            </w:r>
          </w:p>
        </w:tc>
        <w:tc>
          <w:tcPr>
            <w:tcW w:w="826" w:type="pct"/>
            <w:vAlign w:val="center"/>
          </w:tcPr>
          <w:p w14:paraId="76401FE5" w14:textId="77777777" w:rsidR="00061783" w:rsidRPr="00623EE7" w:rsidRDefault="00061783" w:rsidP="00D20A1E">
            <w:pPr>
              <w:widowControl/>
              <w:spacing w:before="40" w:after="40"/>
              <w:jc w:val="center"/>
              <w:rPr>
                <w:rFonts w:cs="Arial"/>
                <w:sz w:val="20"/>
                <w:szCs w:val="20"/>
              </w:rPr>
            </w:pPr>
            <w:r w:rsidRPr="009C6A9A">
              <w:rPr>
                <w:rFonts w:cs="Arial"/>
                <w:sz w:val="20"/>
                <w:szCs w:val="20"/>
              </w:rPr>
              <w:t>236</w:t>
            </w:r>
          </w:p>
        </w:tc>
        <w:tc>
          <w:tcPr>
            <w:tcW w:w="985" w:type="pct"/>
            <w:vAlign w:val="center"/>
          </w:tcPr>
          <w:p w14:paraId="151499A4" w14:textId="77777777" w:rsidR="00061783" w:rsidRPr="00623EE7" w:rsidRDefault="00061783" w:rsidP="00D20A1E">
            <w:pPr>
              <w:widowControl/>
              <w:spacing w:before="40" w:after="40"/>
              <w:jc w:val="center"/>
              <w:rPr>
                <w:rFonts w:cs="Arial"/>
                <w:sz w:val="20"/>
                <w:szCs w:val="20"/>
              </w:rPr>
            </w:pPr>
            <w:r w:rsidRPr="00623EE7">
              <w:rPr>
                <w:rFonts w:cs="Arial"/>
                <w:sz w:val="20"/>
                <w:szCs w:val="20"/>
              </w:rPr>
              <w:t>10</w:t>
            </w:r>
          </w:p>
        </w:tc>
        <w:tc>
          <w:tcPr>
            <w:tcW w:w="1443" w:type="pct"/>
            <w:vAlign w:val="center"/>
          </w:tcPr>
          <w:p w14:paraId="5256EF62" w14:textId="77777777" w:rsidR="00061783" w:rsidRPr="00623EE7" w:rsidRDefault="00061783" w:rsidP="00D20A1E">
            <w:pPr>
              <w:widowControl/>
              <w:spacing w:before="40" w:after="40"/>
              <w:jc w:val="center"/>
              <w:rPr>
                <w:rFonts w:cs="Arial"/>
                <w:sz w:val="20"/>
                <w:szCs w:val="20"/>
              </w:rPr>
            </w:pPr>
            <w:r w:rsidRPr="00623EE7">
              <w:rPr>
                <w:rFonts w:cs="Arial"/>
                <w:sz w:val="20"/>
                <w:szCs w:val="20"/>
              </w:rPr>
              <w:t>86 – 240</w:t>
            </w:r>
            <w:r w:rsidRPr="00623EE7">
              <w:rPr>
                <w:rFonts w:cs="Arial"/>
                <w:sz w:val="20"/>
                <w:szCs w:val="20"/>
                <w:vertAlign w:val="superscript"/>
              </w:rPr>
              <w:sym w:font="Wingdings 2" w:char="F0E8"/>
            </w:r>
          </w:p>
        </w:tc>
      </w:tr>
      <w:tr w:rsidR="00061783" w:rsidRPr="00876703" w14:paraId="5A65AA15" w14:textId="77777777" w:rsidTr="00061783">
        <w:tc>
          <w:tcPr>
            <w:tcW w:w="979" w:type="pct"/>
            <w:vAlign w:val="center"/>
          </w:tcPr>
          <w:p w14:paraId="33E661A8" w14:textId="77777777" w:rsidR="00061783" w:rsidRPr="00623EE7" w:rsidRDefault="00061783" w:rsidP="00D20A1E">
            <w:pPr>
              <w:widowControl/>
              <w:spacing w:before="40" w:after="40"/>
              <w:rPr>
                <w:sz w:val="20"/>
                <w:szCs w:val="20"/>
              </w:rPr>
            </w:pPr>
            <w:r w:rsidRPr="00623EE7">
              <w:rPr>
                <w:rFonts w:cs="Arial"/>
                <w:sz w:val="20"/>
                <w:szCs w:val="20"/>
              </w:rPr>
              <w:t>Folate, naturally occurring (µg)</w:t>
            </w:r>
          </w:p>
        </w:tc>
        <w:tc>
          <w:tcPr>
            <w:tcW w:w="767" w:type="pct"/>
            <w:vAlign w:val="center"/>
          </w:tcPr>
          <w:p w14:paraId="283D4C44" w14:textId="77777777" w:rsidR="00061783" w:rsidRPr="00623EE7" w:rsidRDefault="00061783" w:rsidP="00D20A1E">
            <w:pPr>
              <w:widowControl/>
              <w:spacing w:before="40" w:after="40"/>
              <w:jc w:val="center"/>
              <w:rPr>
                <w:sz w:val="20"/>
                <w:szCs w:val="20"/>
              </w:rPr>
            </w:pPr>
            <w:r w:rsidRPr="00623EE7">
              <w:rPr>
                <w:sz w:val="20"/>
                <w:szCs w:val="20"/>
              </w:rPr>
              <w:t>28</w:t>
            </w:r>
          </w:p>
        </w:tc>
        <w:tc>
          <w:tcPr>
            <w:tcW w:w="826" w:type="pct"/>
            <w:vAlign w:val="center"/>
          </w:tcPr>
          <w:p w14:paraId="52A38533" w14:textId="77777777" w:rsidR="00061783" w:rsidRPr="00623EE7" w:rsidRDefault="00061783" w:rsidP="00D20A1E">
            <w:pPr>
              <w:widowControl/>
              <w:spacing w:before="40" w:after="40"/>
              <w:jc w:val="center"/>
              <w:rPr>
                <w:sz w:val="20"/>
                <w:szCs w:val="20"/>
              </w:rPr>
            </w:pPr>
            <w:r w:rsidRPr="009C6A9A">
              <w:rPr>
                <w:sz w:val="20"/>
                <w:szCs w:val="20"/>
              </w:rPr>
              <w:t>14</w:t>
            </w:r>
          </w:p>
        </w:tc>
        <w:tc>
          <w:tcPr>
            <w:tcW w:w="985" w:type="pct"/>
            <w:vAlign w:val="center"/>
          </w:tcPr>
          <w:p w14:paraId="6639CDB7" w14:textId="77777777" w:rsidR="00061783" w:rsidRPr="00623EE7" w:rsidRDefault="00061783" w:rsidP="00D20A1E">
            <w:pPr>
              <w:widowControl/>
              <w:spacing w:before="40" w:after="40"/>
              <w:jc w:val="center"/>
              <w:rPr>
                <w:sz w:val="20"/>
                <w:szCs w:val="20"/>
              </w:rPr>
            </w:pPr>
            <w:r w:rsidRPr="00623EE7">
              <w:rPr>
                <w:sz w:val="20"/>
                <w:szCs w:val="20"/>
              </w:rPr>
              <w:t>2</w:t>
            </w:r>
          </w:p>
        </w:tc>
        <w:tc>
          <w:tcPr>
            <w:tcW w:w="1443" w:type="pct"/>
            <w:vAlign w:val="center"/>
          </w:tcPr>
          <w:p w14:paraId="5295DDAA" w14:textId="77777777" w:rsidR="00061783" w:rsidRPr="00623EE7" w:rsidRDefault="00061783" w:rsidP="00D20A1E">
            <w:pPr>
              <w:widowControl/>
              <w:spacing w:before="40" w:after="40"/>
              <w:jc w:val="center"/>
              <w:rPr>
                <w:sz w:val="20"/>
                <w:szCs w:val="20"/>
              </w:rPr>
            </w:pPr>
            <w:r w:rsidRPr="00623EE7">
              <w:rPr>
                <w:sz w:val="20"/>
                <w:szCs w:val="20"/>
              </w:rPr>
              <w:t>2</w:t>
            </w:r>
            <w:r w:rsidRPr="00623EE7">
              <w:rPr>
                <w:rFonts w:cs="Arial"/>
                <w:sz w:val="20"/>
                <w:szCs w:val="20"/>
                <w:vertAlign w:val="superscript"/>
              </w:rPr>
              <w:sym w:font="Wingdings" w:char="F0B6"/>
            </w:r>
          </w:p>
        </w:tc>
      </w:tr>
      <w:tr w:rsidR="00061783" w:rsidRPr="00876703" w14:paraId="610FBEFD" w14:textId="77777777" w:rsidTr="00061783">
        <w:tc>
          <w:tcPr>
            <w:tcW w:w="979" w:type="pct"/>
            <w:vAlign w:val="center"/>
          </w:tcPr>
          <w:p w14:paraId="093AD3FB" w14:textId="77777777" w:rsidR="00061783" w:rsidRPr="00623EE7" w:rsidRDefault="00061783" w:rsidP="00D20A1E">
            <w:pPr>
              <w:widowControl/>
              <w:spacing w:before="40" w:after="40"/>
              <w:rPr>
                <w:sz w:val="20"/>
                <w:szCs w:val="20"/>
              </w:rPr>
            </w:pPr>
            <w:r w:rsidRPr="00623EE7">
              <w:rPr>
                <w:rFonts w:cs="Arial"/>
                <w:sz w:val="20"/>
                <w:szCs w:val="20"/>
              </w:rPr>
              <w:t>Iodine (µg)</w:t>
            </w:r>
          </w:p>
        </w:tc>
        <w:tc>
          <w:tcPr>
            <w:tcW w:w="767" w:type="pct"/>
            <w:vAlign w:val="center"/>
          </w:tcPr>
          <w:p w14:paraId="30E2EA53" w14:textId="77777777" w:rsidR="00061783" w:rsidRPr="00623EE7" w:rsidRDefault="00061783" w:rsidP="00D20A1E">
            <w:pPr>
              <w:widowControl/>
              <w:spacing w:before="40" w:after="40"/>
              <w:jc w:val="center"/>
              <w:rPr>
                <w:sz w:val="20"/>
                <w:szCs w:val="20"/>
              </w:rPr>
            </w:pPr>
            <w:r w:rsidRPr="00623EE7">
              <w:rPr>
                <w:sz w:val="20"/>
                <w:szCs w:val="20"/>
              </w:rPr>
              <w:t>44.6</w:t>
            </w:r>
          </w:p>
        </w:tc>
        <w:tc>
          <w:tcPr>
            <w:tcW w:w="826" w:type="pct"/>
            <w:vAlign w:val="center"/>
          </w:tcPr>
          <w:p w14:paraId="0C443717" w14:textId="77777777" w:rsidR="00061783" w:rsidRPr="00623EE7" w:rsidRDefault="00061783" w:rsidP="00D20A1E">
            <w:pPr>
              <w:pStyle w:val="table20"/>
              <w:spacing w:before="40" w:beforeAutospacing="0" w:after="40" w:afterAutospacing="0"/>
              <w:jc w:val="center"/>
              <w:rPr>
                <w:rFonts w:ascii="Arial" w:hAnsi="Arial" w:cs="Arial"/>
                <w:sz w:val="20"/>
                <w:szCs w:val="20"/>
              </w:rPr>
            </w:pPr>
            <w:r w:rsidRPr="009C6A9A">
              <w:rPr>
                <w:rFonts w:ascii="Arial" w:hAnsi="Arial" w:cs="Arial"/>
                <w:sz w:val="20"/>
                <w:szCs w:val="20"/>
              </w:rPr>
              <w:t>28.8</w:t>
            </w:r>
          </w:p>
        </w:tc>
        <w:tc>
          <w:tcPr>
            <w:tcW w:w="985" w:type="pct"/>
            <w:vAlign w:val="center"/>
          </w:tcPr>
          <w:p w14:paraId="30022507" w14:textId="77777777" w:rsidR="00061783" w:rsidRPr="00623EE7" w:rsidRDefault="00061783" w:rsidP="00D20A1E">
            <w:pPr>
              <w:pStyle w:val="table20"/>
              <w:spacing w:before="40" w:beforeAutospacing="0" w:after="40" w:afterAutospacing="0"/>
              <w:jc w:val="center"/>
              <w:rPr>
                <w:rFonts w:ascii="Arial" w:hAnsi="Arial" w:cs="Arial"/>
                <w:sz w:val="20"/>
                <w:szCs w:val="20"/>
              </w:rPr>
            </w:pPr>
            <w:r w:rsidRPr="00623EE7">
              <w:rPr>
                <w:rFonts w:ascii="Arial" w:hAnsi="Arial" w:cs="Arial"/>
                <w:sz w:val="20"/>
                <w:szCs w:val="20"/>
              </w:rPr>
              <w:t>1.2</w:t>
            </w:r>
          </w:p>
        </w:tc>
        <w:tc>
          <w:tcPr>
            <w:tcW w:w="1443" w:type="pct"/>
            <w:vAlign w:val="center"/>
          </w:tcPr>
          <w:p w14:paraId="5D5355CF" w14:textId="77777777" w:rsidR="00061783" w:rsidRPr="00623EE7" w:rsidRDefault="00061783" w:rsidP="00D20A1E">
            <w:pPr>
              <w:pStyle w:val="table20"/>
              <w:spacing w:before="40" w:beforeAutospacing="0" w:after="40" w:afterAutospacing="0"/>
              <w:jc w:val="center"/>
              <w:rPr>
                <w:rFonts w:ascii="Arial" w:hAnsi="Arial" w:cs="Arial"/>
                <w:sz w:val="20"/>
                <w:szCs w:val="20"/>
              </w:rPr>
            </w:pPr>
            <w:r w:rsidRPr="00623EE7">
              <w:rPr>
                <w:rFonts w:ascii="Arial" w:hAnsi="Arial" w:cs="Arial"/>
                <w:sz w:val="20"/>
                <w:szCs w:val="20"/>
              </w:rPr>
              <w:t>0.4</w:t>
            </w:r>
          </w:p>
        </w:tc>
      </w:tr>
      <w:tr w:rsidR="00061783" w:rsidRPr="00876703" w14:paraId="7474670F" w14:textId="77777777" w:rsidTr="00061783">
        <w:tc>
          <w:tcPr>
            <w:tcW w:w="979" w:type="pct"/>
            <w:vAlign w:val="center"/>
          </w:tcPr>
          <w:p w14:paraId="341ED31E" w14:textId="77777777" w:rsidR="00061783" w:rsidRPr="00623EE7" w:rsidRDefault="00061783" w:rsidP="00D20A1E">
            <w:pPr>
              <w:widowControl/>
              <w:spacing w:before="40" w:after="40"/>
              <w:rPr>
                <w:sz w:val="20"/>
                <w:szCs w:val="20"/>
              </w:rPr>
            </w:pPr>
            <w:r w:rsidRPr="00623EE7">
              <w:rPr>
                <w:rFonts w:cs="Arial"/>
                <w:sz w:val="20"/>
                <w:szCs w:val="20"/>
              </w:rPr>
              <w:t>Magnesium (mg)</w:t>
            </w:r>
          </w:p>
        </w:tc>
        <w:tc>
          <w:tcPr>
            <w:tcW w:w="767" w:type="pct"/>
            <w:vAlign w:val="center"/>
          </w:tcPr>
          <w:p w14:paraId="1D95EC42" w14:textId="77777777" w:rsidR="00061783" w:rsidRPr="00623EE7" w:rsidRDefault="00061783" w:rsidP="00D20A1E">
            <w:pPr>
              <w:widowControl/>
              <w:spacing w:before="40" w:after="40"/>
              <w:jc w:val="center"/>
              <w:rPr>
                <w:sz w:val="20"/>
                <w:szCs w:val="20"/>
              </w:rPr>
            </w:pPr>
            <w:r w:rsidRPr="00623EE7">
              <w:rPr>
                <w:sz w:val="20"/>
                <w:szCs w:val="20"/>
              </w:rPr>
              <w:t>20</w:t>
            </w:r>
          </w:p>
        </w:tc>
        <w:tc>
          <w:tcPr>
            <w:tcW w:w="826" w:type="pct"/>
            <w:vAlign w:val="center"/>
          </w:tcPr>
          <w:p w14:paraId="1B9568F6" w14:textId="77777777" w:rsidR="00061783" w:rsidRPr="00623EE7" w:rsidRDefault="00061783" w:rsidP="00D20A1E">
            <w:pPr>
              <w:widowControl/>
              <w:spacing w:before="40" w:after="40"/>
              <w:jc w:val="center"/>
              <w:rPr>
                <w:rFonts w:cs="Arial"/>
                <w:sz w:val="20"/>
                <w:szCs w:val="20"/>
              </w:rPr>
            </w:pPr>
            <w:r w:rsidRPr="009C6A9A">
              <w:rPr>
                <w:rFonts w:cs="Arial"/>
                <w:sz w:val="20"/>
                <w:szCs w:val="20"/>
              </w:rPr>
              <w:t>24</w:t>
            </w:r>
          </w:p>
        </w:tc>
        <w:tc>
          <w:tcPr>
            <w:tcW w:w="985" w:type="pct"/>
            <w:vAlign w:val="center"/>
          </w:tcPr>
          <w:p w14:paraId="4DE855B2" w14:textId="77777777" w:rsidR="00061783" w:rsidRPr="00623EE7" w:rsidRDefault="00061783" w:rsidP="00D20A1E">
            <w:pPr>
              <w:widowControl/>
              <w:spacing w:before="40" w:after="40"/>
              <w:jc w:val="center"/>
              <w:rPr>
                <w:rFonts w:cs="Arial"/>
                <w:sz w:val="20"/>
                <w:szCs w:val="20"/>
              </w:rPr>
            </w:pPr>
            <w:r w:rsidRPr="00623EE7">
              <w:rPr>
                <w:rFonts w:cs="Arial"/>
                <w:sz w:val="20"/>
                <w:szCs w:val="20"/>
              </w:rPr>
              <w:t>34</w:t>
            </w:r>
          </w:p>
        </w:tc>
        <w:tc>
          <w:tcPr>
            <w:tcW w:w="1443" w:type="pct"/>
            <w:vAlign w:val="center"/>
          </w:tcPr>
          <w:p w14:paraId="652C6D92" w14:textId="77777777" w:rsidR="00061783" w:rsidRPr="00623EE7" w:rsidRDefault="00061783" w:rsidP="00D20A1E">
            <w:pPr>
              <w:widowControl/>
              <w:spacing w:before="40" w:after="40"/>
              <w:jc w:val="center"/>
              <w:rPr>
                <w:rFonts w:cs="Arial"/>
                <w:sz w:val="20"/>
                <w:szCs w:val="20"/>
              </w:rPr>
            </w:pPr>
            <w:r w:rsidRPr="00623EE7">
              <w:rPr>
                <w:rFonts w:cs="Arial"/>
                <w:sz w:val="20"/>
                <w:szCs w:val="20"/>
              </w:rPr>
              <w:t>26</w:t>
            </w:r>
            <w:r w:rsidRPr="00623EE7">
              <w:rPr>
                <w:rFonts w:cs="Arial"/>
                <w:sz w:val="20"/>
                <w:szCs w:val="20"/>
                <w:vertAlign w:val="superscript"/>
              </w:rPr>
              <w:sym w:font="Wingdings" w:char="F0B6"/>
            </w:r>
          </w:p>
        </w:tc>
      </w:tr>
      <w:tr w:rsidR="00061783" w:rsidRPr="00876703" w14:paraId="03FE10A2" w14:textId="77777777" w:rsidTr="00061783">
        <w:tc>
          <w:tcPr>
            <w:tcW w:w="979" w:type="pct"/>
            <w:vAlign w:val="center"/>
          </w:tcPr>
          <w:p w14:paraId="30A28F4E" w14:textId="77777777" w:rsidR="00061783" w:rsidRPr="00623EE7" w:rsidRDefault="00061783" w:rsidP="00D20A1E">
            <w:pPr>
              <w:widowControl/>
              <w:spacing w:before="40" w:after="40"/>
              <w:rPr>
                <w:sz w:val="20"/>
                <w:szCs w:val="20"/>
              </w:rPr>
            </w:pPr>
            <w:r w:rsidRPr="00623EE7">
              <w:rPr>
                <w:rFonts w:cs="Arial"/>
                <w:sz w:val="20"/>
                <w:szCs w:val="20"/>
              </w:rPr>
              <w:t>Phosphorus (mg)</w:t>
            </w:r>
          </w:p>
        </w:tc>
        <w:tc>
          <w:tcPr>
            <w:tcW w:w="767" w:type="pct"/>
            <w:vAlign w:val="center"/>
          </w:tcPr>
          <w:p w14:paraId="6760698B" w14:textId="77777777" w:rsidR="00061783" w:rsidRPr="00623EE7" w:rsidRDefault="00061783" w:rsidP="00D20A1E">
            <w:pPr>
              <w:widowControl/>
              <w:spacing w:before="40" w:after="40"/>
              <w:jc w:val="center"/>
              <w:rPr>
                <w:sz w:val="20"/>
                <w:szCs w:val="20"/>
              </w:rPr>
            </w:pPr>
            <w:r w:rsidRPr="00623EE7">
              <w:rPr>
                <w:sz w:val="20"/>
                <w:szCs w:val="20"/>
              </w:rPr>
              <w:t>176</w:t>
            </w:r>
          </w:p>
        </w:tc>
        <w:tc>
          <w:tcPr>
            <w:tcW w:w="826" w:type="pct"/>
            <w:vAlign w:val="center"/>
          </w:tcPr>
          <w:p w14:paraId="78BDDAE6" w14:textId="77777777" w:rsidR="00061783" w:rsidRPr="00623EE7" w:rsidRDefault="00061783" w:rsidP="00D20A1E">
            <w:pPr>
              <w:pStyle w:val="table20"/>
              <w:spacing w:before="40" w:beforeAutospacing="0" w:after="40" w:afterAutospacing="0"/>
              <w:jc w:val="center"/>
              <w:rPr>
                <w:rFonts w:ascii="Arial" w:hAnsi="Arial" w:cs="Arial"/>
                <w:sz w:val="20"/>
                <w:szCs w:val="20"/>
              </w:rPr>
            </w:pPr>
            <w:r w:rsidRPr="009C6A9A">
              <w:rPr>
                <w:rFonts w:ascii="Arial" w:hAnsi="Arial" w:cs="Arial"/>
                <w:sz w:val="20"/>
                <w:szCs w:val="20"/>
              </w:rPr>
              <w:t>194</w:t>
            </w:r>
          </w:p>
        </w:tc>
        <w:tc>
          <w:tcPr>
            <w:tcW w:w="985" w:type="pct"/>
            <w:vAlign w:val="center"/>
          </w:tcPr>
          <w:p w14:paraId="2683AEDB" w14:textId="77777777" w:rsidR="00061783" w:rsidRPr="00623EE7" w:rsidRDefault="00061783" w:rsidP="00D20A1E">
            <w:pPr>
              <w:pStyle w:val="table20"/>
              <w:spacing w:before="40" w:beforeAutospacing="0" w:after="40" w:afterAutospacing="0"/>
              <w:jc w:val="center"/>
              <w:rPr>
                <w:rFonts w:ascii="Arial" w:hAnsi="Arial" w:cs="Arial"/>
                <w:sz w:val="20"/>
                <w:szCs w:val="20"/>
              </w:rPr>
            </w:pPr>
            <w:r w:rsidRPr="00623EE7">
              <w:rPr>
                <w:rFonts w:ascii="Arial" w:hAnsi="Arial" w:cs="Arial"/>
                <w:sz w:val="20"/>
                <w:szCs w:val="20"/>
              </w:rPr>
              <w:t>78</w:t>
            </w:r>
          </w:p>
        </w:tc>
        <w:tc>
          <w:tcPr>
            <w:tcW w:w="1443" w:type="pct"/>
            <w:vAlign w:val="center"/>
          </w:tcPr>
          <w:p w14:paraId="24D7C06E" w14:textId="77777777" w:rsidR="00061783" w:rsidRPr="00623EE7" w:rsidRDefault="00061783" w:rsidP="00D20A1E">
            <w:pPr>
              <w:pStyle w:val="table20"/>
              <w:spacing w:before="40" w:beforeAutospacing="0" w:after="40" w:afterAutospacing="0"/>
              <w:jc w:val="center"/>
              <w:rPr>
                <w:rFonts w:ascii="Arial" w:hAnsi="Arial" w:cs="Arial"/>
                <w:sz w:val="20"/>
                <w:szCs w:val="20"/>
              </w:rPr>
            </w:pPr>
            <w:r w:rsidRPr="00623EE7">
              <w:rPr>
                <w:rFonts w:ascii="Arial" w:hAnsi="Arial" w:cs="Arial"/>
                <w:sz w:val="20"/>
                <w:szCs w:val="20"/>
              </w:rPr>
              <w:t xml:space="preserve">28 – </w:t>
            </w:r>
            <w:r>
              <w:rPr>
                <w:rFonts w:ascii="Arial" w:hAnsi="Arial" w:cs="Arial"/>
                <w:sz w:val="20"/>
                <w:szCs w:val="20"/>
              </w:rPr>
              <w:t>122</w:t>
            </w:r>
          </w:p>
        </w:tc>
      </w:tr>
      <w:tr w:rsidR="00061783" w:rsidRPr="00876703" w14:paraId="0442EE9D" w14:textId="77777777" w:rsidTr="00061783">
        <w:tc>
          <w:tcPr>
            <w:tcW w:w="979" w:type="pct"/>
            <w:vAlign w:val="center"/>
          </w:tcPr>
          <w:p w14:paraId="44D0D411" w14:textId="77777777" w:rsidR="00061783" w:rsidRPr="00623EE7" w:rsidRDefault="00061783" w:rsidP="00D20A1E">
            <w:pPr>
              <w:keepNext/>
              <w:keepLines/>
              <w:widowControl/>
              <w:spacing w:before="40" w:after="40"/>
              <w:rPr>
                <w:sz w:val="20"/>
                <w:szCs w:val="20"/>
              </w:rPr>
            </w:pPr>
            <w:r w:rsidRPr="00623EE7">
              <w:rPr>
                <w:rFonts w:cs="Arial"/>
                <w:sz w:val="20"/>
                <w:szCs w:val="20"/>
              </w:rPr>
              <w:t>Riboflavin (mg)</w:t>
            </w:r>
          </w:p>
        </w:tc>
        <w:tc>
          <w:tcPr>
            <w:tcW w:w="767" w:type="pct"/>
            <w:vAlign w:val="center"/>
          </w:tcPr>
          <w:p w14:paraId="1A647961" w14:textId="77777777" w:rsidR="00061783" w:rsidRPr="00623EE7" w:rsidRDefault="00061783" w:rsidP="00D20A1E">
            <w:pPr>
              <w:keepNext/>
              <w:keepLines/>
              <w:widowControl/>
              <w:spacing w:before="40" w:after="40"/>
              <w:jc w:val="center"/>
              <w:rPr>
                <w:sz w:val="20"/>
                <w:szCs w:val="20"/>
              </w:rPr>
            </w:pPr>
            <w:r w:rsidRPr="00623EE7">
              <w:rPr>
                <w:sz w:val="20"/>
                <w:szCs w:val="20"/>
              </w:rPr>
              <w:t>0.40</w:t>
            </w:r>
          </w:p>
        </w:tc>
        <w:tc>
          <w:tcPr>
            <w:tcW w:w="826" w:type="pct"/>
            <w:vAlign w:val="center"/>
          </w:tcPr>
          <w:p w14:paraId="1B91329E" w14:textId="77777777" w:rsidR="00061783" w:rsidRPr="00623EE7" w:rsidRDefault="00061783" w:rsidP="00D20A1E">
            <w:pPr>
              <w:keepNext/>
              <w:keepLines/>
              <w:widowControl/>
              <w:spacing w:before="40" w:after="40"/>
              <w:jc w:val="center"/>
              <w:rPr>
                <w:rFonts w:cs="Arial"/>
                <w:sz w:val="20"/>
                <w:szCs w:val="20"/>
              </w:rPr>
            </w:pPr>
            <w:r w:rsidRPr="009C6A9A">
              <w:rPr>
                <w:rFonts w:cs="Arial"/>
                <w:sz w:val="20"/>
                <w:szCs w:val="20"/>
              </w:rPr>
              <w:t>0.36</w:t>
            </w:r>
          </w:p>
        </w:tc>
        <w:tc>
          <w:tcPr>
            <w:tcW w:w="985" w:type="pct"/>
            <w:vAlign w:val="center"/>
          </w:tcPr>
          <w:p w14:paraId="2C4F899A" w14:textId="77777777" w:rsidR="00061783" w:rsidRPr="00623EE7" w:rsidRDefault="00061783" w:rsidP="00D20A1E">
            <w:pPr>
              <w:keepNext/>
              <w:keepLines/>
              <w:widowControl/>
              <w:spacing w:before="40" w:after="40"/>
              <w:jc w:val="center"/>
              <w:rPr>
                <w:rFonts w:cs="Arial"/>
                <w:sz w:val="20"/>
                <w:szCs w:val="20"/>
              </w:rPr>
            </w:pPr>
            <w:r w:rsidRPr="00623EE7">
              <w:rPr>
                <w:rFonts w:cs="Arial"/>
                <w:sz w:val="20"/>
                <w:szCs w:val="20"/>
              </w:rPr>
              <w:t>0</w:t>
            </w:r>
          </w:p>
        </w:tc>
        <w:tc>
          <w:tcPr>
            <w:tcW w:w="1443" w:type="pct"/>
            <w:vAlign w:val="center"/>
          </w:tcPr>
          <w:p w14:paraId="025EA740" w14:textId="77777777" w:rsidR="00061783" w:rsidRPr="00623EE7" w:rsidRDefault="00061783" w:rsidP="00D20A1E">
            <w:pPr>
              <w:keepNext/>
              <w:keepLines/>
              <w:widowControl/>
              <w:spacing w:before="40" w:after="40"/>
              <w:jc w:val="center"/>
              <w:rPr>
                <w:rFonts w:cs="Arial"/>
                <w:sz w:val="20"/>
                <w:szCs w:val="20"/>
              </w:rPr>
            </w:pPr>
            <w:r w:rsidRPr="00623EE7">
              <w:rPr>
                <w:rFonts w:cs="Arial"/>
                <w:sz w:val="20"/>
                <w:szCs w:val="20"/>
              </w:rPr>
              <w:t>0.052</w:t>
            </w:r>
            <w:r w:rsidRPr="00623EE7">
              <w:rPr>
                <w:rFonts w:cs="Arial"/>
                <w:sz w:val="20"/>
                <w:szCs w:val="20"/>
                <w:vertAlign w:val="superscript"/>
              </w:rPr>
              <w:sym w:font="Wingdings" w:char="F0B6"/>
            </w:r>
          </w:p>
        </w:tc>
      </w:tr>
      <w:tr w:rsidR="00061783" w:rsidRPr="00876703" w14:paraId="7932E0FA" w14:textId="77777777" w:rsidTr="00061783">
        <w:tc>
          <w:tcPr>
            <w:tcW w:w="979" w:type="pct"/>
            <w:vAlign w:val="center"/>
          </w:tcPr>
          <w:p w14:paraId="16C89E89" w14:textId="77777777" w:rsidR="00061783" w:rsidRPr="00623EE7" w:rsidRDefault="00061783" w:rsidP="00D20A1E">
            <w:pPr>
              <w:keepNext/>
              <w:keepLines/>
              <w:widowControl/>
              <w:spacing w:before="40" w:after="40"/>
              <w:rPr>
                <w:sz w:val="20"/>
                <w:szCs w:val="20"/>
              </w:rPr>
            </w:pPr>
            <w:r w:rsidRPr="00623EE7">
              <w:rPr>
                <w:rFonts w:cs="Arial"/>
                <w:sz w:val="20"/>
                <w:szCs w:val="20"/>
              </w:rPr>
              <w:t>Thiamin (mg)</w:t>
            </w:r>
          </w:p>
        </w:tc>
        <w:tc>
          <w:tcPr>
            <w:tcW w:w="767" w:type="pct"/>
            <w:vAlign w:val="center"/>
          </w:tcPr>
          <w:p w14:paraId="2976994D" w14:textId="77777777" w:rsidR="00061783" w:rsidRPr="00623EE7" w:rsidRDefault="00061783" w:rsidP="00D20A1E">
            <w:pPr>
              <w:keepNext/>
              <w:keepLines/>
              <w:widowControl/>
              <w:spacing w:before="40" w:after="40"/>
              <w:jc w:val="center"/>
              <w:rPr>
                <w:sz w:val="20"/>
                <w:szCs w:val="20"/>
              </w:rPr>
            </w:pPr>
            <w:r w:rsidRPr="00623EE7">
              <w:rPr>
                <w:sz w:val="20"/>
                <w:szCs w:val="20"/>
              </w:rPr>
              <w:t>0.01</w:t>
            </w:r>
          </w:p>
        </w:tc>
        <w:tc>
          <w:tcPr>
            <w:tcW w:w="826" w:type="pct"/>
            <w:vAlign w:val="center"/>
          </w:tcPr>
          <w:p w14:paraId="45E3DF48" w14:textId="77777777" w:rsidR="00061783" w:rsidRPr="00623EE7" w:rsidRDefault="00061783" w:rsidP="00D20A1E">
            <w:pPr>
              <w:keepNext/>
              <w:keepLines/>
              <w:widowControl/>
              <w:spacing w:before="40" w:after="40"/>
              <w:jc w:val="center"/>
              <w:rPr>
                <w:rFonts w:cs="Arial"/>
                <w:sz w:val="20"/>
                <w:szCs w:val="20"/>
              </w:rPr>
            </w:pPr>
            <w:r w:rsidRPr="009C6A9A">
              <w:rPr>
                <w:rFonts w:cs="Arial"/>
                <w:sz w:val="20"/>
                <w:szCs w:val="20"/>
              </w:rPr>
              <w:t>0.07</w:t>
            </w:r>
          </w:p>
        </w:tc>
        <w:tc>
          <w:tcPr>
            <w:tcW w:w="985" w:type="pct"/>
            <w:vAlign w:val="center"/>
          </w:tcPr>
          <w:p w14:paraId="51F99952" w14:textId="77777777" w:rsidR="00061783" w:rsidRPr="00623EE7" w:rsidRDefault="00061783" w:rsidP="00D20A1E">
            <w:pPr>
              <w:keepNext/>
              <w:keepLines/>
              <w:widowControl/>
              <w:spacing w:before="40" w:after="40"/>
              <w:jc w:val="center"/>
              <w:rPr>
                <w:rFonts w:cs="Arial"/>
                <w:sz w:val="20"/>
                <w:szCs w:val="20"/>
              </w:rPr>
            </w:pPr>
            <w:r w:rsidRPr="00623EE7">
              <w:rPr>
                <w:rFonts w:cs="Arial"/>
                <w:sz w:val="20"/>
                <w:szCs w:val="20"/>
              </w:rPr>
              <w:t>0.06</w:t>
            </w:r>
          </w:p>
        </w:tc>
        <w:tc>
          <w:tcPr>
            <w:tcW w:w="1443" w:type="pct"/>
            <w:vAlign w:val="center"/>
          </w:tcPr>
          <w:p w14:paraId="6F7BBDF2" w14:textId="77777777" w:rsidR="00061783" w:rsidRPr="00623EE7" w:rsidRDefault="00061783" w:rsidP="00D20A1E">
            <w:pPr>
              <w:keepNext/>
              <w:keepLines/>
              <w:widowControl/>
              <w:spacing w:before="40" w:after="40"/>
              <w:jc w:val="center"/>
              <w:rPr>
                <w:rFonts w:cs="Arial"/>
                <w:sz w:val="20"/>
                <w:szCs w:val="20"/>
              </w:rPr>
            </w:pPr>
            <w:r w:rsidRPr="00623EE7">
              <w:rPr>
                <w:rFonts w:cs="Arial"/>
                <w:sz w:val="20"/>
                <w:szCs w:val="20"/>
              </w:rPr>
              <w:t>0.008</w:t>
            </w:r>
            <w:r w:rsidRPr="00623EE7">
              <w:rPr>
                <w:rFonts w:cs="Arial"/>
                <w:sz w:val="20"/>
                <w:szCs w:val="20"/>
                <w:vertAlign w:val="superscript"/>
              </w:rPr>
              <w:sym w:font="Wingdings" w:char="F0B6"/>
            </w:r>
          </w:p>
        </w:tc>
      </w:tr>
      <w:tr w:rsidR="00061783" w:rsidRPr="00876703" w14:paraId="66F0116D" w14:textId="77777777" w:rsidTr="00061783">
        <w:tc>
          <w:tcPr>
            <w:tcW w:w="979" w:type="pct"/>
            <w:vAlign w:val="center"/>
          </w:tcPr>
          <w:p w14:paraId="2FEDBE99" w14:textId="77777777" w:rsidR="00061783" w:rsidRPr="00623EE7" w:rsidRDefault="00061783" w:rsidP="00D20A1E">
            <w:pPr>
              <w:keepNext/>
              <w:keepLines/>
              <w:widowControl/>
              <w:spacing w:before="40" w:after="40"/>
              <w:rPr>
                <w:sz w:val="20"/>
                <w:szCs w:val="20"/>
              </w:rPr>
            </w:pPr>
            <w:r w:rsidRPr="00623EE7">
              <w:rPr>
                <w:rFonts w:cs="Arial"/>
                <w:sz w:val="20"/>
                <w:szCs w:val="20"/>
              </w:rPr>
              <w:t>Vitamin A (µg)</w:t>
            </w:r>
          </w:p>
        </w:tc>
        <w:tc>
          <w:tcPr>
            <w:tcW w:w="767" w:type="pct"/>
            <w:vAlign w:val="center"/>
          </w:tcPr>
          <w:p w14:paraId="4EB5BD16" w14:textId="77777777" w:rsidR="00061783" w:rsidRPr="00623EE7" w:rsidRDefault="00061783" w:rsidP="00D20A1E">
            <w:pPr>
              <w:keepNext/>
              <w:keepLines/>
              <w:widowControl/>
              <w:spacing w:before="40" w:after="40"/>
              <w:jc w:val="center"/>
              <w:rPr>
                <w:sz w:val="20"/>
                <w:szCs w:val="20"/>
              </w:rPr>
            </w:pPr>
            <w:r w:rsidRPr="00623EE7">
              <w:rPr>
                <w:sz w:val="20"/>
                <w:szCs w:val="20"/>
              </w:rPr>
              <w:t>102</w:t>
            </w:r>
          </w:p>
        </w:tc>
        <w:tc>
          <w:tcPr>
            <w:tcW w:w="826" w:type="pct"/>
            <w:vAlign w:val="center"/>
          </w:tcPr>
          <w:p w14:paraId="2D23D61A" w14:textId="77777777" w:rsidR="00061783" w:rsidRPr="00623EE7" w:rsidRDefault="00061783" w:rsidP="00D20A1E">
            <w:pPr>
              <w:keepNext/>
              <w:keepLines/>
              <w:widowControl/>
              <w:spacing w:before="40" w:after="40"/>
              <w:jc w:val="center"/>
              <w:rPr>
                <w:rFonts w:cs="Arial"/>
                <w:sz w:val="20"/>
                <w:szCs w:val="20"/>
              </w:rPr>
            </w:pPr>
            <w:r>
              <w:rPr>
                <w:rFonts w:cs="Arial"/>
                <w:sz w:val="20"/>
                <w:szCs w:val="20"/>
              </w:rPr>
              <w:t>0</w:t>
            </w:r>
          </w:p>
        </w:tc>
        <w:tc>
          <w:tcPr>
            <w:tcW w:w="985" w:type="pct"/>
            <w:vAlign w:val="center"/>
          </w:tcPr>
          <w:p w14:paraId="52D96681" w14:textId="77777777" w:rsidR="00061783" w:rsidRPr="00623EE7" w:rsidRDefault="00061783" w:rsidP="00D20A1E">
            <w:pPr>
              <w:keepNext/>
              <w:keepLines/>
              <w:widowControl/>
              <w:spacing w:before="40" w:after="40"/>
              <w:jc w:val="center"/>
              <w:rPr>
                <w:rFonts w:cs="Arial"/>
                <w:sz w:val="20"/>
                <w:szCs w:val="20"/>
              </w:rPr>
            </w:pPr>
            <w:r w:rsidRPr="00623EE7">
              <w:rPr>
                <w:rFonts w:cs="Arial"/>
                <w:sz w:val="20"/>
                <w:szCs w:val="20"/>
              </w:rPr>
              <w:t>0</w:t>
            </w:r>
          </w:p>
        </w:tc>
        <w:tc>
          <w:tcPr>
            <w:tcW w:w="1443" w:type="pct"/>
            <w:vAlign w:val="center"/>
          </w:tcPr>
          <w:p w14:paraId="793E5281" w14:textId="77777777" w:rsidR="00061783" w:rsidRPr="00623EE7" w:rsidRDefault="00061783" w:rsidP="00D20A1E">
            <w:pPr>
              <w:keepNext/>
              <w:keepLines/>
              <w:widowControl/>
              <w:spacing w:before="40" w:after="40"/>
              <w:jc w:val="center"/>
              <w:rPr>
                <w:rFonts w:cs="Arial"/>
                <w:sz w:val="20"/>
                <w:szCs w:val="20"/>
              </w:rPr>
            </w:pPr>
            <w:r w:rsidRPr="00623EE7">
              <w:rPr>
                <w:rFonts w:cs="Arial"/>
                <w:sz w:val="20"/>
                <w:szCs w:val="20"/>
              </w:rPr>
              <w:t>0</w:t>
            </w:r>
            <w:r w:rsidRPr="00623EE7">
              <w:rPr>
                <w:rFonts w:cs="Arial"/>
                <w:sz w:val="20"/>
                <w:szCs w:val="20"/>
                <w:vertAlign w:val="superscript"/>
              </w:rPr>
              <w:sym w:font="Wingdings" w:char="F0B6"/>
            </w:r>
          </w:p>
        </w:tc>
      </w:tr>
      <w:tr w:rsidR="00061783" w:rsidRPr="00876703" w14:paraId="49FE87B3" w14:textId="77777777" w:rsidTr="00061783">
        <w:tc>
          <w:tcPr>
            <w:tcW w:w="979" w:type="pct"/>
            <w:vAlign w:val="center"/>
          </w:tcPr>
          <w:p w14:paraId="22D97876" w14:textId="77777777" w:rsidR="00061783" w:rsidRPr="00623EE7" w:rsidRDefault="00061783" w:rsidP="00D20A1E">
            <w:pPr>
              <w:widowControl/>
              <w:spacing w:before="40" w:after="40"/>
              <w:rPr>
                <w:sz w:val="20"/>
                <w:szCs w:val="20"/>
              </w:rPr>
            </w:pPr>
            <w:r w:rsidRPr="00623EE7">
              <w:rPr>
                <w:rFonts w:cs="Arial"/>
                <w:sz w:val="20"/>
                <w:szCs w:val="20"/>
              </w:rPr>
              <w:t>Vitamin B</w:t>
            </w:r>
            <w:r w:rsidRPr="00623EE7">
              <w:rPr>
                <w:rFonts w:cs="Arial"/>
                <w:sz w:val="20"/>
                <w:szCs w:val="20"/>
                <w:vertAlign w:val="subscript"/>
              </w:rPr>
              <w:t>12</w:t>
            </w:r>
            <w:r w:rsidRPr="00623EE7">
              <w:rPr>
                <w:rFonts w:cs="Arial"/>
                <w:sz w:val="20"/>
                <w:szCs w:val="20"/>
              </w:rPr>
              <w:t xml:space="preserve"> (µg)</w:t>
            </w:r>
          </w:p>
        </w:tc>
        <w:tc>
          <w:tcPr>
            <w:tcW w:w="767" w:type="pct"/>
            <w:vAlign w:val="center"/>
          </w:tcPr>
          <w:p w14:paraId="0BEF15FF" w14:textId="77777777" w:rsidR="00061783" w:rsidRPr="00623EE7" w:rsidRDefault="00061783" w:rsidP="00D20A1E">
            <w:pPr>
              <w:widowControl/>
              <w:spacing w:before="40" w:after="40"/>
              <w:jc w:val="center"/>
              <w:rPr>
                <w:sz w:val="20"/>
                <w:szCs w:val="20"/>
              </w:rPr>
            </w:pPr>
            <w:r w:rsidRPr="00623EE7">
              <w:rPr>
                <w:sz w:val="20"/>
                <w:szCs w:val="20"/>
              </w:rPr>
              <w:t>1.2</w:t>
            </w:r>
          </w:p>
        </w:tc>
        <w:tc>
          <w:tcPr>
            <w:tcW w:w="826" w:type="pct"/>
            <w:vAlign w:val="center"/>
          </w:tcPr>
          <w:p w14:paraId="6E2B83EB" w14:textId="77777777" w:rsidR="00061783" w:rsidRPr="00623EE7" w:rsidRDefault="00061783" w:rsidP="00D20A1E">
            <w:pPr>
              <w:widowControl/>
              <w:spacing w:before="40" w:after="40"/>
              <w:jc w:val="center"/>
              <w:rPr>
                <w:rFonts w:cs="Arial"/>
                <w:sz w:val="20"/>
                <w:szCs w:val="20"/>
              </w:rPr>
            </w:pPr>
            <w:r w:rsidRPr="009C6A9A">
              <w:rPr>
                <w:rFonts w:cs="Arial"/>
                <w:sz w:val="20"/>
                <w:szCs w:val="20"/>
              </w:rPr>
              <w:t>1.2</w:t>
            </w:r>
          </w:p>
        </w:tc>
        <w:tc>
          <w:tcPr>
            <w:tcW w:w="985" w:type="pct"/>
            <w:vAlign w:val="center"/>
          </w:tcPr>
          <w:p w14:paraId="1670B5A0" w14:textId="77777777" w:rsidR="00061783" w:rsidRPr="00623EE7" w:rsidRDefault="00061783" w:rsidP="00D20A1E">
            <w:pPr>
              <w:widowControl/>
              <w:spacing w:before="40" w:after="40"/>
              <w:jc w:val="center"/>
              <w:rPr>
                <w:rFonts w:cs="Arial"/>
                <w:sz w:val="20"/>
                <w:szCs w:val="20"/>
              </w:rPr>
            </w:pPr>
            <w:r w:rsidRPr="00623EE7">
              <w:rPr>
                <w:rFonts w:cs="Arial"/>
                <w:sz w:val="20"/>
                <w:szCs w:val="20"/>
              </w:rPr>
              <w:t>0</w:t>
            </w:r>
          </w:p>
        </w:tc>
        <w:tc>
          <w:tcPr>
            <w:tcW w:w="1443" w:type="pct"/>
            <w:vAlign w:val="center"/>
          </w:tcPr>
          <w:p w14:paraId="7CF47A23" w14:textId="77777777" w:rsidR="00061783" w:rsidRPr="00623EE7" w:rsidRDefault="00061783" w:rsidP="00D20A1E">
            <w:pPr>
              <w:widowControl/>
              <w:spacing w:before="40" w:after="40"/>
              <w:jc w:val="center"/>
              <w:rPr>
                <w:rFonts w:cs="Arial"/>
                <w:sz w:val="20"/>
                <w:szCs w:val="20"/>
              </w:rPr>
            </w:pPr>
            <w:r w:rsidRPr="00623EE7">
              <w:rPr>
                <w:rFonts w:cs="Arial"/>
                <w:sz w:val="20"/>
                <w:szCs w:val="20"/>
              </w:rPr>
              <w:t>0</w:t>
            </w:r>
            <w:r w:rsidRPr="00623EE7">
              <w:rPr>
                <w:rFonts w:cs="Arial"/>
                <w:sz w:val="20"/>
                <w:szCs w:val="20"/>
                <w:vertAlign w:val="superscript"/>
              </w:rPr>
              <w:sym w:font="Wingdings" w:char="F0B6"/>
            </w:r>
          </w:p>
        </w:tc>
      </w:tr>
      <w:tr w:rsidR="00061783" w:rsidRPr="00876703" w14:paraId="268CCC33" w14:textId="77777777" w:rsidTr="00061783">
        <w:tc>
          <w:tcPr>
            <w:tcW w:w="979" w:type="pct"/>
            <w:vAlign w:val="center"/>
          </w:tcPr>
          <w:p w14:paraId="44A8C8F3" w14:textId="77777777" w:rsidR="00061783" w:rsidRPr="00623EE7" w:rsidRDefault="00061783" w:rsidP="00D20A1E">
            <w:pPr>
              <w:widowControl/>
              <w:spacing w:before="40" w:after="40"/>
              <w:rPr>
                <w:sz w:val="20"/>
                <w:szCs w:val="20"/>
              </w:rPr>
            </w:pPr>
            <w:r w:rsidRPr="00623EE7">
              <w:rPr>
                <w:rFonts w:cs="Arial"/>
                <w:sz w:val="20"/>
                <w:szCs w:val="20"/>
              </w:rPr>
              <w:t>Vitamin B</w:t>
            </w:r>
            <w:r w:rsidRPr="00623EE7">
              <w:rPr>
                <w:rFonts w:cs="Arial"/>
                <w:sz w:val="20"/>
                <w:szCs w:val="20"/>
                <w:vertAlign w:val="subscript"/>
              </w:rPr>
              <w:t>6</w:t>
            </w:r>
            <w:r w:rsidRPr="00623EE7">
              <w:rPr>
                <w:rFonts w:cs="Arial"/>
                <w:sz w:val="20"/>
                <w:szCs w:val="20"/>
              </w:rPr>
              <w:t xml:space="preserve"> (mg)</w:t>
            </w:r>
          </w:p>
        </w:tc>
        <w:tc>
          <w:tcPr>
            <w:tcW w:w="767" w:type="pct"/>
            <w:vAlign w:val="center"/>
          </w:tcPr>
          <w:p w14:paraId="1A31F3D6" w14:textId="77777777" w:rsidR="00061783" w:rsidRPr="00623EE7" w:rsidRDefault="00061783" w:rsidP="00D20A1E">
            <w:pPr>
              <w:widowControl/>
              <w:spacing w:before="40" w:after="40"/>
              <w:jc w:val="center"/>
              <w:rPr>
                <w:sz w:val="20"/>
                <w:szCs w:val="20"/>
              </w:rPr>
            </w:pPr>
            <w:r w:rsidRPr="00623EE7">
              <w:rPr>
                <w:sz w:val="20"/>
                <w:szCs w:val="20"/>
              </w:rPr>
              <w:t>0.14</w:t>
            </w:r>
          </w:p>
        </w:tc>
        <w:tc>
          <w:tcPr>
            <w:tcW w:w="826" w:type="pct"/>
            <w:vAlign w:val="center"/>
          </w:tcPr>
          <w:p w14:paraId="09641F41" w14:textId="77777777" w:rsidR="00061783" w:rsidRPr="00623EE7" w:rsidRDefault="00061783" w:rsidP="00D20A1E">
            <w:pPr>
              <w:widowControl/>
              <w:spacing w:before="40" w:after="40"/>
              <w:jc w:val="center"/>
              <w:rPr>
                <w:rFonts w:cs="Arial"/>
                <w:sz w:val="20"/>
                <w:szCs w:val="20"/>
              </w:rPr>
            </w:pPr>
            <w:r w:rsidRPr="009C6A9A">
              <w:rPr>
                <w:rFonts w:cs="Arial"/>
                <w:sz w:val="20"/>
                <w:szCs w:val="20"/>
              </w:rPr>
              <w:t>0.06</w:t>
            </w:r>
          </w:p>
        </w:tc>
        <w:tc>
          <w:tcPr>
            <w:tcW w:w="985" w:type="pct"/>
            <w:vAlign w:val="center"/>
          </w:tcPr>
          <w:p w14:paraId="610FB12A" w14:textId="77777777" w:rsidR="00061783" w:rsidRPr="00623EE7" w:rsidRDefault="00061783" w:rsidP="00D20A1E">
            <w:pPr>
              <w:widowControl/>
              <w:spacing w:before="40" w:after="40"/>
              <w:jc w:val="center"/>
              <w:rPr>
                <w:rFonts w:cs="Arial"/>
                <w:sz w:val="20"/>
                <w:szCs w:val="20"/>
              </w:rPr>
            </w:pPr>
            <w:r w:rsidRPr="00623EE7">
              <w:rPr>
                <w:rFonts w:cs="Arial"/>
                <w:sz w:val="20"/>
                <w:szCs w:val="20"/>
              </w:rPr>
              <w:t>0</w:t>
            </w:r>
          </w:p>
        </w:tc>
        <w:tc>
          <w:tcPr>
            <w:tcW w:w="1443" w:type="pct"/>
            <w:vAlign w:val="center"/>
          </w:tcPr>
          <w:p w14:paraId="320C8D12" w14:textId="77777777" w:rsidR="00061783" w:rsidRPr="00623EE7" w:rsidRDefault="00061783" w:rsidP="00D20A1E">
            <w:pPr>
              <w:widowControl/>
              <w:spacing w:before="40" w:after="40"/>
              <w:jc w:val="center"/>
              <w:rPr>
                <w:rFonts w:cs="Arial"/>
                <w:sz w:val="20"/>
                <w:szCs w:val="20"/>
              </w:rPr>
            </w:pPr>
            <w:r w:rsidRPr="00623EE7">
              <w:rPr>
                <w:rFonts w:cs="Arial"/>
                <w:sz w:val="20"/>
                <w:szCs w:val="20"/>
              </w:rPr>
              <w:t>0</w:t>
            </w:r>
            <w:r w:rsidRPr="00623EE7">
              <w:rPr>
                <w:rFonts w:cs="Arial"/>
                <w:sz w:val="20"/>
                <w:szCs w:val="20"/>
                <w:vertAlign w:val="superscript"/>
              </w:rPr>
              <w:sym w:font="Wingdings" w:char="F0B6"/>
            </w:r>
          </w:p>
        </w:tc>
      </w:tr>
      <w:tr w:rsidR="00061783" w:rsidRPr="00876703" w14:paraId="262A4914" w14:textId="77777777" w:rsidTr="00061783">
        <w:tc>
          <w:tcPr>
            <w:tcW w:w="979" w:type="pct"/>
            <w:vAlign w:val="center"/>
          </w:tcPr>
          <w:p w14:paraId="02828025" w14:textId="77777777" w:rsidR="00061783" w:rsidRPr="00623EE7" w:rsidRDefault="00061783" w:rsidP="00D20A1E">
            <w:pPr>
              <w:widowControl/>
              <w:spacing w:before="40" w:after="40"/>
              <w:rPr>
                <w:sz w:val="20"/>
                <w:szCs w:val="20"/>
              </w:rPr>
            </w:pPr>
            <w:r w:rsidRPr="00623EE7">
              <w:rPr>
                <w:rFonts w:cs="Arial"/>
                <w:sz w:val="20"/>
                <w:szCs w:val="20"/>
              </w:rPr>
              <w:lastRenderedPageBreak/>
              <w:t>Vitamin D (µg)</w:t>
            </w:r>
          </w:p>
        </w:tc>
        <w:tc>
          <w:tcPr>
            <w:tcW w:w="767" w:type="pct"/>
            <w:vAlign w:val="center"/>
          </w:tcPr>
          <w:p w14:paraId="637AC715" w14:textId="77777777" w:rsidR="00061783" w:rsidRPr="00623EE7" w:rsidRDefault="00061783" w:rsidP="00D20A1E">
            <w:pPr>
              <w:widowControl/>
              <w:spacing w:before="40" w:after="40"/>
              <w:jc w:val="center"/>
              <w:rPr>
                <w:sz w:val="20"/>
                <w:szCs w:val="20"/>
              </w:rPr>
            </w:pPr>
            <w:r w:rsidRPr="00623EE7">
              <w:rPr>
                <w:sz w:val="20"/>
                <w:szCs w:val="20"/>
              </w:rPr>
              <w:t>Data not available</w:t>
            </w:r>
          </w:p>
        </w:tc>
        <w:tc>
          <w:tcPr>
            <w:tcW w:w="826" w:type="pct"/>
            <w:vAlign w:val="center"/>
          </w:tcPr>
          <w:p w14:paraId="783460F2" w14:textId="77777777" w:rsidR="00061783" w:rsidRPr="00623EE7" w:rsidRDefault="00061783" w:rsidP="00D20A1E">
            <w:pPr>
              <w:widowControl/>
              <w:spacing w:before="40" w:after="40"/>
              <w:jc w:val="center"/>
              <w:rPr>
                <w:sz w:val="20"/>
                <w:szCs w:val="20"/>
              </w:rPr>
            </w:pPr>
            <w:r w:rsidRPr="00623EE7">
              <w:rPr>
                <w:sz w:val="20"/>
                <w:szCs w:val="20"/>
              </w:rPr>
              <w:t>Data not available</w:t>
            </w:r>
          </w:p>
        </w:tc>
        <w:tc>
          <w:tcPr>
            <w:tcW w:w="985" w:type="pct"/>
            <w:vAlign w:val="center"/>
          </w:tcPr>
          <w:p w14:paraId="0C781F79" w14:textId="77777777" w:rsidR="00061783" w:rsidRPr="00623EE7" w:rsidRDefault="00061783" w:rsidP="00D20A1E">
            <w:pPr>
              <w:widowControl/>
              <w:spacing w:before="40" w:after="40"/>
              <w:jc w:val="center"/>
              <w:rPr>
                <w:sz w:val="20"/>
                <w:szCs w:val="20"/>
              </w:rPr>
            </w:pPr>
            <w:r w:rsidRPr="00623EE7">
              <w:rPr>
                <w:sz w:val="20"/>
                <w:szCs w:val="20"/>
              </w:rPr>
              <w:t>Data not available</w:t>
            </w:r>
          </w:p>
        </w:tc>
        <w:tc>
          <w:tcPr>
            <w:tcW w:w="1443" w:type="pct"/>
            <w:vAlign w:val="center"/>
          </w:tcPr>
          <w:p w14:paraId="775C2CA9" w14:textId="77777777" w:rsidR="00061783" w:rsidRPr="00623EE7" w:rsidRDefault="00061783" w:rsidP="00D20A1E">
            <w:pPr>
              <w:widowControl/>
              <w:spacing w:before="40" w:after="40"/>
              <w:jc w:val="center"/>
              <w:rPr>
                <w:rFonts w:cs="Arial"/>
                <w:sz w:val="20"/>
                <w:szCs w:val="20"/>
              </w:rPr>
            </w:pPr>
            <w:r w:rsidRPr="00623EE7">
              <w:rPr>
                <w:sz w:val="20"/>
                <w:szCs w:val="20"/>
              </w:rPr>
              <w:t>Data not available</w:t>
            </w:r>
          </w:p>
        </w:tc>
      </w:tr>
      <w:tr w:rsidR="00061783" w:rsidRPr="00876703" w14:paraId="27573AA4" w14:textId="77777777" w:rsidTr="00061783">
        <w:tc>
          <w:tcPr>
            <w:tcW w:w="979" w:type="pct"/>
            <w:vAlign w:val="center"/>
          </w:tcPr>
          <w:p w14:paraId="3F425D81" w14:textId="77777777" w:rsidR="00061783" w:rsidRPr="00623EE7" w:rsidRDefault="00061783" w:rsidP="00D20A1E">
            <w:pPr>
              <w:widowControl/>
              <w:spacing w:before="40" w:after="40"/>
              <w:rPr>
                <w:sz w:val="20"/>
                <w:szCs w:val="20"/>
              </w:rPr>
            </w:pPr>
            <w:r w:rsidRPr="00623EE7">
              <w:rPr>
                <w:rFonts w:cs="Arial"/>
                <w:sz w:val="20"/>
                <w:szCs w:val="20"/>
              </w:rPr>
              <w:t>Zinc (mg)</w:t>
            </w:r>
          </w:p>
        </w:tc>
        <w:tc>
          <w:tcPr>
            <w:tcW w:w="767" w:type="pct"/>
            <w:vAlign w:val="center"/>
          </w:tcPr>
          <w:p w14:paraId="700A0483" w14:textId="77777777" w:rsidR="00061783" w:rsidRPr="00623EE7" w:rsidRDefault="00061783" w:rsidP="00D20A1E">
            <w:pPr>
              <w:widowControl/>
              <w:spacing w:before="40" w:after="40"/>
              <w:jc w:val="center"/>
              <w:rPr>
                <w:sz w:val="20"/>
                <w:szCs w:val="20"/>
              </w:rPr>
            </w:pPr>
            <w:r w:rsidRPr="00623EE7">
              <w:rPr>
                <w:sz w:val="20"/>
                <w:szCs w:val="20"/>
              </w:rPr>
              <w:t>0.68</w:t>
            </w:r>
          </w:p>
        </w:tc>
        <w:tc>
          <w:tcPr>
            <w:tcW w:w="826" w:type="pct"/>
            <w:vAlign w:val="center"/>
          </w:tcPr>
          <w:p w14:paraId="4B5C0FF3" w14:textId="77777777" w:rsidR="00061783" w:rsidRPr="00623EE7" w:rsidRDefault="00061783" w:rsidP="00D20A1E">
            <w:pPr>
              <w:widowControl/>
              <w:spacing w:before="40" w:after="40"/>
              <w:jc w:val="center"/>
              <w:rPr>
                <w:rFonts w:cs="Arial"/>
                <w:sz w:val="20"/>
                <w:szCs w:val="20"/>
              </w:rPr>
            </w:pPr>
            <w:r w:rsidRPr="009C6A9A">
              <w:rPr>
                <w:rFonts w:cs="Arial"/>
                <w:sz w:val="20"/>
                <w:szCs w:val="20"/>
              </w:rPr>
              <w:t>0.64</w:t>
            </w:r>
          </w:p>
        </w:tc>
        <w:tc>
          <w:tcPr>
            <w:tcW w:w="985" w:type="pct"/>
            <w:vAlign w:val="center"/>
          </w:tcPr>
          <w:p w14:paraId="25DCA895" w14:textId="77777777" w:rsidR="00061783" w:rsidRPr="00623EE7" w:rsidRDefault="00061783" w:rsidP="00D20A1E">
            <w:pPr>
              <w:widowControl/>
              <w:spacing w:before="40" w:after="40"/>
              <w:jc w:val="center"/>
              <w:rPr>
                <w:rFonts w:cs="Arial"/>
                <w:sz w:val="20"/>
                <w:szCs w:val="20"/>
              </w:rPr>
            </w:pPr>
            <w:r w:rsidRPr="00623EE7">
              <w:rPr>
                <w:rFonts w:cs="Arial"/>
                <w:sz w:val="20"/>
                <w:szCs w:val="20"/>
              </w:rPr>
              <w:t>0.56</w:t>
            </w:r>
          </w:p>
        </w:tc>
        <w:tc>
          <w:tcPr>
            <w:tcW w:w="1443" w:type="pct"/>
            <w:vAlign w:val="center"/>
          </w:tcPr>
          <w:p w14:paraId="1D3C24A9" w14:textId="77777777" w:rsidR="00061783" w:rsidRPr="00623EE7" w:rsidRDefault="00061783" w:rsidP="00D20A1E">
            <w:pPr>
              <w:widowControl/>
              <w:spacing w:before="40" w:after="40"/>
              <w:jc w:val="center"/>
              <w:rPr>
                <w:rFonts w:cs="Arial"/>
                <w:sz w:val="20"/>
                <w:szCs w:val="20"/>
              </w:rPr>
            </w:pPr>
            <w:r w:rsidRPr="00623EE7">
              <w:rPr>
                <w:rFonts w:cs="Arial"/>
                <w:sz w:val="20"/>
                <w:szCs w:val="20"/>
              </w:rPr>
              <w:t>0.2</w:t>
            </w:r>
            <w:r w:rsidRPr="00623EE7">
              <w:rPr>
                <w:rFonts w:cs="Arial"/>
                <w:sz w:val="20"/>
                <w:szCs w:val="20"/>
                <w:vertAlign w:val="superscript"/>
              </w:rPr>
              <w:sym w:font="Wingdings" w:char="F0B6"/>
            </w:r>
          </w:p>
        </w:tc>
      </w:tr>
    </w:tbl>
    <w:p w14:paraId="587177D9" w14:textId="77777777" w:rsidR="00061783" w:rsidRDefault="00061783" w:rsidP="00D20A1E">
      <w:pPr>
        <w:widowControl/>
        <w:ind w:left="567" w:hanging="567"/>
        <w:rPr>
          <w:sz w:val="18"/>
          <w:szCs w:val="18"/>
        </w:rPr>
      </w:pPr>
      <w:r w:rsidRPr="00C84AA3">
        <w:rPr>
          <w:rFonts w:cs="Arial"/>
          <w:sz w:val="18"/>
          <w:szCs w:val="18"/>
        </w:rPr>
        <w:t>Δ</w:t>
      </w:r>
      <w:r w:rsidRPr="00540936">
        <w:rPr>
          <w:rFonts w:cs="Arial"/>
          <w:b/>
          <w:sz w:val="18"/>
          <w:szCs w:val="18"/>
        </w:rPr>
        <w:tab/>
      </w:r>
      <w:r>
        <w:rPr>
          <w:sz w:val="18"/>
          <w:szCs w:val="18"/>
        </w:rPr>
        <w:t>Re</w:t>
      </w:r>
      <w:r w:rsidRPr="00540936">
        <w:rPr>
          <w:sz w:val="18"/>
          <w:szCs w:val="18"/>
        </w:rPr>
        <w:t xml:space="preserve">fer to </w:t>
      </w:r>
      <w:r w:rsidRPr="00540936">
        <w:rPr>
          <w:sz w:val="18"/>
          <w:szCs w:val="18"/>
        </w:rPr>
        <w:fldChar w:fldCharType="begin"/>
      </w:r>
      <w:r w:rsidRPr="00540936">
        <w:rPr>
          <w:sz w:val="18"/>
          <w:szCs w:val="18"/>
        </w:rPr>
        <w:instrText xml:space="preserve"> REF _Ref417648633 \h </w:instrText>
      </w:r>
      <w:r>
        <w:rPr>
          <w:sz w:val="18"/>
          <w:szCs w:val="18"/>
        </w:rPr>
        <w:instrText xml:space="preserve"> \* MERGEFORMAT </w:instrText>
      </w:r>
      <w:r w:rsidRPr="00540936">
        <w:rPr>
          <w:sz w:val="18"/>
          <w:szCs w:val="18"/>
        </w:rPr>
      </w:r>
      <w:r w:rsidRPr="00540936">
        <w:rPr>
          <w:sz w:val="18"/>
          <w:szCs w:val="18"/>
        </w:rPr>
        <w:fldChar w:fldCharType="separate"/>
      </w:r>
      <w:r w:rsidR="00047581" w:rsidRPr="00047581">
        <w:rPr>
          <w:sz w:val="18"/>
          <w:szCs w:val="18"/>
        </w:rPr>
        <w:t>Table A1.1</w:t>
      </w:r>
      <w:r w:rsidRPr="00540936">
        <w:rPr>
          <w:sz w:val="18"/>
          <w:szCs w:val="18"/>
        </w:rPr>
        <w:fldChar w:fldCharType="end"/>
      </w:r>
      <w:r w:rsidRPr="00540936">
        <w:rPr>
          <w:sz w:val="18"/>
          <w:szCs w:val="18"/>
        </w:rPr>
        <w:t xml:space="preserve"> in </w:t>
      </w:r>
      <w:r w:rsidRPr="00540936">
        <w:rPr>
          <w:sz w:val="18"/>
          <w:szCs w:val="18"/>
        </w:rPr>
        <w:fldChar w:fldCharType="begin"/>
      </w:r>
      <w:r w:rsidRPr="00540936">
        <w:rPr>
          <w:sz w:val="18"/>
          <w:szCs w:val="18"/>
        </w:rPr>
        <w:instrText xml:space="preserve"> REF _Ref417648450 \h </w:instrText>
      </w:r>
      <w:r>
        <w:rPr>
          <w:sz w:val="18"/>
          <w:szCs w:val="18"/>
        </w:rPr>
        <w:instrText xml:space="preserve"> \* MERGEFORMAT </w:instrText>
      </w:r>
      <w:r w:rsidRPr="00540936">
        <w:rPr>
          <w:sz w:val="18"/>
          <w:szCs w:val="18"/>
        </w:rPr>
      </w:r>
      <w:r w:rsidRPr="00540936">
        <w:rPr>
          <w:sz w:val="18"/>
          <w:szCs w:val="18"/>
        </w:rPr>
        <w:fldChar w:fldCharType="separate"/>
      </w:r>
      <w:r w:rsidR="00047581" w:rsidRPr="00047581">
        <w:rPr>
          <w:sz w:val="18"/>
          <w:szCs w:val="18"/>
        </w:rPr>
        <w:t xml:space="preserve">Appendix </w:t>
      </w:r>
      <w:r w:rsidR="00047581" w:rsidRPr="00047581">
        <w:rPr>
          <w:noProof/>
          <w:sz w:val="18"/>
          <w:szCs w:val="18"/>
        </w:rPr>
        <w:t>1</w:t>
      </w:r>
      <w:r w:rsidRPr="00540936">
        <w:rPr>
          <w:sz w:val="18"/>
          <w:szCs w:val="18"/>
        </w:rPr>
        <w:fldChar w:fldCharType="end"/>
      </w:r>
      <w:r>
        <w:rPr>
          <w:sz w:val="18"/>
          <w:szCs w:val="18"/>
        </w:rPr>
        <w:t xml:space="preserve"> for further details on the nutrient composition of full cream cow’s milk, unfortified cereal-based beverages and nut- and seed-based beverages (note that the nutrient profiles in </w:t>
      </w:r>
      <w:r w:rsidRPr="00540936">
        <w:rPr>
          <w:sz w:val="18"/>
          <w:szCs w:val="18"/>
        </w:rPr>
        <w:fldChar w:fldCharType="begin"/>
      </w:r>
      <w:r w:rsidRPr="00540936">
        <w:rPr>
          <w:sz w:val="18"/>
          <w:szCs w:val="18"/>
        </w:rPr>
        <w:instrText xml:space="preserve"> REF _Ref417648633 \h </w:instrText>
      </w:r>
      <w:r>
        <w:rPr>
          <w:sz w:val="18"/>
          <w:szCs w:val="18"/>
        </w:rPr>
        <w:instrText xml:space="preserve"> \* MERGEFORMAT </w:instrText>
      </w:r>
      <w:r w:rsidRPr="00540936">
        <w:rPr>
          <w:sz w:val="18"/>
          <w:szCs w:val="18"/>
        </w:rPr>
      </w:r>
      <w:r w:rsidRPr="00540936">
        <w:rPr>
          <w:sz w:val="18"/>
          <w:szCs w:val="18"/>
        </w:rPr>
        <w:fldChar w:fldCharType="separate"/>
      </w:r>
      <w:r w:rsidR="00047581" w:rsidRPr="00047581">
        <w:rPr>
          <w:sz w:val="18"/>
          <w:szCs w:val="18"/>
        </w:rPr>
        <w:t>Table A1.1</w:t>
      </w:r>
      <w:r w:rsidRPr="00540936">
        <w:rPr>
          <w:sz w:val="18"/>
          <w:szCs w:val="18"/>
        </w:rPr>
        <w:fldChar w:fldCharType="end"/>
      </w:r>
      <w:r>
        <w:rPr>
          <w:sz w:val="18"/>
          <w:szCs w:val="18"/>
        </w:rPr>
        <w:t xml:space="preserve"> are presented per 100 mL whereas this table is per reference quantity of 200 mL)</w:t>
      </w:r>
    </w:p>
    <w:p w14:paraId="140FAA9C" w14:textId="6590231A" w:rsidR="00061783" w:rsidRPr="00917CAF" w:rsidRDefault="00061783" w:rsidP="00D20A1E">
      <w:pPr>
        <w:widowControl/>
        <w:ind w:left="567" w:hanging="567"/>
        <w:rPr>
          <w:sz w:val="18"/>
          <w:szCs w:val="18"/>
        </w:rPr>
      </w:pPr>
      <w:r w:rsidRPr="00E73DD1">
        <w:rPr>
          <w:sz w:val="18"/>
          <w:szCs w:val="18"/>
        </w:rPr>
        <w:t>Ψ</w:t>
      </w:r>
      <w:r>
        <w:rPr>
          <w:sz w:val="18"/>
          <w:szCs w:val="18"/>
        </w:rPr>
        <w:tab/>
      </w:r>
      <w:r w:rsidRPr="00917CAF">
        <w:rPr>
          <w:rFonts w:cs="Arial"/>
          <w:sz w:val="18"/>
          <w:szCs w:val="18"/>
        </w:rPr>
        <w:t xml:space="preserve">Nutrient profiles from </w:t>
      </w:r>
      <w:r w:rsidRPr="00917CAF">
        <w:rPr>
          <w:rFonts w:cs="Arial"/>
          <w:i/>
          <w:sz w:val="18"/>
          <w:szCs w:val="18"/>
        </w:rPr>
        <w:t>AUSNUT 2011-13 Australian Health Survey Food Nutrient Database</w:t>
      </w:r>
      <w:r w:rsidR="00954E58">
        <w:rPr>
          <w:rFonts w:cs="Arial"/>
          <w:i/>
          <w:sz w:val="18"/>
          <w:szCs w:val="18"/>
        </w:rPr>
        <w:t xml:space="preserve"> </w:t>
      </w:r>
      <w:r w:rsidR="00954E58" w:rsidRPr="00954E58">
        <w:rPr>
          <w:rFonts w:cs="Arial"/>
          <w:sz w:val="18"/>
          <w:szCs w:val="18"/>
        </w:rPr>
        <w:t>(FSANZ 2014)</w:t>
      </w:r>
    </w:p>
    <w:p w14:paraId="3810CFEE" w14:textId="77777777" w:rsidR="00061783" w:rsidRPr="00AF1EDB" w:rsidRDefault="00061783" w:rsidP="00D20A1E">
      <w:pPr>
        <w:widowControl/>
        <w:ind w:left="567" w:hanging="567"/>
        <w:rPr>
          <w:sz w:val="18"/>
          <w:szCs w:val="18"/>
        </w:rPr>
      </w:pPr>
      <w:r w:rsidRPr="00AF1EDB">
        <w:rPr>
          <w:rFonts w:cs="Arial"/>
          <w:sz w:val="18"/>
          <w:szCs w:val="18"/>
        </w:rPr>
        <w:t>ɣ</w:t>
      </w:r>
      <w:r w:rsidRPr="00AF1EDB">
        <w:rPr>
          <w:rFonts w:cs="Arial"/>
          <w:sz w:val="18"/>
          <w:szCs w:val="18"/>
        </w:rPr>
        <w:tab/>
        <w:t xml:space="preserve">Data on the nutrient content of </w:t>
      </w:r>
      <w:r>
        <w:rPr>
          <w:rFonts w:cs="Arial"/>
          <w:sz w:val="18"/>
          <w:szCs w:val="18"/>
        </w:rPr>
        <w:t xml:space="preserve">nut- </w:t>
      </w:r>
      <w:r w:rsidRPr="00AF1EDB">
        <w:rPr>
          <w:rFonts w:cs="Arial"/>
          <w:sz w:val="18"/>
          <w:szCs w:val="18"/>
        </w:rPr>
        <w:t>and seed-based beverages that are currently on the market is derived, in most cases, from product label data</w:t>
      </w:r>
    </w:p>
    <w:p w14:paraId="7805AC35" w14:textId="483A123C" w:rsidR="00061783" w:rsidRPr="00917CAF" w:rsidRDefault="00061783" w:rsidP="00D20A1E">
      <w:pPr>
        <w:widowControl/>
        <w:ind w:left="567" w:hanging="567"/>
        <w:rPr>
          <w:rFonts w:cs="Arial"/>
          <w:sz w:val="18"/>
          <w:szCs w:val="18"/>
        </w:rPr>
      </w:pPr>
      <w:r w:rsidRPr="00876703">
        <w:rPr>
          <w:rFonts w:cs="Arial"/>
          <w:sz w:val="20"/>
          <w:szCs w:val="20"/>
        </w:rPr>
        <w:sym w:font="Wingdings" w:char="F0B6"/>
      </w:r>
      <w:r w:rsidRPr="00876703">
        <w:rPr>
          <w:rFonts w:cs="Arial"/>
          <w:sz w:val="20"/>
          <w:szCs w:val="20"/>
        </w:rPr>
        <w:tab/>
      </w:r>
      <w:r w:rsidRPr="00917CAF">
        <w:rPr>
          <w:rFonts w:cs="Arial"/>
          <w:sz w:val="18"/>
          <w:szCs w:val="18"/>
        </w:rPr>
        <w:t xml:space="preserve">Nutrient profile for nut-based beverage from </w:t>
      </w:r>
      <w:r w:rsidRPr="00917CAF">
        <w:rPr>
          <w:rFonts w:cs="Arial"/>
          <w:i/>
          <w:sz w:val="18"/>
          <w:szCs w:val="18"/>
        </w:rPr>
        <w:t>AUSNUT 2011-13 Australian Health Survey Food Nutrient Database</w:t>
      </w:r>
      <w:r w:rsidR="00954E58">
        <w:rPr>
          <w:rFonts w:cs="Arial"/>
          <w:i/>
          <w:sz w:val="18"/>
          <w:szCs w:val="18"/>
        </w:rPr>
        <w:t xml:space="preserve"> </w:t>
      </w:r>
      <w:r w:rsidR="00954E58" w:rsidRPr="00954E58">
        <w:rPr>
          <w:rFonts w:cs="Arial"/>
          <w:sz w:val="18"/>
          <w:szCs w:val="18"/>
        </w:rPr>
        <w:t>(FSANZ 2014)</w:t>
      </w:r>
    </w:p>
    <w:p w14:paraId="0CAC69CA" w14:textId="77777777" w:rsidR="00061783" w:rsidRDefault="00061783" w:rsidP="00D20A1E">
      <w:pPr>
        <w:widowControl/>
        <w:ind w:left="567" w:hanging="567"/>
      </w:pPr>
      <w:r w:rsidRPr="00DA6927">
        <w:rPr>
          <w:rFonts w:cs="Arial"/>
          <w:sz w:val="18"/>
          <w:szCs w:val="18"/>
        </w:rPr>
        <w:sym w:font="Wingdings 2" w:char="F0E8"/>
      </w:r>
      <w:r w:rsidRPr="00DA6927">
        <w:rPr>
          <w:rFonts w:cs="Arial"/>
          <w:sz w:val="18"/>
          <w:szCs w:val="18"/>
        </w:rPr>
        <w:tab/>
        <w:t xml:space="preserve">As </w:t>
      </w:r>
      <w:r>
        <w:rPr>
          <w:rFonts w:cs="Arial"/>
          <w:sz w:val="18"/>
          <w:szCs w:val="18"/>
        </w:rPr>
        <w:t>noted</w:t>
      </w:r>
      <w:r w:rsidRPr="00DA6927">
        <w:rPr>
          <w:rFonts w:cs="Arial"/>
          <w:sz w:val="18"/>
          <w:szCs w:val="18"/>
        </w:rPr>
        <w:t xml:space="preserve"> in Section </w:t>
      </w:r>
      <w:r w:rsidRPr="00DA6927">
        <w:rPr>
          <w:rFonts w:cs="Arial"/>
          <w:sz w:val="18"/>
          <w:szCs w:val="18"/>
        </w:rPr>
        <w:fldChar w:fldCharType="begin"/>
      </w:r>
      <w:r w:rsidRPr="00DA6927">
        <w:rPr>
          <w:rFonts w:cs="Arial"/>
          <w:sz w:val="18"/>
          <w:szCs w:val="18"/>
        </w:rPr>
        <w:instrText xml:space="preserve"> REF _Ref417476359 \r \h  \* MERGEFORMAT </w:instrText>
      </w:r>
      <w:r w:rsidRPr="00DA6927">
        <w:rPr>
          <w:rFonts w:cs="Arial"/>
          <w:sz w:val="18"/>
          <w:szCs w:val="18"/>
        </w:rPr>
      </w:r>
      <w:r w:rsidRPr="00DA6927">
        <w:rPr>
          <w:rFonts w:cs="Arial"/>
          <w:sz w:val="18"/>
          <w:szCs w:val="18"/>
        </w:rPr>
        <w:fldChar w:fldCharType="separate"/>
      </w:r>
      <w:r w:rsidR="00047581">
        <w:rPr>
          <w:rFonts w:cs="Arial"/>
          <w:sz w:val="18"/>
          <w:szCs w:val="18"/>
        </w:rPr>
        <w:t>6.1</w:t>
      </w:r>
      <w:r w:rsidRPr="00DA6927">
        <w:rPr>
          <w:rFonts w:cs="Arial"/>
          <w:sz w:val="18"/>
          <w:szCs w:val="18"/>
        </w:rPr>
        <w:fldChar w:fldCharType="end"/>
      </w:r>
      <w:r w:rsidRPr="00DA6927">
        <w:rPr>
          <w:rFonts w:cs="Arial"/>
          <w:sz w:val="18"/>
          <w:szCs w:val="18"/>
        </w:rPr>
        <w:t>, tricalcium phosphate</w:t>
      </w:r>
      <w:r w:rsidRPr="00DA6927">
        <w:rPr>
          <w:sz w:val="18"/>
          <w:szCs w:val="18"/>
        </w:rPr>
        <w:t xml:space="preserve"> and c</w:t>
      </w:r>
      <w:r w:rsidRPr="00DA6927">
        <w:rPr>
          <w:rFonts w:cs="Arial"/>
          <w:sz w:val="18"/>
          <w:szCs w:val="18"/>
        </w:rPr>
        <w:t xml:space="preserve">alcium carbonate can be used in </w:t>
      </w:r>
      <w:r>
        <w:rPr>
          <w:rFonts w:cs="Arial"/>
          <w:sz w:val="18"/>
          <w:szCs w:val="18"/>
        </w:rPr>
        <w:t xml:space="preserve">nut- </w:t>
      </w:r>
      <w:r w:rsidRPr="00DA6927">
        <w:rPr>
          <w:rFonts w:cs="Arial"/>
          <w:sz w:val="18"/>
          <w:szCs w:val="18"/>
        </w:rPr>
        <w:t>and seed-based beverages for technological purposes but are also calcium sources for fortification purposes.</w:t>
      </w:r>
    </w:p>
    <w:p w14:paraId="6DBD693D" w14:textId="6408BD20" w:rsidR="00A16296" w:rsidRDefault="00AF4FCB" w:rsidP="00D20A1E">
      <w:pPr>
        <w:pStyle w:val="Heading2"/>
      </w:pPr>
      <w:bookmarkStart w:id="68" w:name="_Ref426444057"/>
      <w:bookmarkStart w:id="69" w:name="_Ref426444060"/>
      <w:bookmarkStart w:id="70" w:name="_Toc427672165"/>
      <w:bookmarkStart w:id="71" w:name="_Toc427678231"/>
      <w:r>
        <w:t>5.2</w:t>
      </w:r>
      <w:r>
        <w:tab/>
      </w:r>
      <w:r w:rsidR="00A16296">
        <w:t>Comparison of proposed levels of vitamin/mineral fortification of nut- and seed based beverages with full cream cow’s milk</w:t>
      </w:r>
      <w:bookmarkEnd w:id="68"/>
      <w:bookmarkEnd w:id="69"/>
      <w:bookmarkEnd w:id="70"/>
      <w:bookmarkEnd w:id="71"/>
    </w:p>
    <w:p w14:paraId="167B2EFE" w14:textId="1E18DEAA" w:rsidR="00A16296" w:rsidRPr="00C57CF5" w:rsidRDefault="00A16296" w:rsidP="00D20A1E">
      <w:pPr>
        <w:widowControl/>
      </w:pPr>
      <w:r>
        <w:t xml:space="preserve">In general, the concentrations of vitamins and minerals requested to be permitted for voluntary fortification of nut- and seed-based beverages are similar to the concentrations naturally present in full cream cow’s milk (see </w:t>
      </w:r>
      <w:r>
        <w:fldChar w:fldCharType="begin"/>
      </w:r>
      <w:r>
        <w:instrText xml:space="preserve"> REF _Ref420935664 \h </w:instrText>
      </w:r>
      <w:r>
        <w:fldChar w:fldCharType="separate"/>
      </w:r>
      <w:r w:rsidR="00047581">
        <w:t xml:space="preserve">Table </w:t>
      </w:r>
      <w:r w:rsidR="00047581">
        <w:rPr>
          <w:noProof/>
        </w:rPr>
        <w:t>5</w:t>
      </w:r>
      <w:r>
        <w:fldChar w:fldCharType="end"/>
      </w:r>
      <w:r>
        <w:t>). The thiamin concentration in full cream cow’s milk is 10 times lower than</w:t>
      </w:r>
      <w:r w:rsidR="00E87D28">
        <w:t xml:space="preserve"> that already permitted to be added to cereal- and </w:t>
      </w:r>
      <w:r w:rsidR="00997D86">
        <w:t>legume</w:t>
      </w:r>
      <w:r w:rsidR="00E87D28">
        <w:t>-based beverages, and therefore</w:t>
      </w:r>
      <w:r>
        <w:t xml:space="preserve"> requested for nut- and seed-beverage fortification; folate (naturally occurring) is 2 times higher in full cream cow’s milk; and iodine is 3 times higher in full cream cow’s milk.</w:t>
      </w:r>
    </w:p>
    <w:p w14:paraId="0D0A9064" w14:textId="77777777" w:rsidR="004E6FAB" w:rsidRPr="00DA6927" w:rsidRDefault="004E6FAB" w:rsidP="00D20A1E">
      <w:pPr>
        <w:widowControl/>
        <w:ind w:left="567" w:hanging="567"/>
        <w:rPr>
          <w:sz w:val="18"/>
          <w:szCs w:val="18"/>
        </w:rPr>
      </w:pPr>
    </w:p>
    <w:p w14:paraId="0D0881F3" w14:textId="77777777" w:rsidR="008A3D24" w:rsidRDefault="008A3D24" w:rsidP="00D20A1E">
      <w:pPr>
        <w:widowControl/>
        <w:sectPr w:rsidR="008A3D24" w:rsidSect="00EE1FB8">
          <w:pgSz w:w="11906" w:h="16838"/>
          <w:pgMar w:top="1440" w:right="1440" w:bottom="1440" w:left="1440" w:header="709" w:footer="709" w:gutter="0"/>
          <w:pgBorders w:offsetFrom="page">
            <w:top w:val="single" w:sz="2" w:space="6" w:color="FFFFFF" w:themeColor="accent5" w:themeTint="00" w:themeShade="00" w:shadow="1" w:frame="1"/>
          </w:pgBorders>
          <w:pgNumType w:start="1"/>
          <w:cols w:space="708"/>
          <w:docGrid w:linePitch="360"/>
        </w:sectPr>
      </w:pPr>
    </w:p>
    <w:p w14:paraId="368996ED" w14:textId="1A6DFD9A" w:rsidR="00C03610" w:rsidRDefault="00C03610" w:rsidP="00D20A1E">
      <w:pPr>
        <w:pStyle w:val="FSTableTitle"/>
        <w:widowControl/>
      </w:pPr>
      <w:bookmarkStart w:id="72" w:name="_Ref420935664"/>
      <w:r>
        <w:lastRenderedPageBreak/>
        <w:t xml:space="preserve">Table </w:t>
      </w:r>
      <w:fldSimple w:instr=" SEQ Table \* ARABIC ">
        <w:r w:rsidR="00047581">
          <w:rPr>
            <w:noProof/>
          </w:rPr>
          <w:t>5</w:t>
        </w:r>
      </w:fldSimple>
      <w:bookmarkEnd w:id="72"/>
      <w:r>
        <w:t>: Comparison of vitamin/mineral content of nut- and seed-based beverages with full cream cow’s milk</w:t>
      </w:r>
    </w:p>
    <w:p w14:paraId="41943A19" w14:textId="77777777" w:rsidR="00513153" w:rsidRPr="00513153" w:rsidRDefault="00513153" w:rsidP="00513153"/>
    <w:tbl>
      <w:tblPr>
        <w:tblStyle w:val="TableGrid"/>
        <w:tblW w:w="5000" w:type="pct"/>
        <w:tblLook w:val="04A0" w:firstRow="1" w:lastRow="0" w:firstColumn="1" w:lastColumn="0" w:noHBand="0" w:noVBand="1"/>
      </w:tblPr>
      <w:tblGrid>
        <w:gridCol w:w="2762"/>
        <w:gridCol w:w="3084"/>
        <w:gridCol w:w="2619"/>
        <w:gridCol w:w="2557"/>
        <w:gridCol w:w="3152"/>
      </w:tblGrid>
      <w:tr w:rsidR="00C03610" w:rsidRPr="00540936" w14:paraId="25C34B58" w14:textId="77777777" w:rsidTr="00A004E1">
        <w:tc>
          <w:tcPr>
            <w:tcW w:w="974" w:type="pct"/>
            <w:vMerge w:val="restart"/>
            <w:shd w:val="clear" w:color="auto" w:fill="B8CCE4" w:themeFill="accent1" w:themeFillTint="66"/>
          </w:tcPr>
          <w:p w14:paraId="576FC5C2" w14:textId="77777777" w:rsidR="00C03610" w:rsidRDefault="00C03610" w:rsidP="00D20A1E">
            <w:pPr>
              <w:keepNext/>
              <w:keepLines/>
              <w:widowControl/>
              <w:spacing w:before="40" w:after="40"/>
              <w:rPr>
                <w:b/>
              </w:rPr>
            </w:pPr>
            <w:r w:rsidRPr="00540936">
              <w:rPr>
                <w:b/>
              </w:rPr>
              <w:t>Vitamin/ Mineral</w:t>
            </w:r>
          </w:p>
        </w:tc>
        <w:tc>
          <w:tcPr>
            <w:tcW w:w="4026" w:type="pct"/>
            <w:gridSpan w:val="4"/>
            <w:shd w:val="clear" w:color="auto" w:fill="B8CCE4" w:themeFill="accent1" w:themeFillTint="66"/>
          </w:tcPr>
          <w:p w14:paraId="76027E23" w14:textId="77777777" w:rsidR="00C03610" w:rsidRDefault="00C03610" w:rsidP="00D20A1E">
            <w:pPr>
              <w:keepNext/>
              <w:keepLines/>
              <w:widowControl/>
              <w:spacing w:before="40" w:after="40"/>
              <w:jc w:val="center"/>
              <w:rPr>
                <w:b/>
              </w:rPr>
            </w:pPr>
            <w:r w:rsidRPr="00E10186">
              <w:rPr>
                <w:b/>
              </w:rPr>
              <w:t>Concentration</w:t>
            </w:r>
            <w:r>
              <w:rPr>
                <w:b/>
              </w:rPr>
              <w:t xml:space="preserve"> per reference quantity (200 mL)</w:t>
            </w:r>
          </w:p>
          <w:p w14:paraId="58ADFCAD" w14:textId="77777777" w:rsidR="00C03610" w:rsidRDefault="00C03610" w:rsidP="00D20A1E">
            <w:pPr>
              <w:keepNext/>
              <w:keepLines/>
              <w:widowControl/>
              <w:spacing w:before="40" w:after="40"/>
              <w:jc w:val="center"/>
              <w:rPr>
                <w:b/>
              </w:rPr>
            </w:pPr>
          </w:p>
        </w:tc>
      </w:tr>
      <w:tr w:rsidR="00C03610" w:rsidRPr="00540936" w14:paraId="7063251C" w14:textId="77777777" w:rsidTr="00A004E1">
        <w:tc>
          <w:tcPr>
            <w:tcW w:w="974" w:type="pct"/>
            <w:vMerge/>
            <w:tcBorders>
              <w:bottom w:val="single" w:sz="4" w:space="0" w:color="000000"/>
            </w:tcBorders>
            <w:shd w:val="clear" w:color="auto" w:fill="B8CCE4" w:themeFill="accent1" w:themeFillTint="66"/>
          </w:tcPr>
          <w:p w14:paraId="502E4848" w14:textId="77777777" w:rsidR="00C03610" w:rsidRPr="00540936" w:rsidRDefault="00C03610" w:rsidP="00D20A1E">
            <w:pPr>
              <w:keepNext/>
              <w:keepLines/>
              <w:widowControl/>
              <w:spacing w:before="40" w:after="40"/>
              <w:rPr>
                <w:b/>
              </w:rPr>
            </w:pPr>
          </w:p>
        </w:tc>
        <w:tc>
          <w:tcPr>
            <w:tcW w:w="1088" w:type="pct"/>
            <w:vMerge w:val="restart"/>
            <w:shd w:val="clear" w:color="auto" w:fill="B8CCE4" w:themeFill="accent1" w:themeFillTint="66"/>
          </w:tcPr>
          <w:p w14:paraId="1A97DFC7" w14:textId="77777777" w:rsidR="00C03610" w:rsidRPr="00540936" w:rsidRDefault="00C03610" w:rsidP="00D20A1E">
            <w:pPr>
              <w:keepNext/>
              <w:keepLines/>
              <w:widowControl/>
              <w:spacing w:before="40" w:after="40"/>
              <w:jc w:val="center"/>
              <w:rPr>
                <w:b/>
              </w:rPr>
            </w:pPr>
            <w:r>
              <w:rPr>
                <w:b/>
              </w:rPr>
              <w:t>Full cream</w:t>
            </w:r>
            <w:r w:rsidRPr="00540936">
              <w:rPr>
                <w:b/>
              </w:rPr>
              <w:t xml:space="preserve"> </w:t>
            </w:r>
            <w:r>
              <w:rPr>
                <w:b/>
              </w:rPr>
              <w:t>cow’s</w:t>
            </w:r>
            <w:r w:rsidRPr="00540936">
              <w:rPr>
                <w:b/>
              </w:rPr>
              <w:t xml:space="preserve"> milk</w:t>
            </w:r>
            <w:r w:rsidRPr="00540936">
              <w:rPr>
                <w:rFonts w:cs="Arial"/>
                <w:b/>
                <w:vertAlign w:val="superscript"/>
              </w:rPr>
              <w:t>Δ</w:t>
            </w:r>
          </w:p>
        </w:tc>
        <w:tc>
          <w:tcPr>
            <w:tcW w:w="924" w:type="pct"/>
            <w:vMerge w:val="restart"/>
            <w:shd w:val="clear" w:color="auto" w:fill="B8CCE4" w:themeFill="accent1" w:themeFillTint="66"/>
          </w:tcPr>
          <w:p w14:paraId="4F70A52A" w14:textId="77777777" w:rsidR="00C03610" w:rsidRPr="00540936" w:rsidRDefault="00C03610" w:rsidP="00D20A1E">
            <w:pPr>
              <w:keepNext/>
              <w:keepLines/>
              <w:widowControl/>
              <w:spacing w:before="40" w:after="40"/>
              <w:jc w:val="center"/>
              <w:rPr>
                <w:b/>
              </w:rPr>
            </w:pPr>
            <w:r>
              <w:rPr>
                <w:b/>
              </w:rPr>
              <w:t>Nut- and seed-based beverages currently on the market</w:t>
            </w:r>
          </w:p>
        </w:tc>
        <w:tc>
          <w:tcPr>
            <w:tcW w:w="2014" w:type="pct"/>
            <w:gridSpan w:val="2"/>
            <w:tcBorders>
              <w:bottom w:val="single" w:sz="4" w:space="0" w:color="000000"/>
            </w:tcBorders>
            <w:shd w:val="clear" w:color="auto" w:fill="B8CCE4" w:themeFill="accent1" w:themeFillTint="66"/>
          </w:tcPr>
          <w:p w14:paraId="2F7D2E3A" w14:textId="77777777" w:rsidR="00C03610" w:rsidRPr="00540936" w:rsidRDefault="00C03610" w:rsidP="00D20A1E">
            <w:pPr>
              <w:keepNext/>
              <w:keepLines/>
              <w:widowControl/>
              <w:spacing w:before="40" w:after="40"/>
              <w:jc w:val="center"/>
              <w:rPr>
                <w:b/>
              </w:rPr>
            </w:pPr>
            <w:r w:rsidRPr="00540936">
              <w:rPr>
                <w:b/>
              </w:rPr>
              <w:t xml:space="preserve">Requested concentration for </w:t>
            </w:r>
            <w:r>
              <w:rPr>
                <w:b/>
              </w:rPr>
              <w:t xml:space="preserve">voluntary fortification of nut- </w:t>
            </w:r>
            <w:r w:rsidRPr="00540936">
              <w:rPr>
                <w:b/>
              </w:rPr>
              <w:t>and seed-based beverages</w:t>
            </w:r>
          </w:p>
        </w:tc>
      </w:tr>
      <w:tr w:rsidR="00C03610" w:rsidRPr="00540936" w14:paraId="56DD0D10" w14:textId="77777777" w:rsidTr="00A004E1">
        <w:tc>
          <w:tcPr>
            <w:tcW w:w="974" w:type="pct"/>
            <w:vMerge/>
            <w:tcBorders>
              <w:top w:val="single" w:sz="4" w:space="0" w:color="000000"/>
            </w:tcBorders>
            <w:shd w:val="clear" w:color="auto" w:fill="B8CCE4" w:themeFill="accent1" w:themeFillTint="66"/>
          </w:tcPr>
          <w:p w14:paraId="26938C4C" w14:textId="77777777" w:rsidR="00C03610" w:rsidRDefault="00C03610" w:rsidP="00D20A1E">
            <w:pPr>
              <w:keepNext/>
              <w:keepLines/>
              <w:widowControl/>
              <w:spacing w:before="40" w:after="40"/>
              <w:rPr>
                <w:b/>
              </w:rPr>
            </w:pPr>
          </w:p>
        </w:tc>
        <w:tc>
          <w:tcPr>
            <w:tcW w:w="1088" w:type="pct"/>
            <w:vMerge/>
            <w:shd w:val="clear" w:color="auto" w:fill="B8CCE4" w:themeFill="accent1" w:themeFillTint="66"/>
          </w:tcPr>
          <w:p w14:paraId="057A1375" w14:textId="77777777" w:rsidR="00C03610" w:rsidRDefault="00C03610" w:rsidP="00D20A1E">
            <w:pPr>
              <w:keepNext/>
              <w:keepLines/>
              <w:widowControl/>
              <w:spacing w:before="40" w:after="40"/>
              <w:rPr>
                <w:b/>
              </w:rPr>
            </w:pPr>
          </w:p>
        </w:tc>
        <w:tc>
          <w:tcPr>
            <w:tcW w:w="924" w:type="pct"/>
            <w:vMerge/>
            <w:shd w:val="clear" w:color="auto" w:fill="B8CCE4" w:themeFill="accent1" w:themeFillTint="66"/>
          </w:tcPr>
          <w:p w14:paraId="37492CCC" w14:textId="77777777" w:rsidR="00C03610" w:rsidRPr="0058713F" w:rsidRDefault="00C03610" w:rsidP="00D20A1E">
            <w:pPr>
              <w:keepNext/>
              <w:keepLines/>
              <w:widowControl/>
              <w:spacing w:before="40" w:after="40"/>
              <w:jc w:val="center"/>
              <w:rPr>
                <w:rFonts w:cs="Arial"/>
                <w:b/>
                <w:sz w:val="20"/>
                <w:szCs w:val="20"/>
              </w:rPr>
            </w:pPr>
          </w:p>
        </w:tc>
        <w:tc>
          <w:tcPr>
            <w:tcW w:w="902" w:type="pct"/>
            <w:tcBorders>
              <w:top w:val="single" w:sz="4" w:space="0" w:color="000000"/>
            </w:tcBorders>
            <w:shd w:val="clear" w:color="auto" w:fill="B8CCE4" w:themeFill="accent1" w:themeFillTint="66"/>
          </w:tcPr>
          <w:p w14:paraId="0D4857EB" w14:textId="77777777" w:rsidR="00C03610" w:rsidRPr="00540936" w:rsidRDefault="00C03610" w:rsidP="00D20A1E">
            <w:pPr>
              <w:keepNext/>
              <w:keepLines/>
              <w:widowControl/>
              <w:spacing w:before="40" w:after="40"/>
              <w:jc w:val="center"/>
              <w:rPr>
                <w:b/>
              </w:rPr>
            </w:pPr>
            <w:r w:rsidRPr="0058713F">
              <w:rPr>
                <w:rFonts w:cs="Arial"/>
                <w:b/>
                <w:sz w:val="20"/>
                <w:szCs w:val="20"/>
              </w:rPr>
              <w:t>Maximum claim</w:t>
            </w:r>
          </w:p>
        </w:tc>
        <w:tc>
          <w:tcPr>
            <w:tcW w:w="1112" w:type="pct"/>
            <w:tcBorders>
              <w:top w:val="single" w:sz="4" w:space="0" w:color="000000"/>
            </w:tcBorders>
            <w:shd w:val="clear" w:color="auto" w:fill="B8CCE4" w:themeFill="accent1" w:themeFillTint="66"/>
          </w:tcPr>
          <w:p w14:paraId="2B6182A0" w14:textId="77777777" w:rsidR="00C03610" w:rsidRDefault="00C03610" w:rsidP="00D20A1E">
            <w:pPr>
              <w:keepNext/>
              <w:keepLines/>
              <w:widowControl/>
              <w:spacing w:before="40" w:after="40"/>
              <w:jc w:val="center"/>
              <w:rPr>
                <w:b/>
              </w:rPr>
            </w:pPr>
            <w:r w:rsidRPr="0058713F">
              <w:rPr>
                <w:rFonts w:cs="Arial"/>
                <w:b/>
                <w:sz w:val="20"/>
                <w:szCs w:val="20"/>
              </w:rPr>
              <w:t xml:space="preserve">Maximum </w:t>
            </w:r>
            <w:r>
              <w:rPr>
                <w:rFonts w:cs="Arial"/>
                <w:b/>
                <w:sz w:val="20"/>
                <w:szCs w:val="20"/>
              </w:rPr>
              <w:t>p</w:t>
            </w:r>
            <w:r w:rsidRPr="0058713F">
              <w:rPr>
                <w:rFonts w:cs="Arial"/>
                <w:b/>
                <w:sz w:val="20"/>
                <w:szCs w:val="20"/>
              </w:rPr>
              <w:t xml:space="preserve">ermitted </w:t>
            </w:r>
            <w:r>
              <w:rPr>
                <w:rFonts w:cs="Arial"/>
                <w:b/>
                <w:sz w:val="20"/>
                <w:szCs w:val="20"/>
              </w:rPr>
              <w:t>q</w:t>
            </w:r>
            <w:r w:rsidRPr="0058713F">
              <w:rPr>
                <w:rFonts w:cs="Arial"/>
                <w:b/>
                <w:sz w:val="20"/>
                <w:szCs w:val="20"/>
              </w:rPr>
              <w:t>uantity</w:t>
            </w:r>
          </w:p>
        </w:tc>
      </w:tr>
      <w:tr w:rsidR="00C03610" w:rsidRPr="00876703" w14:paraId="166863B8" w14:textId="77777777" w:rsidTr="00A004E1">
        <w:tc>
          <w:tcPr>
            <w:tcW w:w="974" w:type="pct"/>
            <w:vAlign w:val="center"/>
          </w:tcPr>
          <w:p w14:paraId="794B0FF3" w14:textId="77777777" w:rsidR="00C03610" w:rsidRPr="00876703" w:rsidRDefault="00C03610" w:rsidP="00D20A1E">
            <w:pPr>
              <w:keepNext/>
              <w:keepLines/>
              <w:widowControl/>
              <w:spacing w:before="40" w:after="40"/>
              <w:rPr>
                <w:sz w:val="20"/>
                <w:szCs w:val="20"/>
              </w:rPr>
            </w:pPr>
            <w:r w:rsidRPr="00876703">
              <w:rPr>
                <w:rFonts w:cs="Arial"/>
                <w:sz w:val="20"/>
                <w:szCs w:val="20"/>
              </w:rPr>
              <w:t>Vitamin A (µg)</w:t>
            </w:r>
          </w:p>
        </w:tc>
        <w:tc>
          <w:tcPr>
            <w:tcW w:w="1088" w:type="pct"/>
            <w:vAlign w:val="center"/>
          </w:tcPr>
          <w:p w14:paraId="4FAFE81E" w14:textId="77777777" w:rsidR="00C03610" w:rsidRPr="00876703" w:rsidRDefault="00C03610" w:rsidP="00D20A1E">
            <w:pPr>
              <w:keepNext/>
              <w:keepLines/>
              <w:widowControl/>
              <w:spacing w:before="40" w:after="40"/>
              <w:jc w:val="center"/>
              <w:rPr>
                <w:sz w:val="20"/>
                <w:szCs w:val="20"/>
              </w:rPr>
            </w:pPr>
            <w:r w:rsidRPr="00876703">
              <w:rPr>
                <w:sz w:val="20"/>
                <w:szCs w:val="20"/>
              </w:rPr>
              <w:t>102</w:t>
            </w:r>
          </w:p>
        </w:tc>
        <w:tc>
          <w:tcPr>
            <w:tcW w:w="924" w:type="pct"/>
            <w:vAlign w:val="center"/>
          </w:tcPr>
          <w:p w14:paraId="2A68B711" w14:textId="77777777" w:rsidR="00C03610" w:rsidRPr="00876703" w:rsidRDefault="00C03610" w:rsidP="00D20A1E">
            <w:pPr>
              <w:keepNext/>
              <w:keepLines/>
              <w:widowControl/>
              <w:spacing w:before="40" w:after="40"/>
              <w:jc w:val="center"/>
              <w:rPr>
                <w:rFonts w:cs="Arial"/>
                <w:sz w:val="20"/>
                <w:szCs w:val="20"/>
              </w:rPr>
            </w:pPr>
            <w:r w:rsidRPr="00876703">
              <w:rPr>
                <w:rFonts w:cs="Arial"/>
                <w:sz w:val="20"/>
                <w:szCs w:val="20"/>
              </w:rPr>
              <w:t>0</w:t>
            </w:r>
            <w:r w:rsidRPr="00876703">
              <w:rPr>
                <w:rFonts w:cs="Arial"/>
                <w:sz w:val="20"/>
                <w:szCs w:val="20"/>
                <w:vertAlign w:val="superscript"/>
              </w:rPr>
              <w:sym w:font="Wingdings" w:char="F0B6"/>
            </w:r>
          </w:p>
        </w:tc>
        <w:tc>
          <w:tcPr>
            <w:tcW w:w="902" w:type="pct"/>
            <w:vAlign w:val="center"/>
          </w:tcPr>
          <w:p w14:paraId="0E43DDCC" w14:textId="77777777" w:rsidR="00C03610" w:rsidRPr="00876703" w:rsidRDefault="00C03610" w:rsidP="00D20A1E">
            <w:pPr>
              <w:keepNext/>
              <w:keepLines/>
              <w:widowControl/>
              <w:spacing w:before="40" w:after="40"/>
              <w:jc w:val="center"/>
              <w:rPr>
                <w:sz w:val="20"/>
                <w:szCs w:val="20"/>
              </w:rPr>
            </w:pPr>
            <w:r w:rsidRPr="00876703">
              <w:rPr>
                <w:rFonts w:cs="Arial"/>
                <w:sz w:val="20"/>
                <w:szCs w:val="20"/>
              </w:rPr>
              <w:t>110</w:t>
            </w:r>
          </w:p>
        </w:tc>
        <w:tc>
          <w:tcPr>
            <w:tcW w:w="1112" w:type="pct"/>
            <w:vAlign w:val="center"/>
          </w:tcPr>
          <w:p w14:paraId="5CA08DAF" w14:textId="77777777" w:rsidR="00C03610" w:rsidRPr="00876703" w:rsidRDefault="00C03610" w:rsidP="00D20A1E">
            <w:pPr>
              <w:keepNext/>
              <w:keepLines/>
              <w:widowControl/>
              <w:spacing w:before="40" w:after="40"/>
              <w:jc w:val="center"/>
              <w:rPr>
                <w:sz w:val="20"/>
                <w:szCs w:val="20"/>
              </w:rPr>
            </w:pPr>
            <w:r w:rsidRPr="00876703">
              <w:rPr>
                <w:rFonts w:cs="Arial"/>
                <w:sz w:val="20"/>
                <w:szCs w:val="20"/>
              </w:rPr>
              <w:t>125</w:t>
            </w:r>
          </w:p>
        </w:tc>
      </w:tr>
      <w:tr w:rsidR="00C03610" w:rsidRPr="00876703" w14:paraId="39A67886" w14:textId="77777777" w:rsidTr="00A004E1">
        <w:tc>
          <w:tcPr>
            <w:tcW w:w="974" w:type="pct"/>
            <w:vAlign w:val="center"/>
          </w:tcPr>
          <w:p w14:paraId="3DC647F6" w14:textId="77777777" w:rsidR="00C03610" w:rsidRPr="00876703" w:rsidRDefault="00C03610" w:rsidP="00D20A1E">
            <w:pPr>
              <w:keepNext/>
              <w:keepLines/>
              <w:widowControl/>
              <w:spacing w:before="40" w:after="40"/>
              <w:rPr>
                <w:sz w:val="20"/>
                <w:szCs w:val="20"/>
              </w:rPr>
            </w:pPr>
            <w:r w:rsidRPr="00876703">
              <w:rPr>
                <w:rFonts w:cs="Arial"/>
                <w:sz w:val="20"/>
                <w:szCs w:val="20"/>
              </w:rPr>
              <w:t>Thiamin (mg)</w:t>
            </w:r>
          </w:p>
        </w:tc>
        <w:tc>
          <w:tcPr>
            <w:tcW w:w="1088" w:type="pct"/>
            <w:vAlign w:val="center"/>
          </w:tcPr>
          <w:p w14:paraId="7AC37218" w14:textId="77777777" w:rsidR="00C03610" w:rsidRPr="00876703" w:rsidRDefault="00C03610" w:rsidP="00D20A1E">
            <w:pPr>
              <w:keepNext/>
              <w:keepLines/>
              <w:widowControl/>
              <w:spacing w:before="40" w:after="40"/>
              <w:jc w:val="center"/>
              <w:rPr>
                <w:sz w:val="20"/>
                <w:szCs w:val="20"/>
              </w:rPr>
            </w:pPr>
            <w:r w:rsidRPr="00876703">
              <w:rPr>
                <w:sz w:val="20"/>
                <w:szCs w:val="20"/>
              </w:rPr>
              <w:t>0.01</w:t>
            </w:r>
          </w:p>
        </w:tc>
        <w:tc>
          <w:tcPr>
            <w:tcW w:w="924" w:type="pct"/>
            <w:vAlign w:val="center"/>
          </w:tcPr>
          <w:p w14:paraId="36FCF8BB" w14:textId="77777777" w:rsidR="00C03610" w:rsidRPr="00876703" w:rsidRDefault="00C03610" w:rsidP="00D20A1E">
            <w:pPr>
              <w:keepNext/>
              <w:keepLines/>
              <w:widowControl/>
              <w:spacing w:before="40" w:after="40"/>
              <w:jc w:val="center"/>
              <w:rPr>
                <w:rFonts w:cs="Arial"/>
                <w:sz w:val="20"/>
                <w:szCs w:val="20"/>
              </w:rPr>
            </w:pPr>
            <w:r w:rsidRPr="00876703">
              <w:rPr>
                <w:rFonts w:cs="Arial"/>
                <w:sz w:val="20"/>
                <w:szCs w:val="20"/>
              </w:rPr>
              <w:t>0.008</w:t>
            </w:r>
            <w:r w:rsidRPr="00876703">
              <w:rPr>
                <w:rFonts w:cs="Arial"/>
                <w:sz w:val="20"/>
                <w:szCs w:val="20"/>
                <w:vertAlign w:val="superscript"/>
              </w:rPr>
              <w:sym w:font="Wingdings" w:char="F0B6"/>
            </w:r>
          </w:p>
        </w:tc>
        <w:tc>
          <w:tcPr>
            <w:tcW w:w="902" w:type="pct"/>
            <w:vAlign w:val="center"/>
          </w:tcPr>
          <w:p w14:paraId="21DEFB12" w14:textId="77777777" w:rsidR="00C03610" w:rsidRPr="00876703" w:rsidRDefault="00C03610" w:rsidP="00D20A1E">
            <w:pPr>
              <w:keepNext/>
              <w:keepLines/>
              <w:widowControl/>
              <w:spacing w:before="40" w:after="40"/>
              <w:jc w:val="center"/>
              <w:rPr>
                <w:sz w:val="20"/>
                <w:szCs w:val="20"/>
              </w:rPr>
            </w:pPr>
            <w:r w:rsidRPr="00876703">
              <w:rPr>
                <w:rFonts w:cs="Arial"/>
                <w:sz w:val="20"/>
                <w:szCs w:val="20"/>
              </w:rPr>
              <w:t>no claim permitted</w:t>
            </w:r>
          </w:p>
        </w:tc>
        <w:tc>
          <w:tcPr>
            <w:tcW w:w="1112" w:type="pct"/>
            <w:vAlign w:val="center"/>
          </w:tcPr>
          <w:p w14:paraId="0252B2EA" w14:textId="77777777" w:rsidR="00C03610" w:rsidRPr="00876703" w:rsidRDefault="00C03610" w:rsidP="00D20A1E">
            <w:pPr>
              <w:keepNext/>
              <w:keepLines/>
              <w:widowControl/>
              <w:spacing w:before="40" w:after="40"/>
              <w:jc w:val="center"/>
              <w:rPr>
                <w:sz w:val="20"/>
                <w:szCs w:val="20"/>
              </w:rPr>
            </w:pPr>
            <w:r w:rsidRPr="00876703">
              <w:rPr>
                <w:rFonts w:cs="Arial"/>
                <w:sz w:val="20"/>
                <w:szCs w:val="20"/>
              </w:rPr>
              <w:t>0.10</w:t>
            </w:r>
          </w:p>
        </w:tc>
      </w:tr>
      <w:tr w:rsidR="00C03610" w:rsidRPr="00876703" w14:paraId="1D036D56" w14:textId="77777777" w:rsidTr="00A004E1">
        <w:tc>
          <w:tcPr>
            <w:tcW w:w="974" w:type="pct"/>
            <w:vAlign w:val="center"/>
          </w:tcPr>
          <w:p w14:paraId="426A8B64" w14:textId="77777777" w:rsidR="00C03610" w:rsidRPr="00876703" w:rsidRDefault="00C03610" w:rsidP="00D20A1E">
            <w:pPr>
              <w:keepNext/>
              <w:keepLines/>
              <w:widowControl/>
              <w:spacing w:before="40" w:after="40"/>
              <w:rPr>
                <w:sz w:val="20"/>
                <w:szCs w:val="20"/>
              </w:rPr>
            </w:pPr>
            <w:r w:rsidRPr="00876703">
              <w:rPr>
                <w:rFonts w:cs="Arial"/>
                <w:sz w:val="20"/>
                <w:szCs w:val="20"/>
              </w:rPr>
              <w:t>Riboflavin (mg)</w:t>
            </w:r>
          </w:p>
        </w:tc>
        <w:tc>
          <w:tcPr>
            <w:tcW w:w="1088" w:type="pct"/>
            <w:vAlign w:val="center"/>
          </w:tcPr>
          <w:p w14:paraId="0C725C97" w14:textId="77777777" w:rsidR="00C03610" w:rsidRPr="00876703" w:rsidRDefault="00C03610" w:rsidP="00D20A1E">
            <w:pPr>
              <w:keepNext/>
              <w:keepLines/>
              <w:widowControl/>
              <w:spacing w:before="40" w:after="40"/>
              <w:jc w:val="center"/>
              <w:rPr>
                <w:sz w:val="20"/>
                <w:szCs w:val="20"/>
              </w:rPr>
            </w:pPr>
            <w:r w:rsidRPr="00876703">
              <w:rPr>
                <w:sz w:val="20"/>
                <w:szCs w:val="20"/>
              </w:rPr>
              <w:t>0.40</w:t>
            </w:r>
          </w:p>
        </w:tc>
        <w:tc>
          <w:tcPr>
            <w:tcW w:w="924" w:type="pct"/>
            <w:vAlign w:val="center"/>
          </w:tcPr>
          <w:p w14:paraId="1A56B77E" w14:textId="77777777" w:rsidR="00C03610" w:rsidRPr="00876703" w:rsidRDefault="00C03610" w:rsidP="00D20A1E">
            <w:pPr>
              <w:keepNext/>
              <w:keepLines/>
              <w:widowControl/>
              <w:spacing w:before="40" w:after="40"/>
              <w:jc w:val="center"/>
              <w:rPr>
                <w:rFonts w:cs="Arial"/>
                <w:sz w:val="20"/>
                <w:szCs w:val="20"/>
              </w:rPr>
            </w:pPr>
            <w:r w:rsidRPr="00876703">
              <w:rPr>
                <w:rFonts w:cs="Arial"/>
                <w:sz w:val="20"/>
                <w:szCs w:val="20"/>
              </w:rPr>
              <w:t>0.052</w:t>
            </w:r>
            <w:r w:rsidRPr="00876703">
              <w:rPr>
                <w:rFonts w:cs="Arial"/>
                <w:sz w:val="20"/>
                <w:szCs w:val="20"/>
                <w:vertAlign w:val="superscript"/>
              </w:rPr>
              <w:sym w:font="Wingdings" w:char="F0B6"/>
            </w:r>
          </w:p>
        </w:tc>
        <w:tc>
          <w:tcPr>
            <w:tcW w:w="902" w:type="pct"/>
            <w:vAlign w:val="center"/>
          </w:tcPr>
          <w:p w14:paraId="0BCA1DD1" w14:textId="77777777" w:rsidR="00C03610" w:rsidRPr="00876703" w:rsidRDefault="00C03610" w:rsidP="00D20A1E">
            <w:pPr>
              <w:keepNext/>
              <w:keepLines/>
              <w:widowControl/>
              <w:spacing w:before="40" w:after="40"/>
              <w:jc w:val="center"/>
              <w:rPr>
                <w:sz w:val="20"/>
                <w:szCs w:val="20"/>
              </w:rPr>
            </w:pPr>
            <w:r w:rsidRPr="00876703">
              <w:rPr>
                <w:rFonts w:cs="Arial"/>
                <w:sz w:val="20"/>
                <w:szCs w:val="20"/>
              </w:rPr>
              <w:t>0.43</w:t>
            </w:r>
          </w:p>
        </w:tc>
        <w:tc>
          <w:tcPr>
            <w:tcW w:w="1112" w:type="pct"/>
            <w:vAlign w:val="center"/>
          </w:tcPr>
          <w:p w14:paraId="63E68183" w14:textId="77777777" w:rsidR="00C03610" w:rsidRPr="00876703" w:rsidRDefault="00C03610" w:rsidP="00D20A1E">
            <w:pPr>
              <w:keepNext/>
              <w:keepLines/>
              <w:widowControl/>
              <w:spacing w:before="40" w:after="40"/>
              <w:jc w:val="center"/>
              <w:rPr>
                <w:sz w:val="20"/>
                <w:szCs w:val="20"/>
              </w:rPr>
            </w:pPr>
            <w:r w:rsidRPr="00876703">
              <w:rPr>
                <w:rFonts w:cs="Arial"/>
                <w:sz w:val="20"/>
                <w:szCs w:val="20"/>
              </w:rPr>
              <w:t>Not specified</w:t>
            </w:r>
          </w:p>
        </w:tc>
      </w:tr>
      <w:tr w:rsidR="00C03610" w:rsidRPr="00876703" w14:paraId="75C37627" w14:textId="77777777" w:rsidTr="00A004E1">
        <w:tc>
          <w:tcPr>
            <w:tcW w:w="974" w:type="pct"/>
            <w:vAlign w:val="center"/>
          </w:tcPr>
          <w:p w14:paraId="2786418D" w14:textId="77777777" w:rsidR="00C03610" w:rsidRPr="00876703" w:rsidRDefault="00C03610" w:rsidP="00D20A1E">
            <w:pPr>
              <w:widowControl/>
              <w:spacing w:before="40" w:after="40"/>
              <w:rPr>
                <w:sz w:val="20"/>
                <w:szCs w:val="20"/>
              </w:rPr>
            </w:pPr>
            <w:r w:rsidRPr="00876703">
              <w:rPr>
                <w:rFonts w:cs="Arial"/>
                <w:sz w:val="20"/>
                <w:szCs w:val="20"/>
              </w:rPr>
              <w:t>Vitamin B</w:t>
            </w:r>
            <w:r w:rsidRPr="00876703">
              <w:rPr>
                <w:rFonts w:cs="Arial"/>
                <w:sz w:val="20"/>
                <w:szCs w:val="20"/>
                <w:vertAlign w:val="subscript"/>
              </w:rPr>
              <w:t>6</w:t>
            </w:r>
            <w:r w:rsidRPr="00876703">
              <w:rPr>
                <w:rFonts w:cs="Arial"/>
                <w:sz w:val="20"/>
                <w:szCs w:val="20"/>
              </w:rPr>
              <w:t xml:space="preserve"> (mg)</w:t>
            </w:r>
          </w:p>
        </w:tc>
        <w:tc>
          <w:tcPr>
            <w:tcW w:w="1088" w:type="pct"/>
            <w:vAlign w:val="center"/>
          </w:tcPr>
          <w:p w14:paraId="648D98BC" w14:textId="77777777" w:rsidR="00C03610" w:rsidRPr="00876703" w:rsidRDefault="00C03610" w:rsidP="00D20A1E">
            <w:pPr>
              <w:widowControl/>
              <w:spacing w:before="40" w:after="40"/>
              <w:jc w:val="center"/>
              <w:rPr>
                <w:sz w:val="20"/>
                <w:szCs w:val="20"/>
              </w:rPr>
            </w:pPr>
            <w:r w:rsidRPr="00876703">
              <w:rPr>
                <w:sz w:val="20"/>
                <w:szCs w:val="20"/>
              </w:rPr>
              <w:t>0.14</w:t>
            </w:r>
          </w:p>
        </w:tc>
        <w:tc>
          <w:tcPr>
            <w:tcW w:w="924" w:type="pct"/>
            <w:vAlign w:val="center"/>
          </w:tcPr>
          <w:p w14:paraId="27294E52" w14:textId="77777777" w:rsidR="00C03610" w:rsidRPr="00876703" w:rsidRDefault="00C03610" w:rsidP="00D20A1E">
            <w:pPr>
              <w:widowControl/>
              <w:spacing w:before="40" w:after="40"/>
              <w:jc w:val="center"/>
              <w:rPr>
                <w:rFonts w:cs="Arial"/>
                <w:sz w:val="20"/>
                <w:szCs w:val="20"/>
              </w:rPr>
            </w:pPr>
            <w:r w:rsidRPr="00876703">
              <w:rPr>
                <w:rFonts w:cs="Arial"/>
                <w:sz w:val="20"/>
                <w:szCs w:val="20"/>
              </w:rPr>
              <w:t>0</w:t>
            </w:r>
            <w:r w:rsidRPr="00876703">
              <w:rPr>
                <w:rFonts w:cs="Arial"/>
                <w:sz w:val="20"/>
                <w:szCs w:val="20"/>
                <w:vertAlign w:val="superscript"/>
              </w:rPr>
              <w:sym w:font="Wingdings" w:char="F0B6"/>
            </w:r>
          </w:p>
        </w:tc>
        <w:tc>
          <w:tcPr>
            <w:tcW w:w="902" w:type="pct"/>
            <w:vAlign w:val="center"/>
          </w:tcPr>
          <w:p w14:paraId="76AE7A73" w14:textId="77777777" w:rsidR="00C03610" w:rsidRPr="00876703" w:rsidRDefault="00C03610" w:rsidP="00D20A1E">
            <w:pPr>
              <w:widowControl/>
              <w:spacing w:before="40" w:after="40"/>
              <w:jc w:val="center"/>
              <w:rPr>
                <w:sz w:val="20"/>
                <w:szCs w:val="20"/>
              </w:rPr>
            </w:pPr>
            <w:r w:rsidRPr="00876703">
              <w:rPr>
                <w:rFonts w:cs="Arial"/>
                <w:sz w:val="20"/>
                <w:szCs w:val="20"/>
              </w:rPr>
              <w:t>no claim permitted</w:t>
            </w:r>
          </w:p>
        </w:tc>
        <w:tc>
          <w:tcPr>
            <w:tcW w:w="1112" w:type="pct"/>
            <w:vAlign w:val="center"/>
          </w:tcPr>
          <w:p w14:paraId="1E9C85BD" w14:textId="77777777" w:rsidR="00C03610" w:rsidRPr="00876703" w:rsidRDefault="00C03610" w:rsidP="00D20A1E">
            <w:pPr>
              <w:widowControl/>
              <w:spacing w:before="40" w:after="40"/>
              <w:jc w:val="center"/>
              <w:rPr>
                <w:sz w:val="20"/>
                <w:szCs w:val="20"/>
              </w:rPr>
            </w:pPr>
            <w:r w:rsidRPr="00876703">
              <w:rPr>
                <w:rFonts w:cs="Arial"/>
                <w:sz w:val="20"/>
                <w:szCs w:val="20"/>
              </w:rPr>
              <w:t>0.12</w:t>
            </w:r>
          </w:p>
        </w:tc>
      </w:tr>
      <w:tr w:rsidR="00C03610" w:rsidRPr="00876703" w14:paraId="1770BA9D" w14:textId="77777777" w:rsidTr="00A004E1">
        <w:tc>
          <w:tcPr>
            <w:tcW w:w="974" w:type="pct"/>
            <w:vAlign w:val="center"/>
          </w:tcPr>
          <w:p w14:paraId="6698B5D8" w14:textId="77777777" w:rsidR="00C03610" w:rsidRPr="00876703" w:rsidRDefault="00C03610" w:rsidP="00D20A1E">
            <w:pPr>
              <w:widowControl/>
              <w:spacing w:before="40" w:after="40"/>
              <w:rPr>
                <w:sz w:val="20"/>
                <w:szCs w:val="20"/>
              </w:rPr>
            </w:pPr>
            <w:r w:rsidRPr="00876703">
              <w:rPr>
                <w:rFonts w:cs="Arial"/>
                <w:sz w:val="20"/>
                <w:szCs w:val="20"/>
              </w:rPr>
              <w:t>Vitamin B</w:t>
            </w:r>
            <w:r w:rsidRPr="00876703">
              <w:rPr>
                <w:rFonts w:cs="Arial"/>
                <w:sz w:val="20"/>
                <w:szCs w:val="20"/>
                <w:vertAlign w:val="subscript"/>
              </w:rPr>
              <w:t>12</w:t>
            </w:r>
            <w:r w:rsidRPr="00876703">
              <w:rPr>
                <w:rFonts w:cs="Arial"/>
                <w:sz w:val="20"/>
                <w:szCs w:val="20"/>
              </w:rPr>
              <w:t xml:space="preserve"> (µg)</w:t>
            </w:r>
          </w:p>
        </w:tc>
        <w:tc>
          <w:tcPr>
            <w:tcW w:w="1088" w:type="pct"/>
            <w:vAlign w:val="center"/>
          </w:tcPr>
          <w:p w14:paraId="0B850D18" w14:textId="77777777" w:rsidR="00C03610" w:rsidRPr="00876703" w:rsidRDefault="00C03610" w:rsidP="00D20A1E">
            <w:pPr>
              <w:widowControl/>
              <w:spacing w:before="40" w:after="40"/>
              <w:jc w:val="center"/>
              <w:rPr>
                <w:sz w:val="20"/>
                <w:szCs w:val="20"/>
              </w:rPr>
            </w:pPr>
            <w:r w:rsidRPr="00876703">
              <w:rPr>
                <w:sz w:val="20"/>
                <w:szCs w:val="20"/>
              </w:rPr>
              <w:t>1.2</w:t>
            </w:r>
          </w:p>
        </w:tc>
        <w:tc>
          <w:tcPr>
            <w:tcW w:w="924" w:type="pct"/>
            <w:vAlign w:val="center"/>
          </w:tcPr>
          <w:p w14:paraId="0A53FB3C" w14:textId="77777777" w:rsidR="00C03610" w:rsidRPr="00876703" w:rsidRDefault="00C03610" w:rsidP="00D20A1E">
            <w:pPr>
              <w:widowControl/>
              <w:spacing w:before="40" w:after="40"/>
              <w:jc w:val="center"/>
              <w:rPr>
                <w:rFonts w:cs="Arial"/>
                <w:sz w:val="20"/>
                <w:szCs w:val="20"/>
              </w:rPr>
            </w:pPr>
            <w:r w:rsidRPr="00876703">
              <w:rPr>
                <w:rFonts w:cs="Arial"/>
                <w:sz w:val="20"/>
                <w:szCs w:val="20"/>
              </w:rPr>
              <w:t>0</w:t>
            </w:r>
            <w:r w:rsidRPr="00876703">
              <w:rPr>
                <w:rFonts w:cs="Arial"/>
                <w:sz w:val="20"/>
                <w:szCs w:val="20"/>
                <w:vertAlign w:val="superscript"/>
              </w:rPr>
              <w:sym w:font="Wingdings" w:char="F0B6"/>
            </w:r>
          </w:p>
        </w:tc>
        <w:tc>
          <w:tcPr>
            <w:tcW w:w="902" w:type="pct"/>
            <w:vAlign w:val="center"/>
          </w:tcPr>
          <w:p w14:paraId="52D9D209" w14:textId="77777777" w:rsidR="00C03610" w:rsidRPr="00876703" w:rsidRDefault="00C03610" w:rsidP="00D20A1E">
            <w:pPr>
              <w:widowControl/>
              <w:spacing w:before="40" w:after="40"/>
              <w:jc w:val="center"/>
              <w:rPr>
                <w:sz w:val="20"/>
                <w:szCs w:val="20"/>
              </w:rPr>
            </w:pPr>
            <w:r w:rsidRPr="00876703">
              <w:rPr>
                <w:rFonts w:cs="Arial"/>
                <w:sz w:val="20"/>
                <w:szCs w:val="20"/>
              </w:rPr>
              <w:t>0.8</w:t>
            </w:r>
          </w:p>
        </w:tc>
        <w:tc>
          <w:tcPr>
            <w:tcW w:w="1112" w:type="pct"/>
            <w:vAlign w:val="center"/>
          </w:tcPr>
          <w:p w14:paraId="095B87AD" w14:textId="77777777" w:rsidR="00C03610" w:rsidRPr="00876703" w:rsidRDefault="00C03610" w:rsidP="00D20A1E">
            <w:pPr>
              <w:widowControl/>
              <w:spacing w:before="40" w:after="40"/>
              <w:jc w:val="center"/>
              <w:rPr>
                <w:sz w:val="20"/>
                <w:szCs w:val="20"/>
              </w:rPr>
            </w:pPr>
            <w:r w:rsidRPr="00876703">
              <w:rPr>
                <w:rFonts w:cs="Arial"/>
                <w:sz w:val="20"/>
                <w:szCs w:val="20"/>
              </w:rPr>
              <w:t>Not specified</w:t>
            </w:r>
          </w:p>
        </w:tc>
      </w:tr>
      <w:tr w:rsidR="00C03610" w:rsidRPr="00876703" w14:paraId="3BAF52DC" w14:textId="77777777" w:rsidTr="00A004E1">
        <w:tc>
          <w:tcPr>
            <w:tcW w:w="974" w:type="pct"/>
            <w:vAlign w:val="center"/>
          </w:tcPr>
          <w:p w14:paraId="5AB3C671" w14:textId="77777777" w:rsidR="00C03610" w:rsidRPr="00876703" w:rsidRDefault="00C03610" w:rsidP="00D20A1E">
            <w:pPr>
              <w:widowControl/>
              <w:spacing w:before="40" w:after="40"/>
              <w:rPr>
                <w:sz w:val="20"/>
                <w:szCs w:val="20"/>
              </w:rPr>
            </w:pPr>
            <w:r w:rsidRPr="00876703">
              <w:rPr>
                <w:rFonts w:cs="Arial"/>
                <w:sz w:val="20"/>
                <w:szCs w:val="20"/>
              </w:rPr>
              <w:t>Vitamin D (µg)</w:t>
            </w:r>
          </w:p>
        </w:tc>
        <w:tc>
          <w:tcPr>
            <w:tcW w:w="1088" w:type="pct"/>
            <w:vAlign w:val="center"/>
          </w:tcPr>
          <w:p w14:paraId="3DD0B9BD" w14:textId="77777777" w:rsidR="00C03610" w:rsidRPr="00876703" w:rsidRDefault="00C03610" w:rsidP="00D20A1E">
            <w:pPr>
              <w:widowControl/>
              <w:spacing w:before="40" w:after="40"/>
              <w:jc w:val="center"/>
              <w:rPr>
                <w:sz w:val="20"/>
                <w:szCs w:val="20"/>
              </w:rPr>
            </w:pPr>
            <w:r w:rsidRPr="00876703">
              <w:rPr>
                <w:sz w:val="20"/>
                <w:szCs w:val="20"/>
              </w:rPr>
              <w:t>Data not available</w:t>
            </w:r>
          </w:p>
        </w:tc>
        <w:tc>
          <w:tcPr>
            <w:tcW w:w="924" w:type="pct"/>
            <w:vAlign w:val="center"/>
          </w:tcPr>
          <w:p w14:paraId="0B725597" w14:textId="77777777" w:rsidR="00C03610" w:rsidRPr="00876703" w:rsidRDefault="00C03610" w:rsidP="00D20A1E">
            <w:pPr>
              <w:widowControl/>
              <w:spacing w:before="40" w:after="40"/>
              <w:jc w:val="center"/>
              <w:rPr>
                <w:rFonts w:cs="Arial"/>
                <w:sz w:val="20"/>
                <w:szCs w:val="20"/>
              </w:rPr>
            </w:pPr>
            <w:r w:rsidRPr="00876703">
              <w:rPr>
                <w:sz w:val="20"/>
                <w:szCs w:val="20"/>
              </w:rPr>
              <w:t>Data not available</w:t>
            </w:r>
          </w:p>
        </w:tc>
        <w:tc>
          <w:tcPr>
            <w:tcW w:w="902" w:type="pct"/>
            <w:vAlign w:val="center"/>
          </w:tcPr>
          <w:p w14:paraId="3C4A31BC" w14:textId="77777777" w:rsidR="00C03610" w:rsidRPr="00876703" w:rsidRDefault="00C03610" w:rsidP="00D20A1E">
            <w:pPr>
              <w:widowControl/>
              <w:spacing w:before="40" w:after="40"/>
              <w:jc w:val="center"/>
              <w:rPr>
                <w:sz w:val="20"/>
                <w:szCs w:val="20"/>
              </w:rPr>
            </w:pPr>
            <w:r w:rsidRPr="00876703">
              <w:rPr>
                <w:rFonts w:cs="Arial"/>
                <w:sz w:val="20"/>
                <w:szCs w:val="20"/>
              </w:rPr>
              <w:t>1.0</w:t>
            </w:r>
          </w:p>
        </w:tc>
        <w:tc>
          <w:tcPr>
            <w:tcW w:w="1112" w:type="pct"/>
            <w:vAlign w:val="center"/>
          </w:tcPr>
          <w:p w14:paraId="0562D5C3" w14:textId="77777777" w:rsidR="00C03610" w:rsidRPr="00876703" w:rsidRDefault="00C03610" w:rsidP="00D20A1E">
            <w:pPr>
              <w:widowControl/>
              <w:spacing w:before="40" w:after="40"/>
              <w:jc w:val="center"/>
              <w:rPr>
                <w:sz w:val="20"/>
                <w:szCs w:val="20"/>
              </w:rPr>
            </w:pPr>
            <w:r w:rsidRPr="00876703">
              <w:rPr>
                <w:rFonts w:cs="Arial"/>
                <w:sz w:val="20"/>
                <w:szCs w:val="20"/>
              </w:rPr>
              <w:t>1.6</w:t>
            </w:r>
          </w:p>
        </w:tc>
      </w:tr>
      <w:tr w:rsidR="00C03610" w:rsidRPr="00876703" w14:paraId="39DAD075" w14:textId="77777777" w:rsidTr="00A004E1">
        <w:tc>
          <w:tcPr>
            <w:tcW w:w="974" w:type="pct"/>
            <w:vAlign w:val="center"/>
          </w:tcPr>
          <w:p w14:paraId="500AA487" w14:textId="77777777" w:rsidR="00C03610" w:rsidRPr="00876703" w:rsidRDefault="00C03610" w:rsidP="00D20A1E">
            <w:pPr>
              <w:widowControl/>
              <w:spacing w:before="40" w:after="40"/>
              <w:rPr>
                <w:sz w:val="20"/>
                <w:szCs w:val="20"/>
              </w:rPr>
            </w:pPr>
            <w:r w:rsidRPr="00876703">
              <w:rPr>
                <w:rFonts w:cs="Arial"/>
                <w:sz w:val="20"/>
                <w:szCs w:val="20"/>
              </w:rPr>
              <w:t>Folate, naturally occurring (µg)</w:t>
            </w:r>
          </w:p>
        </w:tc>
        <w:tc>
          <w:tcPr>
            <w:tcW w:w="1088" w:type="pct"/>
            <w:vAlign w:val="center"/>
          </w:tcPr>
          <w:p w14:paraId="4356AA61" w14:textId="77777777" w:rsidR="00C03610" w:rsidRPr="00876703" w:rsidRDefault="00C03610" w:rsidP="00D20A1E">
            <w:pPr>
              <w:widowControl/>
              <w:spacing w:before="40" w:after="40"/>
              <w:jc w:val="center"/>
              <w:rPr>
                <w:sz w:val="20"/>
                <w:szCs w:val="20"/>
              </w:rPr>
            </w:pPr>
            <w:r w:rsidRPr="00876703">
              <w:rPr>
                <w:sz w:val="20"/>
                <w:szCs w:val="20"/>
              </w:rPr>
              <w:t>28</w:t>
            </w:r>
          </w:p>
        </w:tc>
        <w:tc>
          <w:tcPr>
            <w:tcW w:w="924" w:type="pct"/>
            <w:vAlign w:val="center"/>
          </w:tcPr>
          <w:p w14:paraId="6ED3352F" w14:textId="77777777" w:rsidR="00C03610" w:rsidRPr="00876703" w:rsidRDefault="00C03610" w:rsidP="00D20A1E">
            <w:pPr>
              <w:widowControl/>
              <w:spacing w:before="40" w:after="40"/>
              <w:jc w:val="center"/>
              <w:rPr>
                <w:sz w:val="20"/>
                <w:szCs w:val="20"/>
              </w:rPr>
            </w:pPr>
            <w:r w:rsidRPr="00876703">
              <w:rPr>
                <w:sz w:val="20"/>
                <w:szCs w:val="20"/>
              </w:rPr>
              <w:t>2</w:t>
            </w:r>
            <w:r w:rsidRPr="00876703">
              <w:rPr>
                <w:rFonts w:cs="Arial"/>
                <w:sz w:val="20"/>
                <w:szCs w:val="20"/>
                <w:vertAlign w:val="superscript"/>
              </w:rPr>
              <w:sym w:font="Wingdings" w:char="F0B6"/>
            </w:r>
          </w:p>
        </w:tc>
        <w:tc>
          <w:tcPr>
            <w:tcW w:w="902" w:type="pct"/>
            <w:vAlign w:val="center"/>
          </w:tcPr>
          <w:p w14:paraId="37AC4622" w14:textId="77777777" w:rsidR="00C03610" w:rsidRPr="00876703" w:rsidRDefault="00C03610" w:rsidP="00D20A1E">
            <w:pPr>
              <w:widowControl/>
              <w:spacing w:before="40" w:after="40"/>
              <w:jc w:val="center"/>
              <w:rPr>
                <w:sz w:val="20"/>
                <w:szCs w:val="20"/>
              </w:rPr>
            </w:pPr>
          </w:p>
        </w:tc>
        <w:tc>
          <w:tcPr>
            <w:tcW w:w="1112" w:type="pct"/>
            <w:vAlign w:val="center"/>
          </w:tcPr>
          <w:p w14:paraId="670B5C24" w14:textId="77777777" w:rsidR="00C03610" w:rsidRPr="00876703" w:rsidRDefault="00C03610" w:rsidP="00D20A1E">
            <w:pPr>
              <w:widowControl/>
              <w:spacing w:before="40" w:after="40"/>
              <w:jc w:val="center"/>
              <w:rPr>
                <w:sz w:val="20"/>
                <w:szCs w:val="20"/>
              </w:rPr>
            </w:pPr>
          </w:p>
        </w:tc>
      </w:tr>
      <w:tr w:rsidR="00C03610" w:rsidRPr="00876703" w14:paraId="6CBFB693" w14:textId="77777777" w:rsidTr="00A004E1">
        <w:tc>
          <w:tcPr>
            <w:tcW w:w="974" w:type="pct"/>
            <w:vAlign w:val="center"/>
          </w:tcPr>
          <w:p w14:paraId="1A7BEA41" w14:textId="77777777" w:rsidR="00C03610" w:rsidRPr="00876703" w:rsidRDefault="00C03610" w:rsidP="00D20A1E">
            <w:pPr>
              <w:widowControl/>
              <w:spacing w:before="40" w:after="40"/>
              <w:rPr>
                <w:rFonts w:cs="Arial"/>
                <w:sz w:val="20"/>
                <w:szCs w:val="20"/>
              </w:rPr>
            </w:pPr>
            <w:r w:rsidRPr="00876703">
              <w:rPr>
                <w:rFonts w:cs="Arial"/>
                <w:sz w:val="20"/>
                <w:szCs w:val="20"/>
              </w:rPr>
              <w:t>Folate</w:t>
            </w:r>
            <w:r>
              <w:rPr>
                <w:rFonts w:cs="Arial"/>
                <w:sz w:val="20"/>
                <w:szCs w:val="20"/>
              </w:rPr>
              <w:t xml:space="preserve"> (</w:t>
            </w:r>
            <w:r w:rsidRPr="00876703">
              <w:rPr>
                <w:rFonts w:cs="Arial"/>
                <w:sz w:val="20"/>
                <w:szCs w:val="20"/>
              </w:rPr>
              <w:t>naturally occurring plus added forms</w:t>
            </w:r>
            <w:r>
              <w:rPr>
                <w:rFonts w:cs="Arial"/>
                <w:sz w:val="20"/>
                <w:szCs w:val="20"/>
              </w:rPr>
              <w:t>)</w:t>
            </w:r>
            <w:r w:rsidRPr="00876703">
              <w:rPr>
                <w:rFonts w:cs="Arial"/>
                <w:sz w:val="20"/>
                <w:szCs w:val="20"/>
              </w:rPr>
              <w:t xml:space="preserve"> (µg)</w:t>
            </w:r>
          </w:p>
        </w:tc>
        <w:tc>
          <w:tcPr>
            <w:tcW w:w="1088" w:type="pct"/>
            <w:vAlign w:val="center"/>
          </w:tcPr>
          <w:p w14:paraId="1ED6799C" w14:textId="77777777" w:rsidR="00C03610" w:rsidRPr="00876703" w:rsidRDefault="00C03610" w:rsidP="00D20A1E">
            <w:pPr>
              <w:widowControl/>
              <w:spacing w:before="40" w:after="40"/>
              <w:jc w:val="center"/>
              <w:rPr>
                <w:sz w:val="20"/>
                <w:szCs w:val="20"/>
              </w:rPr>
            </w:pPr>
          </w:p>
        </w:tc>
        <w:tc>
          <w:tcPr>
            <w:tcW w:w="924" w:type="pct"/>
            <w:vAlign w:val="center"/>
          </w:tcPr>
          <w:p w14:paraId="25041FC7" w14:textId="77777777" w:rsidR="00C03610" w:rsidRPr="00876703" w:rsidRDefault="00C03610" w:rsidP="00D20A1E">
            <w:pPr>
              <w:widowControl/>
              <w:spacing w:before="40" w:after="40"/>
              <w:jc w:val="center"/>
              <w:rPr>
                <w:rFonts w:cs="Arial"/>
                <w:sz w:val="20"/>
                <w:szCs w:val="20"/>
              </w:rPr>
            </w:pPr>
          </w:p>
        </w:tc>
        <w:tc>
          <w:tcPr>
            <w:tcW w:w="902" w:type="pct"/>
            <w:vAlign w:val="center"/>
          </w:tcPr>
          <w:p w14:paraId="2A43E16C" w14:textId="77777777" w:rsidR="00C03610" w:rsidRPr="00876703" w:rsidRDefault="00C03610" w:rsidP="00D20A1E">
            <w:pPr>
              <w:widowControl/>
              <w:spacing w:before="40" w:after="40"/>
              <w:jc w:val="center"/>
              <w:rPr>
                <w:rFonts w:cs="Arial"/>
                <w:sz w:val="20"/>
                <w:szCs w:val="20"/>
              </w:rPr>
            </w:pPr>
            <w:r w:rsidRPr="00876703">
              <w:rPr>
                <w:rFonts w:cs="Arial"/>
                <w:sz w:val="20"/>
                <w:szCs w:val="20"/>
              </w:rPr>
              <w:t>no claim permitted</w:t>
            </w:r>
          </w:p>
        </w:tc>
        <w:tc>
          <w:tcPr>
            <w:tcW w:w="1112" w:type="pct"/>
            <w:vAlign w:val="center"/>
          </w:tcPr>
          <w:p w14:paraId="092BB4B2" w14:textId="77777777" w:rsidR="00C03610" w:rsidRPr="00876703" w:rsidRDefault="00C03610" w:rsidP="00D20A1E">
            <w:pPr>
              <w:widowControl/>
              <w:spacing w:before="40" w:after="40"/>
              <w:jc w:val="center"/>
              <w:rPr>
                <w:rFonts w:cs="Arial"/>
                <w:sz w:val="20"/>
                <w:szCs w:val="20"/>
              </w:rPr>
            </w:pPr>
            <w:r w:rsidRPr="00876703">
              <w:rPr>
                <w:rFonts w:cs="Arial"/>
                <w:sz w:val="20"/>
                <w:szCs w:val="20"/>
              </w:rPr>
              <w:t>12</w:t>
            </w:r>
          </w:p>
        </w:tc>
      </w:tr>
      <w:tr w:rsidR="00C03610" w:rsidRPr="00876703" w14:paraId="31936B2D" w14:textId="77777777" w:rsidTr="00A004E1">
        <w:tc>
          <w:tcPr>
            <w:tcW w:w="974" w:type="pct"/>
            <w:vAlign w:val="center"/>
          </w:tcPr>
          <w:p w14:paraId="11CC2229" w14:textId="77777777" w:rsidR="00C03610" w:rsidRPr="00876703" w:rsidRDefault="00C03610" w:rsidP="00D20A1E">
            <w:pPr>
              <w:widowControl/>
              <w:spacing w:before="40" w:after="40"/>
              <w:rPr>
                <w:sz w:val="20"/>
                <w:szCs w:val="20"/>
              </w:rPr>
            </w:pPr>
            <w:r w:rsidRPr="00876703">
              <w:rPr>
                <w:rFonts w:cs="Arial"/>
                <w:sz w:val="20"/>
                <w:szCs w:val="20"/>
              </w:rPr>
              <w:t>Calcium (mg)</w:t>
            </w:r>
          </w:p>
        </w:tc>
        <w:tc>
          <w:tcPr>
            <w:tcW w:w="1088" w:type="pct"/>
            <w:vAlign w:val="center"/>
          </w:tcPr>
          <w:p w14:paraId="5F474301" w14:textId="77777777" w:rsidR="00C03610" w:rsidRPr="00876703" w:rsidRDefault="00C03610" w:rsidP="00D20A1E">
            <w:pPr>
              <w:widowControl/>
              <w:spacing w:before="40" w:after="40"/>
              <w:jc w:val="center"/>
              <w:rPr>
                <w:sz w:val="20"/>
                <w:szCs w:val="20"/>
              </w:rPr>
            </w:pPr>
            <w:r w:rsidRPr="00876703">
              <w:rPr>
                <w:sz w:val="20"/>
                <w:szCs w:val="20"/>
              </w:rPr>
              <w:t>208</w:t>
            </w:r>
          </w:p>
        </w:tc>
        <w:tc>
          <w:tcPr>
            <w:tcW w:w="924" w:type="pct"/>
            <w:vAlign w:val="center"/>
          </w:tcPr>
          <w:p w14:paraId="4BE25B79" w14:textId="77777777" w:rsidR="00C03610" w:rsidRPr="00876703" w:rsidRDefault="00C03610" w:rsidP="00D20A1E">
            <w:pPr>
              <w:widowControl/>
              <w:spacing w:before="40" w:after="40"/>
              <w:jc w:val="center"/>
              <w:rPr>
                <w:rFonts w:cs="Arial"/>
                <w:sz w:val="20"/>
                <w:szCs w:val="20"/>
              </w:rPr>
            </w:pPr>
            <w:r>
              <w:rPr>
                <w:rFonts w:cs="Arial"/>
                <w:sz w:val="20"/>
                <w:szCs w:val="20"/>
              </w:rPr>
              <w:t>86 – 152</w:t>
            </w:r>
            <w:r w:rsidRPr="00876703">
              <w:rPr>
                <w:rFonts w:cs="Arial"/>
                <w:sz w:val="20"/>
                <w:szCs w:val="20"/>
                <w:vertAlign w:val="superscript"/>
              </w:rPr>
              <w:sym w:font="Wingdings 2" w:char="F0E8"/>
            </w:r>
          </w:p>
        </w:tc>
        <w:tc>
          <w:tcPr>
            <w:tcW w:w="902" w:type="pct"/>
            <w:vAlign w:val="center"/>
          </w:tcPr>
          <w:p w14:paraId="45DC1031" w14:textId="77777777" w:rsidR="00C03610" w:rsidRPr="00876703" w:rsidRDefault="00C03610" w:rsidP="00D20A1E">
            <w:pPr>
              <w:widowControl/>
              <w:spacing w:before="40" w:after="40"/>
              <w:jc w:val="center"/>
              <w:rPr>
                <w:sz w:val="20"/>
                <w:szCs w:val="20"/>
              </w:rPr>
            </w:pPr>
            <w:r w:rsidRPr="00876703">
              <w:rPr>
                <w:rFonts w:cs="Arial"/>
                <w:sz w:val="20"/>
                <w:szCs w:val="20"/>
              </w:rPr>
              <w:t>240</w:t>
            </w:r>
          </w:p>
        </w:tc>
        <w:tc>
          <w:tcPr>
            <w:tcW w:w="1112" w:type="pct"/>
            <w:vAlign w:val="center"/>
          </w:tcPr>
          <w:p w14:paraId="2665FC79" w14:textId="77777777" w:rsidR="00C03610" w:rsidRPr="00876703" w:rsidRDefault="00C03610" w:rsidP="00D20A1E">
            <w:pPr>
              <w:widowControl/>
              <w:spacing w:before="40" w:after="40"/>
              <w:jc w:val="center"/>
              <w:rPr>
                <w:sz w:val="20"/>
                <w:szCs w:val="20"/>
              </w:rPr>
            </w:pPr>
            <w:r w:rsidRPr="00876703">
              <w:rPr>
                <w:rFonts w:cs="Arial"/>
                <w:sz w:val="20"/>
                <w:szCs w:val="20"/>
              </w:rPr>
              <w:t>Not specified</w:t>
            </w:r>
          </w:p>
        </w:tc>
      </w:tr>
      <w:tr w:rsidR="00C03610" w:rsidRPr="00876703" w14:paraId="47290A42" w14:textId="77777777" w:rsidTr="00A004E1">
        <w:tc>
          <w:tcPr>
            <w:tcW w:w="974" w:type="pct"/>
            <w:vAlign w:val="center"/>
          </w:tcPr>
          <w:p w14:paraId="7F83602E" w14:textId="77777777" w:rsidR="00C03610" w:rsidRPr="00876703" w:rsidRDefault="00C03610" w:rsidP="00D20A1E">
            <w:pPr>
              <w:widowControl/>
              <w:spacing w:before="40" w:after="40"/>
              <w:rPr>
                <w:sz w:val="20"/>
                <w:szCs w:val="20"/>
              </w:rPr>
            </w:pPr>
            <w:r w:rsidRPr="00876703">
              <w:rPr>
                <w:rFonts w:cs="Arial"/>
                <w:sz w:val="20"/>
                <w:szCs w:val="20"/>
              </w:rPr>
              <w:t>Magnesium (mg)</w:t>
            </w:r>
          </w:p>
        </w:tc>
        <w:tc>
          <w:tcPr>
            <w:tcW w:w="1088" w:type="pct"/>
            <w:vAlign w:val="center"/>
          </w:tcPr>
          <w:p w14:paraId="6E0DC5CF" w14:textId="77777777" w:rsidR="00C03610" w:rsidRPr="00876703" w:rsidRDefault="00C03610" w:rsidP="00D20A1E">
            <w:pPr>
              <w:widowControl/>
              <w:spacing w:before="40" w:after="40"/>
              <w:jc w:val="center"/>
              <w:rPr>
                <w:sz w:val="20"/>
                <w:szCs w:val="20"/>
              </w:rPr>
            </w:pPr>
            <w:r w:rsidRPr="00876703">
              <w:rPr>
                <w:sz w:val="20"/>
                <w:szCs w:val="20"/>
              </w:rPr>
              <w:t>20</w:t>
            </w:r>
          </w:p>
        </w:tc>
        <w:tc>
          <w:tcPr>
            <w:tcW w:w="924" w:type="pct"/>
            <w:vAlign w:val="center"/>
          </w:tcPr>
          <w:p w14:paraId="216A9534" w14:textId="77777777" w:rsidR="00C03610" w:rsidRPr="00876703" w:rsidRDefault="00C03610" w:rsidP="00D20A1E">
            <w:pPr>
              <w:widowControl/>
              <w:spacing w:before="40" w:after="40"/>
              <w:jc w:val="center"/>
              <w:rPr>
                <w:rFonts w:cs="Arial"/>
                <w:sz w:val="20"/>
                <w:szCs w:val="20"/>
              </w:rPr>
            </w:pPr>
            <w:r w:rsidRPr="00876703">
              <w:rPr>
                <w:rFonts w:cs="Arial"/>
                <w:sz w:val="20"/>
                <w:szCs w:val="20"/>
              </w:rPr>
              <w:t>26</w:t>
            </w:r>
            <w:r w:rsidRPr="00876703">
              <w:rPr>
                <w:rFonts w:cs="Arial"/>
                <w:sz w:val="20"/>
                <w:szCs w:val="20"/>
                <w:vertAlign w:val="superscript"/>
              </w:rPr>
              <w:sym w:font="Wingdings" w:char="F0B6"/>
            </w:r>
          </w:p>
        </w:tc>
        <w:tc>
          <w:tcPr>
            <w:tcW w:w="902" w:type="pct"/>
            <w:vAlign w:val="center"/>
          </w:tcPr>
          <w:p w14:paraId="10EAC13D" w14:textId="77777777" w:rsidR="00C03610" w:rsidRPr="00876703" w:rsidRDefault="00C03610" w:rsidP="00D20A1E">
            <w:pPr>
              <w:widowControl/>
              <w:spacing w:before="40" w:after="40"/>
              <w:jc w:val="center"/>
              <w:rPr>
                <w:sz w:val="20"/>
                <w:szCs w:val="20"/>
              </w:rPr>
            </w:pPr>
            <w:r w:rsidRPr="00876703">
              <w:rPr>
                <w:rFonts w:cs="Arial"/>
                <w:sz w:val="20"/>
                <w:szCs w:val="20"/>
              </w:rPr>
              <w:t>no claim permitted</w:t>
            </w:r>
          </w:p>
        </w:tc>
        <w:tc>
          <w:tcPr>
            <w:tcW w:w="1112" w:type="pct"/>
            <w:vAlign w:val="center"/>
          </w:tcPr>
          <w:p w14:paraId="1903F05E" w14:textId="77777777" w:rsidR="00C03610" w:rsidRPr="00876703" w:rsidRDefault="00C03610" w:rsidP="00D20A1E">
            <w:pPr>
              <w:widowControl/>
              <w:spacing w:before="40" w:after="40"/>
              <w:jc w:val="center"/>
              <w:rPr>
                <w:sz w:val="20"/>
                <w:szCs w:val="20"/>
              </w:rPr>
            </w:pPr>
            <w:r w:rsidRPr="00876703">
              <w:rPr>
                <w:rFonts w:cs="Arial"/>
                <w:sz w:val="20"/>
                <w:szCs w:val="20"/>
              </w:rPr>
              <w:t>22</w:t>
            </w:r>
          </w:p>
        </w:tc>
      </w:tr>
      <w:tr w:rsidR="00C03610" w:rsidRPr="00876703" w14:paraId="55C40B29" w14:textId="77777777" w:rsidTr="00A004E1">
        <w:tc>
          <w:tcPr>
            <w:tcW w:w="974" w:type="pct"/>
            <w:vAlign w:val="center"/>
          </w:tcPr>
          <w:p w14:paraId="0C7B6417" w14:textId="77777777" w:rsidR="00C03610" w:rsidRPr="00876703" w:rsidRDefault="00C03610" w:rsidP="00D20A1E">
            <w:pPr>
              <w:widowControl/>
              <w:spacing w:before="40" w:after="40"/>
              <w:rPr>
                <w:sz w:val="20"/>
                <w:szCs w:val="20"/>
              </w:rPr>
            </w:pPr>
            <w:r w:rsidRPr="00876703">
              <w:rPr>
                <w:rFonts w:cs="Arial"/>
                <w:sz w:val="20"/>
                <w:szCs w:val="20"/>
              </w:rPr>
              <w:t>Phosphorus (mg)</w:t>
            </w:r>
          </w:p>
        </w:tc>
        <w:tc>
          <w:tcPr>
            <w:tcW w:w="1088" w:type="pct"/>
            <w:vAlign w:val="center"/>
          </w:tcPr>
          <w:p w14:paraId="74BB7F39" w14:textId="77777777" w:rsidR="00C03610" w:rsidRPr="00876703" w:rsidRDefault="00C03610" w:rsidP="00D20A1E">
            <w:pPr>
              <w:widowControl/>
              <w:spacing w:before="40" w:after="40"/>
              <w:jc w:val="center"/>
              <w:rPr>
                <w:sz w:val="20"/>
                <w:szCs w:val="20"/>
              </w:rPr>
            </w:pPr>
            <w:r w:rsidRPr="00876703">
              <w:rPr>
                <w:sz w:val="20"/>
                <w:szCs w:val="20"/>
              </w:rPr>
              <w:t>176</w:t>
            </w:r>
          </w:p>
        </w:tc>
        <w:tc>
          <w:tcPr>
            <w:tcW w:w="924" w:type="pct"/>
            <w:vAlign w:val="center"/>
          </w:tcPr>
          <w:p w14:paraId="580CA8BD" w14:textId="77777777" w:rsidR="00C03610" w:rsidRPr="00876703" w:rsidRDefault="00C03610" w:rsidP="00D20A1E">
            <w:pPr>
              <w:pStyle w:val="table20"/>
              <w:spacing w:before="40" w:beforeAutospacing="0" w:after="40" w:afterAutospacing="0"/>
              <w:jc w:val="center"/>
              <w:rPr>
                <w:rFonts w:ascii="Arial" w:hAnsi="Arial" w:cs="Arial"/>
                <w:sz w:val="20"/>
                <w:szCs w:val="20"/>
              </w:rPr>
            </w:pPr>
            <w:r w:rsidRPr="00876703">
              <w:rPr>
                <w:rFonts w:ascii="Arial" w:hAnsi="Arial" w:cs="Arial"/>
                <w:sz w:val="20"/>
                <w:szCs w:val="20"/>
              </w:rPr>
              <w:t>28 – 88</w:t>
            </w:r>
          </w:p>
        </w:tc>
        <w:tc>
          <w:tcPr>
            <w:tcW w:w="902" w:type="pct"/>
            <w:vAlign w:val="center"/>
          </w:tcPr>
          <w:p w14:paraId="78B23E3D" w14:textId="77777777" w:rsidR="00C03610" w:rsidRPr="00876703" w:rsidRDefault="00C03610" w:rsidP="00D20A1E">
            <w:pPr>
              <w:pStyle w:val="table20"/>
              <w:spacing w:before="40" w:beforeAutospacing="0" w:after="40" w:afterAutospacing="0"/>
              <w:jc w:val="center"/>
              <w:rPr>
                <w:sz w:val="20"/>
                <w:szCs w:val="20"/>
              </w:rPr>
            </w:pPr>
            <w:r w:rsidRPr="00876703">
              <w:rPr>
                <w:rFonts w:ascii="Arial" w:hAnsi="Arial" w:cs="Arial"/>
                <w:sz w:val="20"/>
                <w:szCs w:val="20"/>
              </w:rPr>
              <w:t>200</w:t>
            </w:r>
          </w:p>
        </w:tc>
        <w:tc>
          <w:tcPr>
            <w:tcW w:w="1112" w:type="pct"/>
            <w:vAlign w:val="center"/>
          </w:tcPr>
          <w:p w14:paraId="690A935B" w14:textId="77777777" w:rsidR="00C03610" w:rsidRPr="00876703" w:rsidRDefault="00C03610" w:rsidP="00D20A1E">
            <w:pPr>
              <w:widowControl/>
              <w:spacing w:before="40" w:after="40"/>
              <w:jc w:val="center"/>
              <w:rPr>
                <w:sz w:val="20"/>
                <w:szCs w:val="20"/>
              </w:rPr>
            </w:pPr>
            <w:r w:rsidRPr="00876703">
              <w:rPr>
                <w:rFonts w:cs="Arial"/>
                <w:sz w:val="20"/>
                <w:szCs w:val="20"/>
              </w:rPr>
              <w:t>Not specified</w:t>
            </w:r>
          </w:p>
        </w:tc>
      </w:tr>
      <w:tr w:rsidR="00C03610" w:rsidRPr="00876703" w14:paraId="52195A83" w14:textId="77777777" w:rsidTr="00A004E1">
        <w:tc>
          <w:tcPr>
            <w:tcW w:w="974" w:type="pct"/>
            <w:vAlign w:val="center"/>
          </w:tcPr>
          <w:p w14:paraId="5CECFC75" w14:textId="77777777" w:rsidR="00C03610" w:rsidRPr="00876703" w:rsidRDefault="00C03610" w:rsidP="00D20A1E">
            <w:pPr>
              <w:widowControl/>
              <w:spacing w:before="40" w:after="40"/>
              <w:rPr>
                <w:sz w:val="20"/>
                <w:szCs w:val="20"/>
              </w:rPr>
            </w:pPr>
            <w:r w:rsidRPr="00876703">
              <w:rPr>
                <w:rFonts w:cs="Arial"/>
                <w:sz w:val="20"/>
                <w:szCs w:val="20"/>
              </w:rPr>
              <w:t>Zinc (mg)</w:t>
            </w:r>
          </w:p>
        </w:tc>
        <w:tc>
          <w:tcPr>
            <w:tcW w:w="1088" w:type="pct"/>
            <w:vAlign w:val="center"/>
          </w:tcPr>
          <w:p w14:paraId="0A9E092C" w14:textId="77777777" w:rsidR="00C03610" w:rsidRPr="00876703" w:rsidRDefault="00C03610" w:rsidP="00D20A1E">
            <w:pPr>
              <w:widowControl/>
              <w:spacing w:before="40" w:after="40"/>
              <w:jc w:val="center"/>
              <w:rPr>
                <w:sz w:val="20"/>
                <w:szCs w:val="20"/>
              </w:rPr>
            </w:pPr>
            <w:r w:rsidRPr="00876703">
              <w:rPr>
                <w:sz w:val="20"/>
                <w:szCs w:val="20"/>
              </w:rPr>
              <w:t>0.68</w:t>
            </w:r>
          </w:p>
        </w:tc>
        <w:tc>
          <w:tcPr>
            <w:tcW w:w="924" w:type="pct"/>
            <w:vAlign w:val="center"/>
          </w:tcPr>
          <w:p w14:paraId="6BD28957" w14:textId="77777777" w:rsidR="00C03610" w:rsidRPr="00876703" w:rsidRDefault="00C03610" w:rsidP="00D20A1E">
            <w:pPr>
              <w:widowControl/>
              <w:spacing w:before="40" w:after="40"/>
              <w:jc w:val="center"/>
              <w:rPr>
                <w:rFonts w:cs="Arial"/>
                <w:sz w:val="20"/>
                <w:szCs w:val="20"/>
              </w:rPr>
            </w:pPr>
            <w:r w:rsidRPr="00876703">
              <w:rPr>
                <w:rFonts w:cs="Arial"/>
                <w:sz w:val="20"/>
                <w:szCs w:val="20"/>
              </w:rPr>
              <w:t>0.2</w:t>
            </w:r>
            <w:r w:rsidRPr="00876703">
              <w:rPr>
                <w:rFonts w:cs="Arial"/>
                <w:sz w:val="20"/>
                <w:szCs w:val="20"/>
                <w:vertAlign w:val="superscript"/>
              </w:rPr>
              <w:sym w:font="Wingdings" w:char="F0B6"/>
            </w:r>
          </w:p>
        </w:tc>
        <w:tc>
          <w:tcPr>
            <w:tcW w:w="902" w:type="pct"/>
            <w:vAlign w:val="center"/>
          </w:tcPr>
          <w:p w14:paraId="06EBBCD4" w14:textId="77777777" w:rsidR="00C03610" w:rsidRPr="00876703" w:rsidRDefault="00C03610" w:rsidP="00D20A1E">
            <w:pPr>
              <w:widowControl/>
              <w:spacing w:before="40" w:after="40"/>
              <w:jc w:val="center"/>
              <w:rPr>
                <w:sz w:val="20"/>
                <w:szCs w:val="20"/>
              </w:rPr>
            </w:pPr>
            <w:r w:rsidRPr="00876703">
              <w:rPr>
                <w:rFonts w:cs="Arial"/>
                <w:sz w:val="20"/>
                <w:szCs w:val="20"/>
              </w:rPr>
              <w:t>no claim permitted</w:t>
            </w:r>
          </w:p>
        </w:tc>
        <w:tc>
          <w:tcPr>
            <w:tcW w:w="1112" w:type="pct"/>
            <w:vAlign w:val="center"/>
          </w:tcPr>
          <w:p w14:paraId="1CB7CBFD" w14:textId="77777777" w:rsidR="00C03610" w:rsidRPr="00876703" w:rsidRDefault="00C03610" w:rsidP="00D20A1E">
            <w:pPr>
              <w:widowControl/>
              <w:spacing w:before="40" w:after="40"/>
              <w:jc w:val="center"/>
              <w:rPr>
                <w:sz w:val="20"/>
                <w:szCs w:val="20"/>
              </w:rPr>
            </w:pPr>
            <w:r w:rsidRPr="00876703">
              <w:rPr>
                <w:rFonts w:cs="Arial"/>
                <w:sz w:val="20"/>
                <w:szCs w:val="20"/>
              </w:rPr>
              <w:t>0.8</w:t>
            </w:r>
          </w:p>
        </w:tc>
      </w:tr>
      <w:tr w:rsidR="00C03610" w:rsidRPr="00876703" w14:paraId="29C5BA0E" w14:textId="77777777" w:rsidTr="00A004E1">
        <w:tc>
          <w:tcPr>
            <w:tcW w:w="974" w:type="pct"/>
            <w:vAlign w:val="center"/>
          </w:tcPr>
          <w:p w14:paraId="31B236DF" w14:textId="77777777" w:rsidR="00C03610" w:rsidRPr="00876703" w:rsidRDefault="00C03610" w:rsidP="00D20A1E">
            <w:pPr>
              <w:widowControl/>
              <w:spacing w:before="40" w:after="40"/>
              <w:rPr>
                <w:sz w:val="20"/>
                <w:szCs w:val="20"/>
              </w:rPr>
            </w:pPr>
            <w:r w:rsidRPr="00876703">
              <w:rPr>
                <w:rFonts w:cs="Arial"/>
                <w:sz w:val="20"/>
                <w:szCs w:val="20"/>
              </w:rPr>
              <w:t>Iodine (µg)</w:t>
            </w:r>
          </w:p>
        </w:tc>
        <w:tc>
          <w:tcPr>
            <w:tcW w:w="1088" w:type="pct"/>
            <w:vAlign w:val="center"/>
          </w:tcPr>
          <w:p w14:paraId="1CEFD657" w14:textId="77777777" w:rsidR="00C03610" w:rsidRPr="00876703" w:rsidRDefault="00C03610" w:rsidP="00D20A1E">
            <w:pPr>
              <w:widowControl/>
              <w:spacing w:before="40" w:after="40"/>
              <w:jc w:val="center"/>
              <w:rPr>
                <w:sz w:val="20"/>
                <w:szCs w:val="20"/>
              </w:rPr>
            </w:pPr>
            <w:r w:rsidRPr="00876703">
              <w:rPr>
                <w:sz w:val="20"/>
                <w:szCs w:val="20"/>
              </w:rPr>
              <w:t>44.6</w:t>
            </w:r>
          </w:p>
        </w:tc>
        <w:tc>
          <w:tcPr>
            <w:tcW w:w="924" w:type="pct"/>
            <w:vAlign w:val="center"/>
          </w:tcPr>
          <w:p w14:paraId="37FE8C77" w14:textId="77777777" w:rsidR="00C03610" w:rsidRPr="00876703" w:rsidRDefault="00C03610" w:rsidP="00D20A1E">
            <w:pPr>
              <w:pStyle w:val="table20"/>
              <w:spacing w:before="40" w:beforeAutospacing="0" w:after="40" w:afterAutospacing="0"/>
              <w:jc w:val="center"/>
              <w:rPr>
                <w:rFonts w:ascii="Arial" w:hAnsi="Arial" w:cs="Arial"/>
                <w:sz w:val="20"/>
                <w:szCs w:val="20"/>
              </w:rPr>
            </w:pPr>
            <w:r w:rsidRPr="00876703">
              <w:rPr>
                <w:rFonts w:ascii="Arial" w:hAnsi="Arial" w:cs="Arial"/>
                <w:sz w:val="20"/>
                <w:szCs w:val="20"/>
              </w:rPr>
              <w:t>0.4</w:t>
            </w:r>
          </w:p>
        </w:tc>
        <w:tc>
          <w:tcPr>
            <w:tcW w:w="902" w:type="pct"/>
            <w:vAlign w:val="center"/>
          </w:tcPr>
          <w:p w14:paraId="3B5F884C" w14:textId="77777777" w:rsidR="00C03610" w:rsidRPr="00876703" w:rsidRDefault="00C03610" w:rsidP="00D20A1E">
            <w:pPr>
              <w:pStyle w:val="table20"/>
              <w:spacing w:before="40" w:beforeAutospacing="0" w:after="40" w:afterAutospacing="0"/>
              <w:jc w:val="center"/>
              <w:rPr>
                <w:sz w:val="20"/>
                <w:szCs w:val="20"/>
              </w:rPr>
            </w:pPr>
            <w:r w:rsidRPr="00876703">
              <w:rPr>
                <w:rFonts w:ascii="Arial" w:hAnsi="Arial" w:cs="Arial"/>
                <w:sz w:val="20"/>
                <w:szCs w:val="20"/>
              </w:rPr>
              <w:t>15</w:t>
            </w:r>
          </w:p>
        </w:tc>
        <w:tc>
          <w:tcPr>
            <w:tcW w:w="1112" w:type="pct"/>
            <w:vAlign w:val="center"/>
          </w:tcPr>
          <w:p w14:paraId="5AFCA7FF" w14:textId="77777777" w:rsidR="00C03610" w:rsidRPr="00876703" w:rsidRDefault="00C03610" w:rsidP="00D20A1E">
            <w:pPr>
              <w:widowControl/>
              <w:spacing w:before="40" w:after="40"/>
              <w:jc w:val="center"/>
              <w:rPr>
                <w:sz w:val="20"/>
                <w:szCs w:val="20"/>
              </w:rPr>
            </w:pPr>
            <w:r w:rsidRPr="00876703">
              <w:rPr>
                <w:rFonts w:cs="Arial"/>
                <w:sz w:val="20"/>
                <w:szCs w:val="20"/>
              </w:rPr>
              <w:t>Not specified</w:t>
            </w:r>
          </w:p>
        </w:tc>
      </w:tr>
    </w:tbl>
    <w:p w14:paraId="217F6B74" w14:textId="77777777" w:rsidR="00C03610" w:rsidRDefault="00C03610" w:rsidP="00D20A1E">
      <w:pPr>
        <w:widowControl/>
        <w:ind w:left="567" w:hanging="567"/>
        <w:rPr>
          <w:sz w:val="18"/>
          <w:szCs w:val="18"/>
        </w:rPr>
      </w:pPr>
      <w:r w:rsidRPr="00C84AA3">
        <w:rPr>
          <w:rFonts w:cs="Arial"/>
          <w:sz w:val="18"/>
          <w:szCs w:val="18"/>
        </w:rPr>
        <w:t>Δ</w:t>
      </w:r>
      <w:r w:rsidRPr="00540936">
        <w:rPr>
          <w:rFonts w:cs="Arial"/>
          <w:b/>
          <w:sz w:val="18"/>
          <w:szCs w:val="18"/>
        </w:rPr>
        <w:tab/>
      </w:r>
      <w:r w:rsidRPr="008B056A">
        <w:rPr>
          <w:rFonts w:cs="Arial"/>
          <w:sz w:val="18"/>
          <w:szCs w:val="18"/>
        </w:rPr>
        <w:t>r</w:t>
      </w:r>
      <w:r w:rsidRPr="008B056A">
        <w:rPr>
          <w:sz w:val="18"/>
          <w:szCs w:val="18"/>
        </w:rPr>
        <w:t xml:space="preserve">efer to </w:t>
      </w:r>
      <w:r w:rsidRPr="008B056A">
        <w:rPr>
          <w:sz w:val="18"/>
          <w:szCs w:val="18"/>
        </w:rPr>
        <w:fldChar w:fldCharType="begin"/>
      </w:r>
      <w:r w:rsidRPr="008B056A">
        <w:rPr>
          <w:sz w:val="18"/>
          <w:szCs w:val="18"/>
        </w:rPr>
        <w:instrText xml:space="preserve"> REF _Ref417648633 \h  \* MERGEFORMAT </w:instrText>
      </w:r>
      <w:r w:rsidRPr="008B056A">
        <w:rPr>
          <w:sz w:val="18"/>
          <w:szCs w:val="18"/>
        </w:rPr>
      </w:r>
      <w:r w:rsidRPr="008B056A">
        <w:rPr>
          <w:sz w:val="18"/>
          <w:szCs w:val="18"/>
        </w:rPr>
        <w:fldChar w:fldCharType="separate"/>
      </w:r>
      <w:r w:rsidR="00047581" w:rsidRPr="00047581">
        <w:rPr>
          <w:sz w:val="18"/>
          <w:szCs w:val="18"/>
        </w:rPr>
        <w:t>Table A1.1</w:t>
      </w:r>
      <w:r w:rsidRPr="008B056A">
        <w:rPr>
          <w:sz w:val="18"/>
          <w:szCs w:val="18"/>
        </w:rPr>
        <w:fldChar w:fldCharType="end"/>
      </w:r>
      <w:r w:rsidRPr="008B056A">
        <w:rPr>
          <w:sz w:val="18"/>
          <w:szCs w:val="18"/>
        </w:rPr>
        <w:t xml:space="preserve"> in </w:t>
      </w:r>
      <w:r w:rsidRPr="008B056A">
        <w:rPr>
          <w:sz w:val="18"/>
          <w:szCs w:val="18"/>
        </w:rPr>
        <w:fldChar w:fldCharType="begin"/>
      </w:r>
      <w:r w:rsidRPr="008B056A">
        <w:rPr>
          <w:sz w:val="18"/>
          <w:szCs w:val="18"/>
        </w:rPr>
        <w:instrText xml:space="preserve"> REF _Ref417648450 \h  \* MERGEFORMAT </w:instrText>
      </w:r>
      <w:r w:rsidRPr="008B056A">
        <w:rPr>
          <w:sz w:val="18"/>
          <w:szCs w:val="18"/>
        </w:rPr>
      </w:r>
      <w:r w:rsidRPr="008B056A">
        <w:rPr>
          <w:sz w:val="18"/>
          <w:szCs w:val="18"/>
        </w:rPr>
        <w:fldChar w:fldCharType="separate"/>
      </w:r>
      <w:r w:rsidR="00047581" w:rsidRPr="00047581">
        <w:rPr>
          <w:sz w:val="18"/>
          <w:szCs w:val="18"/>
        </w:rPr>
        <w:t xml:space="preserve">Appendix </w:t>
      </w:r>
      <w:r w:rsidR="00047581" w:rsidRPr="00047581">
        <w:rPr>
          <w:noProof/>
          <w:sz w:val="18"/>
          <w:szCs w:val="18"/>
        </w:rPr>
        <w:t>1</w:t>
      </w:r>
      <w:r w:rsidRPr="008B056A">
        <w:rPr>
          <w:sz w:val="18"/>
          <w:szCs w:val="18"/>
        </w:rPr>
        <w:fldChar w:fldCharType="end"/>
      </w:r>
      <w:r w:rsidRPr="008B056A">
        <w:rPr>
          <w:sz w:val="18"/>
          <w:szCs w:val="18"/>
        </w:rPr>
        <w:t xml:space="preserve"> for further details on the nutrient composition of full cream </w:t>
      </w:r>
      <w:r>
        <w:rPr>
          <w:sz w:val="18"/>
          <w:szCs w:val="18"/>
        </w:rPr>
        <w:t>cow’s</w:t>
      </w:r>
      <w:r w:rsidRPr="008B056A">
        <w:rPr>
          <w:sz w:val="18"/>
          <w:szCs w:val="18"/>
        </w:rPr>
        <w:t xml:space="preserve"> milk</w:t>
      </w:r>
      <w:r>
        <w:rPr>
          <w:sz w:val="18"/>
          <w:szCs w:val="18"/>
        </w:rPr>
        <w:t xml:space="preserve"> (note that the nutrient profiles in </w:t>
      </w:r>
      <w:r w:rsidRPr="00540936">
        <w:rPr>
          <w:sz w:val="18"/>
          <w:szCs w:val="18"/>
        </w:rPr>
        <w:fldChar w:fldCharType="begin"/>
      </w:r>
      <w:r w:rsidRPr="00540936">
        <w:rPr>
          <w:sz w:val="18"/>
          <w:szCs w:val="18"/>
        </w:rPr>
        <w:instrText xml:space="preserve"> REF _Ref417648633 \h </w:instrText>
      </w:r>
      <w:r>
        <w:rPr>
          <w:sz w:val="18"/>
          <w:szCs w:val="18"/>
        </w:rPr>
        <w:instrText xml:space="preserve"> \* MERGEFORMAT </w:instrText>
      </w:r>
      <w:r w:rsidRPr="00540936">
        <w:rPr>
          <w:sz w:val="18"/>
          <w:szCs w:val="18"/>
        </w:rPr>
      </w:r>
      <w:r w:rsidRPr="00540936">
        <w:rPr>
          <w:sz w:val="18"/>
          <w:szCs w:val="18"/>
        </w:rPr>
        <w:fldChar w:fldCharType="separate"/>
      </w:r>
      <w:r w:rsidR="00047581" w:rsidRPr="00047581">
        <w:rPr>
          <w:sz w:val="18"/>
          <w:szCs w:val="18"/>
        </w:rPr>
        <w:t>Table A1.1</w:t>
      </w:r>
      <w:r w:rsidRPr="00540936">
        <w:rPr>
          <w:sz w:val="18"/>
          <w:szCs w:val="18"/>
        </w:rPr>
        <w:fldChar w:fldCharType="end"/>
      </w:r>
      <w:r>
        <w:rPr>
          <w:sz w:val="18"/>
          <w:szCs w:val="18"/>
        </w:rPr>
        <w:t xml:space="preserve"> are presented per 100 mL whereas this table is per reference quantity of 200 mL)</w:t>
      </w:r>
    </w:p>
    <w:p w14:paraId="3049F5BE" w14:textId="77777777" w:rsidR="00C03610" w:rsidRPr="008B056A" w:rsidRDefault="00C03610" w:rsidP="00D20A1E">
      <w:pPr>
        <w:widowControl/>
        <w:rPr>
          <w:rFonts w:cs="Arial"/>
          <w:sz w:val="18"/>
          <w:szCs w:val="18"/>
        </w:rPr>
      </w:pPr>
      <w:r w:rsidRPr="008B056A">
        <w:rPr>
          <w:rFonts w:cs="Arial"/>
          <w:sz w:val="18"/>
          <w:szCs w:val="18"/>
        </w:rPr>
        <w:sym w:font="Wingdings" w:char="F0B6"/>
      </w:r>
      <w:r w:rsidRPr="008B056A">
        <w:rPr>
          <w:rFonts w:cs="Arial"/>
          <w:sz w:val="18"/>
          <w:szCs w:val="18"/>
        </w:rPr>
        <w:tab/>
        <w:t>nutrient profile from one product</w:t>
      </w:r>
    </w:p>
    <w:p w14:paraId="20654122" w14:textId="77777777" w:rsidR="00C03610" w:rsidRDefault="00C03610" w:rsidP="00D20A1E">
      <w:pPr>
        <w:widowControl/>
        <w:rPr>
          <w:rFonts w:cs="Arial"/>
          <w:sz w:val="18"/>
          <w:szCs w:val="18"/>
        </w:rPr>
      </w:pPr>
      <w:r w:rsidRPr="008B056A">
        <w:rPr>
          <w:rFonts w:cs="Arial"/>
          <w:sz w:val="18"/>
          <w:szCs w:val="18"/>
        </w:rPr>
        <w:sym w:font="Wingdings 2" w:char="F0E8"/>
      </w:r>
      <w:r w:rsidRPr="008B056A">
        <w:rPr>
          <w:rFonts w:cs="Arial"/>
          <w:sz w:val="18"/>
          <w:szCs w:val="18"/>
        </w:rPr>
        <w:tab/>
      </w:r>
      <w:r>
        <w:rPr>
          <w:rFonts w:cs="Arial"/>
          <w:sz w:val="18"/>
          <w:szCs w:val="18"/>
        </w:rPr>
        <w:t>e</w:t>
      </w:r>
      <w:r w:rsidRPr="008B056A">
        <w:rPr>
          <w:rFonts w:cs="Arial"/>
          <w:sz w:val="18"/>
          <w:szCs w:val="18"/>
        </w:rPr>
        <w:t>xcludes fortified products</w:t>
      </w:r>
    </w:p>
    <w:p w14:paraId="08A6CAE0" w14:textId="77777777" w:rsidR="008A3D24" w:rsidRDefault="008A3D24" w:rsidP="00D20A1E">
      <w:pPr>
        <w:widowControl/>
        <w:rPr>
          <w:rFonts w:cs="Arial"/>
          <w:sz w:val="18"/>
          <w:szCs w:val="18"/>
        </w:rPr>
      </w:pPr>
    </w:p>
    <w:p w14:paraId="4081A54A" w14:textId="77777777" w:rsidR="008A3D24" w:rsidRDefault="008A3D24" w:rsidP="00D20A1E">
      <w:pPr>
        <w:widowControl/>
        <w:rPr>
          <w:sz w:val="18"/>
          <w:szCs w:val="18"/>
        </w:rPr>
        <w:sectPr w:rsidR="008A3D24" w:rsidSect="008A3D24">
          <w:pgSz w:w="16838" w:h="11906" w:orient="landscape"/>
          <w:pgMar w:top="1440" w:right="1440" w:bottom="1440" w:left="1440" w:header="709" w:footer="709" w:gutter="0"/>
          <w:pgBorders w:offsetFrom="page">
            <w:top w:val="single" w:sz="2" w:space="6" w:color="FFFFFF" w:themeColor="accent5" w:themeTint="00" w:themeShade="00" w:shadow="1" w:frame="1"/>
          </w:pgBorders>
          <w:cols w:space="708"/>
          <w:docGrid w:linePitch="360"/>
        </w:sectPr>
      </w:pPr>
    </w:p>
    <w:p w14:paraId="19DD0E77" w14:textId="496B1CBC" w:rsidR="00282D8E" w:rsidRDefault="00AF4FCB" w:rsidP="00D20A1E">
      <w:pPr>
        <w:pStyle w:val="Heading2"/>
      </w:pPr>
      <w:bookmarkStart w:id="73" w:name="_Toc427672166"/>
      <w:bookmarkStart w:id="74" w:name="_Toc427678232"/>
      <w:r>
        <w:lastRenderedPageBreak/>
        <w:t>5.3</w:t>
      </w:r>
      <w:r>
        <w:tab/>
      </w:r>
      <w:r w:rsidR="00282D8E" w:rsidRPr="00845470">
        <w:t>Why are people purchasing and consuming the products?</w:t>
      </w:r>
      <w:bookmarkEnd w:id="73"/>
      <w:bookmarkEnd w:id="74"/>
    </w:p>
    <w:p w14:paraId="5080B230" w14:textId="77777777" w:rsidR="00282D8E" w:rsidRDefault="00282D8E" w:rsidP="00D20A1E">
      <w:pPr>
        <w:widowControl/>
      </w:pPr>
      <w:r>
        <w:t>The literature search did not locate research into the reasons why consumers purchase and consume these products.</w:t>
      </w:r>
    </w:p>
    <w:p w14:paraId="79789E0D" w14:textId="784F87A6" w:rsidR="007565D1" w:rsidRDefault="00AF4FCB" w:rsidP="00D20A1E">
      <w:pPr>
        <w:pStyle w:val="Heading1"/>
        <w:widowControl/>
      </w:pPr>
      <w:bookmarkStart w:id="75" w:name="_Toc427672167"/>
      <w:bookmarkStart w:id="76" w:name="_Toc427678233"/>
      <w:r>
        <w:t>6</w:t>
      </w:r>
      <w:r>
        <w:tab/>
      </w:r>
      <w:r w:rsidR="007565D1">
        <w:t>Food Technology Assessment</w:t>
      </w:r>
      <w:bookmarkEnd w:id="75"/>
      <w:bookmarkEnd w:id="76"/>
    </w:p>
    <w:p w14:paraId="23543F00" w14:textId="3BFF1739" w:rsidR="007565D1" w:rsidRPr="00353A99" w:rsidRDefault="00AF4FCB" w:rsidP="00D20A1E">
      <w:pPr>
        <w:pStyle w:val="Heading2"/>
      </w:pPr>
      <w:bookmarkStart w:id="77" w:name="_Ref417476359"/>
      <w:bookmarkStart w:id="78" w:name="_Toc427672168"/>
      <w:bookmarkStart w:id="79" w:name="_Toc427678234"/>
      <w:r>
        <w:t>6.1</w:t>
      </w:r>
      <w:r>
        <w:tab/>
      </w:r>
      <w:r w:rsidR="007565D1" w:rsidRPr="00353A99">
        <w:t xml:space="preserve">How are </w:t>
      </w:r>
      <w:r w:rsidR="00075E2F">
        <w:t xml:space="preserve">nut- </w:t>
      </w:r>
      <w:r w:rsidR="007565D1" w:rsidRPr="00353A99">
        <w:t>and seed-based beverages produced?</w:t>
      </w:r>
      <w:bookmarkEnd w:id="77"/>
      <w:bookmarkEnd w:id="78"/>
      <w:bookmarkEnd w:id="79"/>
    </w:p>
    <w:p w14:paraId="7201BA97" w14:textId="3864A38A" w:rsidR="007565D1" w:rsidRDefault="00075E2F" w:rsidP="00D20A1E">
      <w:pPr>
        <w:keepNext/>
        <w:keepLines/>
        <w:widowControl/>
        <w:rPr>
          <w:lang w:bidi="ar-SA"/>
        </w:rPr>
      </w:pPr>
      <w:r>
        <w:rPr>
          <w:lang w:bidi="ar-SA"/>
        </w:rPr>
        <w:t xml:space="preserve">Nut- </w:t>
      </w:r>
      <w:r w:rsidR="009F7DC3">
        <w:rPr>
          <w:lang w:bidi="ar-SA"/>
        </w:rPr>
        <w:t xml:space="preserve">and seed-based beverages are produced in a similar way to beverages derived from cereals (e.g. rice-based beverages) and legumes (e.g. soy-based beverages). </w:t>
      </w:r>
      <w:r w:rsidR="007565D1">
        <w:rPr>
          <w:lang w:bidi="ar-SA"/>
        </w:rPr>
        <w:t>They are all based on the same five step process (grinding, water extraction, filtration, homogenisation and microbial stabilisation (pathogen removal)).</w:t>
      </w:r>
    </w:p>
    <w:p w14:paraId="476019A8" w14:textId="77777777" w:rsidR="007565D1" w:rsidRDefault="007565D1" w:rsidP="00D20A1E">
      <w:pPr>
        <w:widowControl/>
        <w:rPr>
          <w:lang w:bidi="ar-SA"/>
        </w:rPr>
      </w:pPr>
    </w:p>
    <w:p w14:paraId="4CC523F6" w14:textId="0CE098B2" w:rsidR="007565D1" w:rsidRPr="00642DBC" w:rsidRDefault="007565D1" w:rsidP="00D20A1E">
      <w:pPr>
        <w:widowControl/>
        <w:rPr>
          <w:lang w:bidi="ar-SA"/>
        </w:rPr>
      </w:pPr>
      <w:r>
        <w:rPr>
          <w:lang w:bidi="ar-SA"/>
        </w:rPr>
        <w:fldChar w:fldCharType="begin"/>
      </w:r>
      <w:r>
        <w:rPr>
          <w:lang w:bidi="ar-SA"/>
        </w:rPr>
        <w:instrText xml:space="preserve"> REF _Ref416700406 \h </w:instrText>
      </w:r>
      <w:r>
        <w:rPr>
          <w:lang w:bidi="ar-SA"/>
        </w:rPr>
      </w:r>
      <w:r>
        <w:rPr>
          <w:lang w:bidi="ar-SA"/>
        </w:rPr>
        <w:fldChar w:fldCharType="separate"/>
      </w:r>
      <w:r w:rsidR="00047581">
        <w:t xml:space="preserve">Figure </w:t>
      </w:r>
      <w:r w:rsidR="00047581">
        <w:rPr>
          <w:noProof/>
        </w:rPr>
        <w:t>3</w:t>
      </w:r>
      <w:r>
        <w:rPr>
          <w:lang w:bidi="ar-SA"/>
        </w:rPr>
        <w:fldChar w:fldCharType="end"/>
      </w:r>
      <w:r>
        <w:rPr>
          <w:lang w:bidi="ar-SA"/>
        </w:rPr>
        <w:t xml:space="preserve"> </w:t>
      </w:r>
      <w:r w:rsidRPr="00642DBC">
        <w:rPr>
          <w:lang w:bidi="ar-SA"/>
        </w:rPr>
        <w:t xml:space="preserve">is a schematic taken from </w:t>
      </w:r>
      <w:r>
        <w:rPr>
          <w:lang w:bidi="ar-SA"/>
        </w:rPr>
        <w:t>a</w:t>
      </w:r>
      <w:r w:rsidRPr="00642DBC">
        <w:rPr>
          <w:lang w:bidi="ar-SA"/>
        </w:rPr>
        <w:t xml:space="preserve"> US patent </w:t>
      </w:r>
      <w:r>
        <w:rPr>
          <w:lang w:bidi="ar-SA"/>
        </w:rPr>
        <w:t>(</w:t>
      </w:r>
      <w:r w:rsidRPr="00642DBC">
        <w:rPr>
          <w:lang w:bidi="ar-SA"/>
        </w:rPr>
        <w:t>No. 2</w:t>
      </w:r>
      <w:r>
        <w:rPr>
          <w:lang w:bidi="ar-SA"/>
        </w:rPr>
        <w:t>0</w:t>
      </w:r>
      <w:r w:rsidRPr="00642DBC">
        <w:rPr>
          <w:lang w:bidi="ar-SA"/>
        </w:rPr>
        <w:t>11/0064862</w:t>
      </w:r>
      <w:r>
        <w:rPr>
          <w:lang w:bidi="ar-SA"/>
        </w:rPr>
        <w:t xml:space="preserve"> A1</w:t>
      </w:r>
      <w:r w:rsidR="00997D86">
        <w:rPr>
          <w:lang w:bidi="ar-SA"/>
        </w:rPr>
        <w:t>; “Non-dairy, nut-based milk and method of</w:t>
      </w:r>
      <w:r w:rsidR="00997D86" w:rsidRPr="007565D1">
        <w:rPr>
          <w:lang w:bidi="ar-SA"/>
        </w:rPr>
        <w:t xml:space="preserve"> </w:t>
      </w:r>
      <w:r w:rsidR="00997D86">
        <w:rPr>
          <w:lang w:bidi="ar-SA"/>
        </w:rPr>
        <w:t>production”</w:t>
      </w:r>
      <w:r>
        <w:rPr>
          <w:lang w:bidi="ar-SA"/>
        </w:rPr>
        <w:t xml:space="preserve">) </w:t>
      </w:r>
      <w:r w:rsidR="0028671E">
        <w:rPr>
          <w:lang w:bidi="ar-SA"/>
        </w:rPr>
        <w:t>that</w:t>
      </w:r>
      <w:r w:rsidR="0028671E" w:rsidRPr="00642DBC">
        <w:rPr>
          <w:lang w:bidi="ar-SA"/>
        </w:rPr>
        <w:t xml:space="preserve"> </w:t>
      </w:r>
      <w:r w:rsidRPr="00642DBC">
        <w:rPr>
          <w:lang w:bidi="ar-SA"/>
        </w:rPr>
        <w:t>provides information on the production of nut-based beverages</w:t>
      </w:r>
      <w:r w:rsidR="0041745F">
        <w:rPr>
          <w:lang w:bidi="ar-SA"/>
        </w:rPr>
        <w:t xml:space="preserve"> and</w:t>
      </w:r>
      <w:r w:rsidR="0041745F" w:rsidRPr="00642DBC">
        <w:rPr>
          <w:lang w:bidi="ar-SA"/>
        </w:rPr>
        <w:t xml:space="preserve"> </w:t>
      </w:r>
      <w:r w:rsidRPr="00642DBC">
        <w:rPr>
          <w:lang w:bidi="ar-SA"/>
        </w:rPr>
        <w:t>which is assumed</w:t>
      </w:r>
      <w:r w:rsidR="00FA56B6">
        <w:rPr>
          <w:lang w:bidi="ar-SA"/>
        </w:rPr>
        <w:t xml:space="preserve"> t</w:t>
      </w:r>
      <w:r w:rsidRPr="00642DBC">
        <w:rPr>
          <w:lang w:bidi="ar-SA"/>
        </w:rPr>
        <w:t xml:space="preserve">o be similar to those derived from seeds. </w:t>
      </w:r>
      <w:r>
        <w:rPr>
          <w:lang w:bidi="ar-SA"/>
        </w:rPr>
        <w:fldChar w:fldCharType="begin"/>
      </w:r>
      <w:r>
        <w:rPr>
          <w:lang w:bidi="ar-SA"/>
        </w:rPr>
        <w:instrText xml:space="preserve"> REF _Ref416700416 \h </w:instrText>
      </w:r>
      <w:r>
        <w:rPr>
          <w:lang w:bidi="ar-SA"/>
        </w:rPr>
      </w:r>
      <w:r>
        <w:rPr>
          <w:lang w:bidi="ar-SA"/>
        </w:rPr>
        <w:fldChar w:fldCharType="separate"/>
      </w:r>
      <w:r w:rsidR="00047581">
        <w:t xml:space="preserve">Figure </w:t>
      </w:r>
      <w:r w:rsidR="00047581">
        <w:rPr>
          <w:noProof/>
        </w:rPr>
        <w:t>4</w:t>
      </w:r>
      <w:r>
        <w:rPr>
          <w:lang w:bidi="ar-SA"/>
        </w:rPr>
        <w:fldChar w:fldCharType="end"/>
      </w:r>
      <w:r>
        <w:rPr>
          <w:lang w:bidi="ar-SA"/>
        </w:rPr>
        <w:t xml:space="preserve"> and </w:t>
      </w:r>
      <w:r>
        <w:rPr>
          <w:lang w:bidi="ar-SA"/>
        </w:rPr>
        <w:fldChar w:fldCharType="begin"/>
      </w:r>
      <w:r>
        <w:rPr>
          <w:lang w:bidi="ar-SA"/>
        </w:rPr>
        <w:instrText xml:space="preserve"> REF _Ref416700424 \h </w:instrText>
      </w:r>
      <w:r>
        <w:rPr>
          <w:lang w:bidi="ar-SA"/>
        </w:rPr>
      </w:r>
      <w:r>
        <w:rPr>
          <w:lang w:bidi="ar-SA"/>
        </w:rPr>
        <w:fldChar w:fldCharType="separate"/>
      </w:r>
      <w:r w:rsidR="00047581">
        <w:t xml:space="preserve">Figure </w:t>
      </w:r>
      <w:r w:rsidR="00047581">
        <w:rPr>
          <w:noProof/>
        </w:rPr>
        <w:t>5</w:t>
      </w:r>
      <w:r>
        <w:rPr>
          <w:lang w:bidi="ar-SA"/>
        </w:rPr>
        <w:fldChar w:fldCharType="end"/>
      </w:r>
      <w:r>
        <w:rPr>
          <w:lang w:bidi="ar-SA"/>
        </w:rPr>
        <w:t xml:space="preserve"> </w:t>
      </w:r>
      <w:r w:rsidRPr="00642DBC">
        <w:rPr>
          <w:lang w:bidi="ar-SA"/>
        </w:rPr>
        <w:t>are schematics taken from Bernat et al. (2014) showing typical production processes for cereal-based and nut-based beverages respectively.</w:t>
      </w:r>
    </w:p>
    <w:p w14:paraId="42017DB7" w14:textId="77777777" w:rsidR="007565D1" w:rsidRDefault="007565D1" w:rsidP="00D20A1E">
      <w:pPr>
        <w:widowControl/>
        <w:rPr>
          <w:lang w:bidi="ar-SA"/>
        </w:rPr>
      </w:pPr>
    </w:p>
    <w:p w14:paraId="4E40BE28" w14:textId="523BD924" w:rsidR="007565D1" w:rsidRDefault="007F1B4C" w:rsidP="00D20A1E">
      <w:pPr>
        <w:widowControl/>
        <w:rPr>
          <w:lang w:bidi="ar-SA"/>
        </w:rPr>
      </w:pPr>
      <w:r>
        <w:rPr>
          <w:lang w:bidi="ar-SA"/>
        </w:rPr>
        <w:t>From the patent and figures, it is apparent that t</w:t>
      </w:r>
      <w:r w:rsidR="007565D1">
        <w:rPr>
          <w:lang w:bidi="ar-SA"/>
        </w:rPr>
        <w:t>he nut</w:t>
      </w:r>
      <w:r w:rsidR="009C2DC9">
        <w:rPr>
          <w:lang w:bidi="ar-SA"/>
        </w:rPr>
        <w:t>s</w:t>
      </w:r>
      <w:r w:rsidR="007565D1">
        <w:rPr>
          <w:lang w:bidi="ar-SA"/>
        </w:rPr>
        <w:t xml:space="preserve"> or seed</w:t>
      </w:r>
      <w:r w:rsidR="009C2DC9">
        <w:rPr>
          <w:lang w:bidi="ar-SA"/>
        </w:rPr>
        <w:t>s</w:t>
      </w:r>
      <w:r w:rsidR="007565D1">
        <w:rPr>
          <w:lang w:bidi="ar-SA"/>
        </w:rPr>
        <w:t xml:space="preserve"> </w:t>
      </w:r>
      <w:r w:rsidR="009C2DC9">
        <w:rPr>
          <w:lang w:bidi="ar-SA"/>
        </w:rPr>
        <w:t xml:space="preserve">are </w:t>
      </w:r>
      <w:r w:rsidR="007565D1">
        <w:rPr>
          <w:lang w:bidi="ar-SA"/>
        </w:rPr>
        <w:t xml:space="preserve">ground into a fine powder, paste or butter which is then dispersed into water (dry milling). Alternatively, the initial </w:t>
      </w:r>
      <w:r w:rsidR="00075E2F">
        <w:rPr>
          <w:lang w:bidi="ar-SA"/>
        </w:rPr>
        <w:t xml:space="preserve">nut </w:t>
      </w:r>
      <w:r w:rsidR="007565D1">
        <w:rPr>
          <w:lang w:bidi="ar-SA"/>
        </w:rPr>
        <w:t xml:space="preserve">or seed can be soaked and then wet milled to extract the constituents </w:t>
      </w:r>
      <w:r w:rsidR="00A37B2D">
        <w:rPr>
          <w:lang w:bidi="ar-SA"/>
        </w:rPr>
        <w:t xml:space="preserve">from </w:t>
      </w:r>
      <w:r w:rsidR="007565D1">
        <w:rPr>
          <w:lang w:bidi="ar-SA"/>
        </w:rPr>
        <w:t xml:space="preserve">the </w:t>
      </w:r>
      <w:r w:rsidR="007819FC">
        <w:rPr>
          <w:lang w:bidi="ar-SA"/>
        </w:rPr>
        <w:t xml:space="preserve">slurry </w:t>
      </w:r>
      <w:r w:rsidR="007565D1">
        <w:rPr>
          <w:lang w:bidi="ar-SA"/>
        </w:rPr>
        <w:t xml:space="preserve">(wet milling). Removal of </w:t>
      </w:r>
      <w:r w:rsidR="00EF1CBB">
        <w:rPr>
          <w:lang w:bidi="ar-SA"/>
        </w:rPr>
        <w:t xml:space="preserve">coarse </w:t>
      </w:r>
      <w:r w:rsidR="007565D1">
        <w:rPr>
          <w:lang w:bidi="ar-SA"/>
        </w:rPr>
        <w:t xml:space="preserve">particles is performed by filtration, decanting or centrifugation. Various processes or additional substances may need to be added to ensure an acceptable appearance, organoleptic characteristics and shelf life for commercialisation of the products. This means that the fine particles of the ground </w:t>
      </w:r>
      <w:r w:rsidR="00075E2F">
        <w:rPr>
          <w:lang w:bidi="ar-SA"/>
        </w:rPr>
        <w:t xml:space="preserve">nut </w:t>
      </w:r>
      <w:r w:rsidR="00321767">
        <w:rPr>
          <w:lang w:bidi="ar-SA"/>
        </w:rPr>
        <w:t>or</w:t>
      </w:r>
      <w:r w:rsidR="007565D1">
        <w:rPr>
          <w:lang w:bidi="ar-SA"/>
        </w:rPr>
        <w:t xml:space="preserve"> seed are blended homogeneously in the beverage and the resultant drink has an acceptable mouthfeel that is not too </w:t>
      </w:r>
      <w:r w:rsidR="00072328">
        <w:rPr>
          <w:lang w:bidi="ar-SA"/>
        </w:rPr>
        <w:t>‘</w:t>
      </w:r>
      <w:r w:rsidR="007565D1">
        <w:rPr>
          <w:lang w:bidi="ar-SA"/>
        </w:rPr>
        <w:t>gritty</w:t>
      </w:r>
      <w:r w:rsidR="00072328">
        <w:rPr>
          <w:lang w:bidi="ar-SA"/>
        </w:rPr>
        <w:t>’</w:t>
      </w:r>
      <w:r w:rsidR="007565D1">
        <w:rPr>
          <w:lang w:bidi="ar-SA"/>
        </w:rPr>
        <w:t xml:space="preserve"> but also not too </w:t>
      </w:r>
      <w:r w:rsidR="00072328">
        <w:rPr>
          <w:lang w:bidi="ar-SA"/>
        </w:rPr>
        <w:t>‘</w:t>
      </w:r>
      <w:r w:rsidR="007565D1">
        <w:rPr>
          <w:lang w:bidi="ar-SA"/>
        </w:rPr>
        <w:t>thin</w:t>
      </w:r>
      <w:r w:rsidR="00072328">
        <w:rPr>
          <w:lang w:bidi="ar-SA"/>
        </w:rPr>
        <w:t>’.</w:t>
      </w:r>
      <w:r w:rsidR="00072328" w:rsidRPr="00653F20">
        <w:rPr>
          <w:lang w:bidi="ar-SA"/>
        </w:rPr>
        <w:t xml:space="preserve"> </w:t>
      </w:r>
      <w:r w:rsidR="00072328">
        <w:rPr>
          <w:lang w:bidi="ar-SA"/>
        </w:rPr>
        <w:t xml:space="preserve">The resulting </w:t>
      </w:r>
      <w:r w:rsidR="00653F20">
        <w:rPr>
          <w:lang w:bidi="ar-SA"/>
        </w:rPr>
        <w:t xml:space="preserve">beverages have an appearance and texture that </w:t>
      </w:r>
      <w:r w:rsidR="00E077AC">
        <w:rPr>
          <w:lang w:bidi="ar-SA"/>
        </w:rPr>
        <w:t>are</w:t>
      </w:r>
      <w:r w:rsidR="00653F20">
        <w:rPr>
          <w:lang w:bidi="ar-SA"/>
        </w:rPr>
        <w:t xml:space="preserve"> similar to </w:t>
      </w:r>
      <w:r w:rsidR="00A37B2D">
        <w:rPr>
          <w:lang w:bidi="ar-SA"/>
        </w:rPr>
        <w:t xml:space="preserve">those </w:t>
      </w:r>
      <w:r w:rsidR="00653F20">
        <w:rPr>
          <w:lang w:bidi="ar-SA"/>
        </w:rPr>
        <w:t xml:space="preserve">of milk and other </w:t>
      </w:r>
      <w:r w:rsidR="003D608F">
        <w:rPr>
          <w:lang w:bidi="ar-SA"/>
        </w:rPr>
        <w:t>plant-based milk substitute</w:t>
      </w:r>
      <w:r w:rsidR="00653F20">
        <w:rPr>
          <w:lang w:bidi="ar-SA"/>
        </w:rPr>
        <w:t>s</w:t>
      </w:r>
      <w:r w:rsidR="007565D1">
        <w:rPr>
          <w:lang w:bidi="ar-SA"/>
        </w:rPr>
        <w:t>. Various heat treatments are used to ensure all components are homogenised and maintained in suspension in the beverage and to also ensure good microbial stability and shelf life.</w:t>
      </w:r>
      <w:r w:rsidR="00653F20" w:rsidRPr="00653F20">
        <w:rPr>
          <w:lang w:bidi="ar-SA"/>
        </w:rPr>
        <w:t xml:space="preserve"> </w:t>
      </w:r>
    </w:p>
    <w:p w14:paraId="24CBD4DB" w14:textId="77777777" w:rsidR="007565D1" w:rsidRDefault="007565D1" w:rsidP="00D20A1E">
      <w:pPr>
        <w:widowControl/>
        <w:rPr>
          <w:lang w:bidi="ar-SA"/>
        </w:rPr>
      </w:pPr>
    </w:p>
    <w:p w14:paraId="048E62C0" w14:textId="2CC27573" w:rsidR="007565D1" w:rsidRDefault="00D67594" w:rsidP="00D20A1E">
      <w:pPr>
        <w:widowControl/>
        <w:rPr>
          <w:lang w:bidi="ar-SA"/>
        </w:rPr>
      </w:pPr>
      <w:r>
        <w:rPr>
          <w:lang w:bidi="ar-SA"/>
        </w:rPr>
        <w:t xml:space="preserve">The </w:t>
      </w:r>
      <w:r w:rsidR="007565D1">
        <w:rPr>
          <w:lang w:bidi="ar-SA"/>
        </w:rPr>
        <w:t xml:space="preserve">US patent (number 2011/0064862 A1) </w:t>
      </w:r>
      <w:r w:rsidR="00833389" w:rsidRPr="00833389">
        <w:rPr>
          <w:lang w:bidi="ar-SA"/>
        </w:rPr>
        <w:t>(McCready 2011)</w:t>
      </w:r>
      <w:r w:rsidR="007565D1" w:rsidRPr="007565D1">
        <w:rPr>
          <w:lang w:bidi="ar-SA"/>
        </w:rPr>
        <w:t xml:space="preserve"> </w:t>
      </w:r>
      <w:r w:rsidR="007565D1">
        <w:rPr>
          <w:lang w:bidi="ar-SA"/>
        </w:rPr>
        <w:t xml:space="preserve">provides some information on how nut-based beverages are produced. It involves mixing </w:t>
      </w:r>
      <w:r w:rsidR="00075E2F">
        <w:rPr>
          <w:lang w:bidi="ar-SA"/>
        </w:rPr>
        <w:t xml:space="preserve">nut </w:t>
      </w:r>
      <w:r w:rsidR="007565D1">
        <w:rPr>
          <w:lang w:bidi="ar-SA"/>
        </w:rPr>
        <w:t>butter (produced by grinding the nut) with water and a dry blend of hydrocolloids and salts and various added nutrients (vitamins and minerals) to fortify the beverage. Sweeteners, flavours and emulsifiers (lecithins) may also be added as required.</w:t>
      </w:r>
    </w:p>
    <w:p w14:paraId="656F061D" w14:textId="77777777" w:rsidR="007565D1" w:rsidRDefault="007565D1" w:rsidP="00D20A1E">
      <w:pPr>
        <w:widowControl/>
        <w:rPr>
          <w:lang w:bidi="ar-SA"/>
        </w:rPr>
      </w:pPr>
    </w:p>
    <w:p w14:paraId="7A0162AD" w14:textId="77777777" w:rsidR="00281691" w:rsidRDefault="00281691" w:rsidP="00D20A1E">
      <w:pPr>
        <w:widowControl/>
        <w:rPr>
          <w:lang w:bidi="ar-SA"/>
        </w:rPr>
      </w:pPr>
      <w:r>
        <w:rPr>
          <w:lang w:bidi="ar-SA"/>
        </w:rPr>
        <w:t>The US patent (</w:t>
      </w:r>
      <w:r w:rsidRPr="00642DBC">
        <w:rPr>
          <w:lang w:bidi="ar-SA"/>
        </w:rPr>
        <w:t>No. 2</w:t>
      </w:r>
      <w:r>
        <w:rPr>
          <w:lang w:bidi="ar-SA"/>
        </w:rPr>
        <w:t>0</w:t>
      </w:r>
      <w:r w:rsidRPr="00642DBC">
        <w:rPr>
          <w:lang w:bidi="ar-SA"/>
        </w:rPr>
        <w:t>11/0064862</w:t>
      </w:r>
      <w:r>
        <w:rPr>
          <w:lang w:bidi="ar-SA"/>
        </w:rPr>
        <w:t xml:space="preserve"> A1) as outlined in </w:t>
      </w:r>
      <w:r>
        <w:rPr>
          <w:lang w:bidi="ar-SA"/>
        </w:rPr>
        <w:fldChar w:fldCharType="begin"/>
      </w:r>
      <w:r>
        <w:rPr>
          <w:lang w:bidi="ar-SA"/>
        </w:rPr>
        <w:instrText xml:space="preserve"> REF _Ref416700406 \h </w:instrText>
      </w:r>
      <w:r>
        <w:rPr>
          <w:lang w:bidi="ar-SA"/>
        </w:rPr>
      </w:r>
      <w:r>
        <w:rPr>
          <w:lang w:bidi="ar-SA"/>
        </w:rPr>
        <w:fldChar w:fldCharType="separate"/>
      </w:r>
      <w:r w:rsidR="00047581">
        <w:t xml:space="preserve">Figure </w:t>
      </w:r>
      <w:r w:rsidR="00047581">
        <w:rPr>
          <w:noProof/>
        </w:rPr>
        <w:t>3</w:t>
      </w:r>
      <w:r>
        <w:rPr>
          <w:lang w:bidi="ar-SA"/>
        </w:rPr>
        <w:fldChar w:fldCharType="end"/>
      </w:r>
      <w:r>
        <w:rPr>
          <w:lang w:bidi="ar-SA"/>
        </w:rPr>
        <w:t xml:space="preserve"> also provides some further explanation of the various steps in the production process for nut-based beverages. The step listed as ‘Likwifier’ is a high-shear blender used to dissolve or disperse solids into the liquid. Heating by direct steam injection or by indirect heat exchange plates is used to help with blending and mixing. The further homogenisation step is explained as forcing the blend under high pressure through a small orifice (Ultra High Pressure (UHP) treatment). Due to the expense, UHP treatment is not commonly used commercially so emulsifiers and hydrocolloids are frequently used to ensure homogeneity. Final products are usually pasteurised or UHT (Ultra High Temperature) treated (or undergo some other equivalent treatment) to ensure good microbial stability and so extend their shelf life by reducing or eliminating microbial load in the beverage.</w:t>
      </w:r>
    </w:p>
    <w:p w14:paraId="223383AE" w14:textId="7AAD3A41" w:rsidR="005076F8" w:rsidRDefault="005076F8" w:rsidP="00D20A1E">
      <w:pPr>
        <w:widowControl/>
        <w:rPr>
          <w:lang w:bidi="ar-SA"/>
        </w:rPr>
      </w:pPr>
      <w:r>
        <w:rPr>
          <w:lang w:bidi="ar-SA"/>
        </w:rPr>
        <w:br w:type="page"/>
      </w:r>
    </w:p>
    <w:p w14:paraId="6F4A605F" w14:textId="5F387EEA" w:rsidR="007565D1" w:rsidRDefault="007565D1" w:rsidP="00D20A1E">
      <w:pPr>
        <w:keepNext/>
        <w:keepLines/>
        <w:widowControl/>
        <w:rPr>
          <w:lang w:bidi="ar-SA"/>
        </w:rPr>
      </w:pPr>
      <w:r>
        <w:rPr>
          <w:lang w:bidi="ar-SA"/>
        </w:rPr>
        <w:lastRenderedPageBreak/>
        <w:t xml:space="preserve">Hydrocolloids (such as gellan gum) and emulsifiers are added to the product to assist in producing a homogeneous suspension of any insoluble material from the ground </w:t>
      </w:r>
      <w:r w:rsidR="00075E2F">
        <w:rPr>
          <w:lang w:bidi="ar-SA"/>
        </w:rPr>
        <w:t xml:space="preserve">nut </w:t>
      </w:r>
      <w:r>
        <w:rPr>
          <w:lang w:bidi="ar-SA"/>
        </w:rPr>
        <w:t>or seed, and so limit fine particles coming out of suspension and settling on the bottom of the product, as well as preventing phase separation. The suspension formed when gellan gum is used does not add substantially to the mouthfeel of the beverage. Therefore, other food additives such as thickeners or stabilisers are needed to address this issue.</w:t>
      </w:r>
    </w:p>
    <w:p w14:paraId="2BC70AB6" w14:textId="77777777" w:rsidR="007565D1" w:rsidRDefault="007565D1" w:rsidP="00D20A1E">
      <w:pPr>
        <w:widowControl/>
        <w:rPr>
          <w:lang w:bidi="ar-SA"/>
        </w:rPr>
      </w:pPr>
    </w:p>
    <w:p w14:paraId="6801183F" w14:textId="79FE8372" w:rsidR="007565D1" w:rsidRDefault="007565D1" w:rsidP="00D20A1E">
      <w:pPr>
        <w:widowControl/>
        <w:rPr>
          <w:lang w:bidi="ar-SA"/>
        </w:rPr>
      </w:pPr>
      <w:r>
        <w:rPr>
          <w:lang w:bidi="ar-SA"/>
        </w:rPr>
        <w:t>Food additives</w:t>
      </w:r>
      <w:r w:rsidR="00C57BFF">
        <w:rPr>
          <w:lang w:bidi="ar-SA"/>
        </w:rPr>
        <w:t>,</w:t>
      </w:r>
      <w:r>
        <w:rPr>
          <w:lang w:bidi="ar-SA"/>
        </w:rPr>
        <w:t xml:space="preserve"> such as the salt tricalcium phosphate (INS 341 (iii))</w:t>
      </w:r>
      <w:r w:rsidR="00C57BFF">
        <w:rPr>
          <w:lang w:bidi="ar-SA"/>
        </w:rPr>
        <w:t>,</w:t>
      </w:r>
      <w:r>
        <w:rPr>
          <w:lang w:bidi="ar-SA"/>
        </w:rPr>
        <w:t xml:space="preserve"> can be used to produce a fuller mouthfeel of the beverage</w:t>
      </w:r>
      <w:r w:rsidR="00511410">
        <w:rPr>
          <w:lang w:bidi="ar-SA"/>
        </w:rPr>
        <w:t>.</w:t>
      </w:r>
      <w:r>
        <w:rPr>
          <w:lang w:bidi="ar-SA"/>
        </w:rPr>
        <w:t xml:space="preserve"> The technological purpose of tricalcium phosphate includes texturizing agent and stabiliser according to the Codex Standard CAC/GL 36-1989 (Class Names and the International Numbering System for Food Additives). Calcium carbonate is another stabilising agent. Both substances </w:t>
      </w:r>
      <w:r w:rsidR="006C0458">
        <w:rPr>
          <w:lang w:bidi="ar-SA"/>
        </w:rPr>
        <w:t xml:space="preserve">can </w:t>
      </w:r>
      <w:r>
        <w:rPr>
          <w:lang w:bidi="ar-SA"/>
        </w:rPr>
        <w:t xml:space="preserve">also </w:t>
      </w:r>
      <w:r w:rsidR="006C0458">
        <w:rPr>
          <w:lang w:bidi="ar-SA"/>
        </w:rPr>
        <w:t xml:space="preserve">be </w:t>
      </w:r>
      <w:r>
        <w:rPr>
          <w:lang w:bidi="ar-SA"/>
        </w:rPr>
        <w:t>calcium sources for fortification purposes.</w:t>
      </w:r>
    </w:p>
    <w:p w14:paraId="0D0C1D7B" w14:textId="77777777" w:rsidR="007565D1" w:rsidRDefault="007565D1" w:rsidP="00D20A1E">
      <w:pPr>
        <w:widowControl/>
        <w:rPr>
          <w:lang w:bidi="ar-SA"/>
        </w:rPr>
      </w:pPr>
    </w:p>
    <w:p w14:paraId="0A4471A0" w14:textId="4DD81F26" w:rsidR="007565D1" w:rsidRDefault="007565D1" w:rsidP="00D20A1E">
      <w:pPr>
        <w:widowControl/>
        <w:rPr>
          <w:lang w:bidi="ar-SA"/>
        </w:rPr>
      </w:pPr>
      <w:r>
        <w:rPr>
          <w:lang w:bidi="ar-SA"/>
        </w:rPr>
        <w:t xml:space="preserve">In relation to the current application, </w:t>
      </w:r>
      <w:r w:rsidR="007268FF">
        <w:rPr>
          <w:lang w:bidi="ar-SA"/>
        </w:rPr>
        <w:t xml:space="preserve">the Applicant has advised FSANZ </w:t>
      </w:r>
      <w:r>
        <w:rPr>
          <w:lang w:bidi="ar-SA"/>
        </w:rPr>
        <w:t xml:space="preserve">that the various vitamin and minerals will be added at the appropriate </w:t>
      </w:r>
      <w:r w:rsidR="001A79F8">
        <w:rPr>
          <w:lang w:bidi="ar-SA"/>
        </w:rPr>
        <w:t>stage</w:t>
      </w:r>
      <w:r>
        <w:rPr>
          <w:lang w:bidi="ar-SA"/>
        </w:rPr>
        <w:t xml:space="preserve"> during the production process to ensure they are mixed homogeneously into the beverages and that losses during subsequent processing are minimised. Appropriate equipment (dosing and metering pumps) will be required, as well as technical expertise. </w:t>
      </w:r>
      <w:r w:rsidR="007268FF">
        <w:rPr>
          <w:lang w:bidi="ar-SA"/>
        </w:rPr>
        <w:t>However, s</w:t>
      </w:r>
      <w:r>
        <w:rPr>
          <w:lang w:bidi="ar-SA"/>
        </w:rPr>
        <w:t xml:space="preserve">imilar products have been produced for a number of years in other countries so appropriate knowledge and expertise is available to assist in setting up of the plant and processes, including quality assurance practices to ensure the appropriate amounts </w:t>
      </w:r>
      <w:r w:rsidR="002100AB">
        <w:rPr>
          <w:lang w:bidi="ar-SA"/>
        </w:rPr>
        <w:t xml:space="preserve">will be </w:t>
      </w:r>
      <w:r>
        <w:rPr>
          <w:lang w:bidi="ar-SA"/>
        </w:rPr>
        <w:t>present in the final products.</w:t>
      </w:r>
      <w:r w:rsidR="00C57BFF">
        <w:rPr>
          <w:lang w:bidi="ar-SA"/>
        </w:rPr>
        <w:t xml:space="preserve"> The technology, equipment and expertise for producing these products </w:t>
      </w:r>
      <w:r w:rsidR="002100AB">
        <w:rPr>
          <w:lang w:bidi="ar-SA"/>
        </w:rPr>
        <w:t>are</w:t>
      </w:r>
      <w:r w:rsidR="00C57BFF">
        <w:rPr>
          <w:lang w:bidi="ar-SA"/>
        </w:rPr>
        <w:t xml:space="preserve"> similar to </w:t>
      </w:r>
      <w:r w:rsidR="002100AB">
        <w:rPr>
          <w:lang w:bidi="ar-SA"/>
        </w:rPr>
        <w:t>those</w:t>
      </w:r>
      <w:r w:rsidR="00C57BFF">
        <w:rPr>
          <w:lang w:bidi="ar-SA"/>
        </w:rPr>
        <w:t xml:space="preserve"> used to produce cereal-based beverages</w:t>
      </w:r>
      <w:r w:rsidR="002100AB">
        <w:rPr>
          <w:lang w:bidi="ar-SA"/>
        </w:rPr>
        <w:t>, both of</w:t>
      </w:r>
      <w:r w:rsidR="00C57BFF">
        <w:rPr>
          <w:lang w:bidi="ar-SA"/>
        </w:rPr>
        <w:t xml:space="preserve"> which are well</w:t>
      </w:r>
      <w:r w:rsidR="001A79F8">
        <w:rPr>
          <w:lang w:bidi="ar-SA"/>
        </w:rPr>
        <w:t xml:space="preserve"> </w:t>
      </w:r>
      <w:r w:rsidR="00C57BFF">
        <w:rPr>
          <w:lang w:bidi="ar-SA"/>
        </w:rPr>
        <w:t xml:space="preserve">known </w:t>
      </w:r>
      <w:r w:rsidR="002100AB">
        <w:rPr>
          <w:lang w:bidi="ar-SA"/>
        </w:rPr>
        <w:t xml:space="preserve">to, </w:t>
      </w:r>
      <w:r w:rsidR="00C57BFF">
        <w:rPr>
          <w:lang w:bidi="ar-SA"/>
        </w:rPr>
        <w:t>and understood by</w:t>
      </w:r>
      <w:r w:rsidR="002100AB">
        <w:rPr>
          <w:lang w:bidi="ar-SA"/>
        </w:rPr>
        <w:t>,</w:t>
      </w:r>
      <w:r w:rsidR="00C57BFF">
        <w:rPr>
          <w:lang w:bidi="ar-SA"/>
        </w:rPr>
        <w:t xml:space="preserve"> the Applicant.</w:t>
      </w:r>
    </w:p>
    <w:p w14:paraId="0B12C144" w14:textId="42372CD2" w:rsidR="00CE51D3" w:rsidRPr="00353A99" w:rsidRDefault="00AF4FCB" w:rsidP="00D20A1E">
      <w:pPr>
        <w:pStyle w:val="Heading2"/>
      </w:pPr>
      <w:bookmarkStart w:id="80" w:name="_Ref421003278"/>
      <w:bookmarkStart w:id="81" w:name="_Ref421003286"/>
      <w:bookmarkStart w:id="82" w:name="_Toc427672169"/>
      <w:bookmarkStart w:id="83" w:name="_Toc427678235"/>
      <w:r>
        <w:t>6.2</w:t>
      </w:r>
      <w:r>
        <w:tab/>
      </w:r>
      <w:r w:rsidR="00CE51D3" w:rsidRPr="00353A99">
        <w:t xml:space="preserve">Stability of added vitamins and minerals in </w:t>
      </w:r>
      <w:r w:rsidR="00075E2F">
        <w:t xml:space="preserve">nut- </w:t>
      </w:r>
      <w:r w:rsidR="00CE51D3" w:rsidRPr="00353A99">
        <w:t>and seed-based beverages</w:t>
      </w:r>
      <w:bookmarkEnd w:id="80"/>
      <w:bookmarkEnd w:id="81"/>
      <w:bookmarkEnd w:id="82"/>
      <w:bookmarkEnd w:id="83"/>
    </w:p>
    <w:p w14:paraId="698D0107" w14:textId="51FAE401" w:rsidR="00CE51D3" w:rsidRDefault="005465CF" w:rsidP="00D20A1E">
      <w:pPr>
        <w:widowControl/>
        <w:rPr>
          <w:lang w:bidi="ar-SA"/>
        </w:rPr>
      </w:pPr>
      <w:r>
        <w:rPr>
          <w:lang w:bidi="ar-SA"/>
        </w:rPr>
        <w:t>I</w:t>
      </w:r>
      <w:r w:rsidR="00292EF1">
        <w:rPr>
          <w:lang w:bidi="ar-SA"/>
        </w:rPr>
        <w:t xml:space="preserve">t is important to understand what impact processing has on the stability and bioavailability of added vitamins and minerals in the product and during its shelf life. </w:t>
      </w:r>
      <w:r w:rsidR="00CE51D3">
        <w:rPr>
          <w:lang w:bidi="ar-SA"/>
        </w:rPr>
        <w:t xml:space="preserve">The stability is influenced by a variety of food processing factors. Excessive heat and oxygen exposure will reduce the </w:t>
      </w:r>
      <w:r>
        <w:rPr>
          <w:lang w:bidi="ar-SA"/>
        </w:rPr>
        <w:t xml:space="preserve">amounts </w:t>
      </w:r>
      <w:r w:rsidR="00CE51D3">
        <w:rPr>
          <w:lang w:bidi="ar-SA"/>
        </w:rPr>
        <w:t>of added nutrients. The addition of added minerals is complicated by their reactivity to other food components, including metal ions, so the use of added sequestrants (such as citric acid) may be necessary.</w:t>
      </w:r>
    </w:p>
    <w:p w14:paraId="616D53A4" w14:textId="77777777" w:rsidR="00CE51D3" w:rsidRDefault="00CE51D3" w:rsidP="00D20A1E">
      <w:pPr>
        <w:widowControl/>
        <w:rPr>
          <w:lang w:bidi="ar-SA"/>
        </w:rPr>
      </w:pPr>
    </w:p>
    <w:p w14:paraId="3A2E9C36" w14:textId="5F81F26D" w:rsidR="00CE51D3" w:rsidRDefault="00CE51D3" w:rsidP="00D20A1E">
      <w:pPr>
        <w:widowControl/>
        <w:rPr>
          <w:lang w:bidi="ar-SA"/>
        </w:rPr>
      </w:pPr>
      <w:r>
        <w:rPr>
          <w:lang w:bidi="ar-SA"/>
        </w:rPr>
        <w:t xml:space="preserve">The Application </w:t>
      </w:r>
      <w:r w:rsidR="00167A71">
        <w:rPr>
          <w:lang w:bidi="ar-SA"/>
        </w:rPr>
        <w:t>describes</w:t>
      </w:r>
      <w:r>
        <w:rPr>
          <w:lang w:bidi="ar-SA"/>
        </w:rPr>
        <w:t xml:space="preserve"> the use of stabilised forms of vitamins and minerals </w:t>
      </w:r>
      <w:r w:rsidR="00167A71">
        <w:rPr>
          <w:lang w:bidi="ar-SA"/>
        </w:rPr>
        <w:t xml:space="preserve">to </w:t>
      </w:r>
      <w:r>
        <w:rPr>
          <w:lang w:bidi="ar-SA"/>
        </w:rPr>
        <w:t xml:space="preserve">reduce losses due to processing and storage conditions. For example, vitamin A complexed with cyclodextrin inhibits photoisomerisation and photodegradation. As well, gum arabic also acts as a suitable vehicle for encapsulation. Commercially available permitted forms of the </w:t>
      </w:r>
      <w:r w:rsidR="001A79F8">
        <w:rPr>
          <w:lang w:bidi="ar-SA"/>
        </w:rPr>
        <w:t>micro</w:t>
      </w:r>
      <w:r>
        <w:rPr>
          <w:lang w:bidi="ar-SA"/>
        </w:rPr>
        <w:t>nutrients may also use various permitted carriers and stab</w:t>
      </w:r>
      <w:r w:rsidR="001A79F8">
        <w:rPr>
          <w:lang w:bidi="ar-SA"/>
        </w:rPr>
        <w:t xml:space="preserve">ilising agents to stabilise them </w:t>
      </w:r>
      <w:r>
        <w:rPr>
          <w:lang w:bidi="ar-SA"/>
        </w:rPr>
        <w:t>before they are added to the beverage. These are permitted processing aids that do not have any technological function in the final beverage.</w:t>
      </w:r>
    </w:p>
    <w:p w14:paraId="292B9118" w14:textId="77777777" w:rsidR="00CE51D3" w:rsidRDefault="00CE51D3" w:rsidP="00D20A1E">
      <w:pPr>
        <w:widowControl/>
      </w:pPr>
    </w:p>
    <w:p w14:paraId="4AC08492" w14:textId="77777777" w:rsidR="005076F8" w:rsidRDefault="00CE51D3" w:rsidP="00D20A1E">
      <w:pPr>
        <w:widowControl/>
        <w:rPr>
          <w:lang w:bidi="ar-SA"/>
        </w:rPr>
      </w:pPr>
      <w:r>
        <w:rPr>
          <w:lang w:bidi="ar-SA"/>
        </w:rPr>
        <w:t xml:space="preserve">The Application contains some stability data for levels of various added vitamins and minerals for the company’s </w:t>
      </w:r>
      <w:r w:rsidR="003D608F">
        <w:rPr>
          <w:lang w:bidi="ar-SA"/>
        </w:rPr>
        <w:t>plant-based milk substitute</w:t>
      </w:r>
      <w:r>
        <w:rPr>
          <w:lang w:bidi="ar-SA"/>
        </w:rPr>
        <w:t xml:space="preserve">s (including soy-based beverages). Quality assurance testing is conducted by the company to ensure products meet their Nutritional Information Panel (NIP) statements. Data supporting the company’s claim that the added </w:t>
      </w:r>
      <w:r w:rsidR="001A79F8">
        <w:rPr>
          <w:lang w:bidi="ar-SA"/>
        </w:rPr>
        <w:t>micro</w:t>
      </w:r>
      <w:r>
        <w:rPr>
          <w:lang w:bidi="ar-SA"/>
        </w:rPr>
        <w:t>nutrients (vitamin A, riboflavin, vitamin B</w:t>
      </w:r>
      <w:r w:rsidRPr="002D756F">
        <w:rPr>
          <w:vertAlign w:val="subscript"/>
          <w:lang w:bidi="ar-SA"/>
        </w:rPr>
        <w:t>12</w:t>
      </w:r>
      <w:r>
        <w:rPr>
          <w:lang w:bidi="ar-SA"/>
        </w:rPr>
        <w:t>, calcium, phosphorus, thiamin, vitamin B</w:t>
      </w:r>
      <w:r w:rsidRPr="002D756F">
        <w:rPr>
          <w:vertAlign w:val="subscript"/>
          <w:lang w:bidi="ar-SA"/>
        </w:rPr>
        <w:t>6</w:t>
      </w:r>
      <w:r>
        <w:rPr>
          <w:lang w:bidi="ar-SA"/>
        </w:rPr>
        <w:t xml:space="preserve"> and folate) for soy-based beverages are consistent with the NIP statements were provided as Confidential Commercial Information (CCI). Results were also provided for levels of added calcium and phosphorus for a rice-based beverage which showed average results close to the NIP statements. </w:t>
      </w:r>
      <w:r w:rsidR="005076F8">
        <w:rPr>
          <w:lang w:bidi="ar-SA"/>
        </w:rPr>
        <w:br w:type="page"/>
      </w:r>
    </w:p>
    <w:p w14:paraId="14CE53A6" w14:textId="7E84E134" w:rsidR="00CE51D3" w:rsidRDefault="00CE51D3" w:rsidP="00D20A1E">
      <w:pPr>
        <w:widowControl/>
        <w:rPr>
          <w:lang w:bidi="ar-SA"/>
        </w:rPr>
      </w:pPr>
      <w:r>
        <w:rPr>
          <w:lang w:bidi="ar-SA"/>
        </w:rPr>
        <w:lastRenderedPageBreak/>
        <w:t xml:space="preserve">These products are outside the scope of this Application but they do provide some assurance that manufacturers will be able to successfully add these vitamins and minerals to </w:t>
      </w:r>
      <w:r w:rsidR="00075E2F">
        <w:rPr>
          <w:lang w:bidi="ar-SA"/>
        </w:rPr>
        <w:t xml:space="preserve">nut- </w:t>
      </w:r>
      <w:r>
        <w:rPr>
          <w:lang w:bidi="ar-SA"/>
        </w:rPr>
        <w:t xml:space="preserve">and seed-based beverages and the </w:t>
      </w:r>
      <w:r w:rsidR="001A79F8">
        <w:rPr>
          <w:lang w:bidi="ar-SA"/>
        </w:rPr>
        <w:t>vitamins and minerals</w:t>
      </w:r>
      <w:r>
        <w:rPr>
          <w:lang w:bidi="ar-SA"/>
        </w:rPr>
        <w:t xml:space="preserve"> will be stable since it is understood that the production processes are quite similar.</w:t>
      </w:r>
    </w:p>
    <w:p w14:paraId="46E88F7F" w14:textId="77777777" w:rsidR="007565D1" w:rsidRDefault="007565D1" w:rsidP="005076F8">
      <w:pPr>
        <w:widowControl/>
        <w:jc w:val="center"/>
        <w:rPr>
          <w:lang w:bidi="ar-SA"/>
        </w:rPr>
      </w:pPr>
      <w:r>
        <w:rPr>
          <w:rFonts w:cs="Arial"/>
          <w:noProof/>
          <w:color w:val="000000"/>
          <w:sz w:val="17"/>
          <w:szCs w:val="17"/>
          <w:lang w:eastAsia="en-GB" w:bidi="ar-SA"/>
        </w:rPr>
        <w:drawing>
          <wp:inline distT="0" distB="0" distL="0" distR="0" wp14:anchorId="4E48B069" wp14:editId="05265032">
            <wp:extent cx="5400675" cy="5804200"/>
            <wp:effectExtent l="0" t="0" r="0" b="6350"/>
            <wp:docPr id="2" name="Picture 2" descr="http://patentimages.storage.googleapis.com/US20110064862A1/US20110064862A1-20110317-D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patentimages.storage.googleapis.com/US20110064862A1/US20110064862A1-20110317-D00000.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2882"/>
                    <a:stretch/>
                  </pic:blipFill>
                  <pic:spPr bwMode="auto">
                    <a:xfrm>
                      <a:off x="0" y="0"/>
                      <a:ext cx="5398283" cy="5801629"/>
                    </a:xfrm>
                    <a:prstGeom prst="rect">
                      <a:avLst/>
                    </a:prstGeom>
                    <a:noFill/>
                    <a:ln>
                      <a:noFill/>
                    </a:ln>
                    <a:extLst>
                      <a:ext uri="{53640926-AAD7-44D8-BBD7-CCE9431645EC}">
                        <a14:shadowObscured xmlns:a14="http://schemas.microsoft.com/office/drawing/2010/main"/>
                      </a:ext>
                    </a:extLst>
                  </pic:spPr>
                </pic:pic>
              </a:graphicData>
            </a:graphic>
          </wp:inline>
        </w:drawing>
      </w:r>
    </w:p>
    <w:p w14:paraId="381B01C2" w14:textId="6E40F546" w:rsidR="00855483" w:rsidRDefault="007565D1" w:rsidP="005076F8">
      <w:pPr>
        <w:pStyle w:val="FSFigureTitle"/>
        <w:widowControl/>
        <w:jc w:val="center"/>
      </w:pPr>
      <w:bookmarkStart w:id="84" w:name="_Ref416700406"/>
      <w:r>
        <w:t xml:space="preserve">Figure </w:t>
      </w:r>
      <w:fldSimple w:instr=" SEQ Figure \* ARABIC ">
        <w:r w:rsidR="00047581">
          <w:rPr>
            <w:noProof/>
          </w:rPr>
          <w:t>3</w:t>
        </w:r>
      </w:fldSimple>
      <w:bookmarkEnd w:id="84"/>
      <w:r w:rsidR="00513153">
        <w:rPr>
          <w:noProof/>
        </w:rPr>
        <w:t xml:space="preserve">: </w:t>
      </w:r>
      <w:r>
        <w:rPr>
          <w:lang w:bidi="ar-SA"/>
        </w:rPr>
        <w:t>Schematic of nut-based beverage production, taken from US Patent No.</w:t>
      </w:r>
      <w:r w:rsidRPr="007565D1">
        <w:rPr>
          <w:lang w:bidi="ar-SA"/>
        </w:rPr>
        <w:t xml:space="preserve"> </w:t>
      </w:r>
      <w:r>
        <w:rPr>
          <w:lang w:bidi="ar-SA"/>
        </w:rPr>
        <w:t xml:space="preserve">2011/0064862 A1 </w:t>
      </w:r>
      <w:r w:rsidR="00833389" w:rsidRPr="00833389">
        <w:rPr>
          <w:lang w:bidi="ar-SA"/>
        </w:rPr>
        <w:t>(McCready 2011)</w:t>
      </w:r>
    </w:p>
    <w:p w14:paraId="58820548" w14:textId="34BEFCA3" w:rsidR="00BF5AE0" w:rsidRDefault="00BF5AE0" w:rsidP="00D20A1E">
      <w:pPr>
        <w:widowControl/>
      </w:pPr>
    </w:p>
    <w:p w14:paraId="4D7C8E19" w14:textId="7B648948" w:rsidR="00BF5AE0" w:rsidRDefault="007565D1" w:rsidP="005076F8">
      <w:pPr>
        <w:pStyle w:val="FSFigureTitle"/>
        <w:widowControl/>
        <w:jc w:val="center"/>
      </w:pPr>
      <w:r>
        <w:rPr>
          <w:noProof/>
          <w:lang w:eastAsia="en-GB" w:bidi="ar-SA"/>
        </w:rPr>
        <w:lastRenderedPageBreak/>
        <w:drawing>
          <wp:inline distT="0" distB="0" distL="0" distR="0" wp14:anchorId="4CBA04A7" wp14:editId="21D17EAA">
            <wp:extent cx="5460258" cy="538162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66692" cy="5387966"/>
                    </a:xfrm>
                    <a:prstGeom prst="rect">
                      <a:avLst/>
                    </a:prstGeom>
                    <a:noFill/>
                    <a:ln>
                      <a:noFill/>
                    </a:ln>
                  </pic:spPr>
                </pic:pic>
              </a:graphicData>
            </a:graphic>
          </wp:inline>
        </w:drawing>
      </w:r>
      <w:bookmarkStart w:id="85" w:name="_Ref416700416"/>
      <w:r>
        <w:t xml:space="preserve">Figure </w:t>
      </w:r>
      <w:fldSimple w:instr=" SEQ Figure \* ARABIC ">
        <w:r w:rsidR="00047581">
          <w:rPr>
            <w:noProof/>
          </w:rPr>
          <w:t>4</w:t>
        </w:r>
      </w:fldSimple>
      <w:bookmarkEnd w:id="85"/>
      <w:r w:rsidR="00513153">
        <w:rPr>
          <w:noProof/>
        </w:rPr>
        <w:t xml:space="preserve">: </w:t>
      </w:r>
      <w:r>
        <w:rPr>
          <w:lang w:bidi="ar-SA"/>
        </w:rPr>
        <w:t>Schematic of typical cereal-based beverage production processes, r</w:t>
      </w:r>
      <w:r w:rsidRPr="00C662AB">
        <w:rPr>
          <w:lang w:bidi="ar-SA"/>
        </w:rPr>
        <w:t>eproduced</w:t>
      </w:r>
      <w:r w:rsidR="00353A99">
        <w:rPr>
          <w:lang w:bidi="ar-SA"/>
        </w:rPr>
        <w:t xml:space="preserve"> </w:t>
      </w:r>
      <w:r w:rsidRPr="00C662AB">
        <w:rPr>
          <w:lang w:bidi="ar-SA"/>
        </w:rPr>
        <w:t>from an open access, online source</w:t>
      </w:r>
      <w:r>
        <w:rPr>
          <w:lang w:bidi="ar-SA"/>
        </w:rPr>
        <w:t xml:space="preserve"> </w:t>
      </w:r>
      <w:r w:rsidR="00B643E1">
        <w:rPr>
          <w:lang w:bidi="ar-SA"/>
        </w:rPr>
        <w:t>(Bernat et al. 2014)</w:t>
      </w:r>
      <w:r w:rsidR="00B643E1">
        <w:rPr>
          <w:noProof/>
          <w:lang w:bidi="ar-SA"/>
        </w:rPr>
        <w:t>.</w:t>
      </w:r>
    </w:p>
    <w:p w14:paraId="5652C2F7" w14:textId="635A36EF" w:rsidR="007565D1" w:rsidRDefault="007565D1" w:rsidP="00D20A1E">
      <w:pPr>
        <w:widowControl/>
      </w:pPr>
      <w:r>
        <w:br w:type="page"/>
      </w:r>
    </w:p>
    <w:p w14:paraId="2A9E2233" w14:textId="77777777" w:rsidR="00620ABC" w:rsidRDefault="00620ABC" w:rsidP="005076F8">
      <w:pPr>
        <w:widowControl/>
        <w:jc w:val="center"/>
        <w:rPr>
          <w:i/>
          <w:lang w:bidi="ar-SA"/>
        </w:rPr>
      </w:pPr>
      <w:r>
        <w:rPr>
          <w:i/>
          <w:noProof/>
          <w:lang w:eastAsia="en-GB" w:bidi="ar-SA"/>
        </w:rPr>
        <w:lastRenderedPageBreak/>
        <w:drawing>
          <wp:inline distT="0" distB="0" distL="0" distR="0" wp14:anchorId="5A53E511" wp14:editId="5162FBB6">
            <wp:extent cx="5482257" cy="57531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2784" cy="5764148"/>
                    </a:xfrm>
                    <a:prstGeom prst="rect">
                      <a:avLst/>
                    </a:prstGeom>
                    <a:noFill/>
                    <a:ln>
                      <a:noFill/>
                    </a:ln>
                  </pic:spPr>
                </pic:pic>
              </a:graphicData>
            </a:graphic>
          </wp:inline>
        </w:drawing>
      </w:r>
    </w:p>
    <w:p w14:paraId="37EA962D" w14:textId="1EFE3FCB" w:rsidR="00BF5AE0" w:rsidRDefault="00620ABC" w:rsidP="005076F8">
      <w:pPr>
        <w:pStyle w:val="FSFigureTitle"/>
        <w:widowControl/>
        <w:jc w:val="center"/>
      </w:pPr>
      <w:bookmarkStart w:id="86" w:name="_Ref416700424"/>
      <w:r>
        <w:t xml:space="preserve">Figure </w:t>
      </w:r>
      <w:fldSimple w:instr=" SEQ Figure \* ARABIC ">
        <w:r w:rsidR="00047581">
          <w:rPr>
            <w:noProof/>
          </w:rPr>
          <w:t>5</w:t>
        </w:r>
      </w:fldSimple>
      <w:bookmarkEnd w:id="86"/>
      <w:r w:rsidR="00513153">
        <w:rPr>
          <w:noProof/>
        </w:rPr>
        <w:t xml:space="preserve">: </w:t>
      </w:r>
      <w:r>
        <w:rPr>
          <w:lang w:bidi="ar-SA"/>
        </w:rPr>
        <w:t xml:space="preserve">Schematic of typical nut-based beverage production processes, </w:t>
      </w:r>
      <w:r w:rsidRPr="00C662AB">
        <w:rPr>
          <w:lang w:bidi="ar-SA"/>
        </w:rPr>
        <w:t>reproduced from</w:t>
      </w:r>
      <w:r w:rsidR="00353A99">
        <w:rPr>
          <w:lang w:bidi="ar-SA"/>
        </w:rPr>
        <w:t xml:space="preserve"> </w:t>
      </w:r>
      <w:r w:rsidRPr="00C662AB">
        <w:rPr>
          <w:lang w:bidi="ar-SA"/>
        </w:rPr>
        <w:t>an open access, online source</w:t>
      </w:r>
      <w:r>
        <w:rPr>
          <w:lang w:bidi="ar-SA"/>
        </w:rPr>
        <w:t xml:space="preserve"> </w:t>
      </w:r>
      <w:r w:rsidR="00B643E1">
        <w:rPr>
          <w:lang w:bidi="ar-SA"/>
        </w:rPr>
        <w:t xml:space="preserve">(Bernat </w:t>
      </w:r>
      <w:r w:rsidR="00B643E1">
        <w:rPr>
          <w:i w:val="0"/>
          <w:lang w:bidi="ar-SA"/>
        </w:rPr>
        <w:t xml:space="preserve">et al. </w:t>
      </w:r>
      <w:r w:rsidR="00B643E1">
        <w:rPr>
          <w:lang w:bidi="ar-SA"/>
        </w:rPr>
        <w:t>2014)</w:t>
      </w:r>
    </w:p>
    <w:p w14:paraId="02B8ABB6" w14:textId="77777777" w:rsidR="00620ABC" w:rsidRDefault="00620ABC" w:rsidP="00D20A1E">
      <w:pPr>
        <w:widowControl/>
        <w:rPr>
          <w:lang w:bidi="ar-SA"/>
        </w:rPr>
      </w:pPr>
    </w:p>
    <w:p w14:paraId="01A009C3" w14:textId="272C2EB9" w:rsidR="00620ABC" w:rsidRDefault="00620ABC" w:rsidP="00D20A1E">
      <w:pPr>
        <w:widowControl/>
        <w:rPr>
          <w:lang w:bidi="ar-SA"/>
        </w:rPr>
      </w:pPr>
      <w:r>
        <w:rPr>
          <w:lang w:bidi="ar-SA"/>
        </w:rPr>
        <w:t xml:space="preserve">A limited number of </w:t>
      </w:r>
      <w:r w:rsidR="003213A6">
        <w:rPr>
          <w:lang w:bidi="ar-SA"/>
        </w:rPr>
        <w:t xml:space="preserve">analytical </w:t>
      </w:r>
      <w:r>
        <w:rPr>
          <w:lang w:bidi="ar-SA"/>
        </w:rPr>
        <w:t xml:space="preserve">results for the presence of calcium in almond-based beverages </w:t>
      </w:r>
      <w:r w:rsidR="00D67594">
        <w:rPr>
          <w:lang w:bidi="ar-SA"/>
        </w:rPr>
        <w:t xml:space="preserve">were </w:t>
      </w:r>
      <w:r>
        <w:rPr>
          <w:lang w:bidi="ar-SA"/>
        </w:rPr>
        <w:t xml:space="preserve">also provided as CCI. The only conclusion </w:t>
      </w:r>
      <w:r w:rsidR="006A4F2C">
        <w:rPr>
          <w:lang w:bidi="ar-SA"/>
        </w:rPr>
        <w:t xml:space="preserve">that </w:t>
      </w:r>
      <w:r>
        <w:rPr>
          <w:lang w:bidi="ar-SA"/>
        </w:rPr>
        <w:t>can be made from this is that they are consistent with the NIP label statement.</w:t>
      </w:r>
    </w:p>
    <w:p w14:paraId="73A32A7F" w14:textId="77777777" w:rsidR="00620ABC" w:rsidRDefault="00620ABC" w:rsidP="00D20A1E">
      <w:pPr>
        <w:widowControl/>
        <w:rPr>
          <w:lang w:bidi="ar-SA"/>
        </w:rPr>
      </w:pPr>
    </w:p>
    <w:p w14:paraId="55A244DD" w14:textId="4B86E7E3" w:rsidR="00620ABC" w:rsidRDefault="00620ABC" w:rsidP="00D20A1E">
      <w:pPr>
        <w:widowControl/>
        <w:rPr>
          <w:lang w:bidi="ar-SA"/>
        </w:rPr>
      </w:pPr>
      <w:r>
        <w:rPr>
          <w:lang w:bidi="ar-SA"/>
        </w:rPr>
        <w:t xml:space="preserve">The Application contained more CCI stability data on results of added </w:t>
      </w:r>
      <w:r w:rsidR="001A79F8">
        <w:rPr>
          <w:lang w:bidi="ar-SA"/>
        </w:rPr>
        <w:t>vitamins and minerals</w:t>
      </w:r>
      <w:r>
        <w:rPr>
          <w:lang w:bidi="ar-SA"/>
        </w:rPr>
        <w:t xml:space="preserve"> to commercial almond-based beverage</w:t>
      </w:r>
      <w:r w:rsidR="001A79F8">
        <w:rPr>
          <w:lang w:bidi="ar-SA"/>
        </w:rPr>
        <w:t>s</w:t>
      </w:r>
      <w:r>
        <w:rPr>
          <w:lang w:bidi="ar-SA"/>
        </w:rPr>
        <w:t xml:space="preserve"> sourced from overseas. Extra </w:t>
      </w:r>
      <w:r w:rsidR="001A79F8">
        <w:rPr>
          <w:lang w:bidi="ar-SA"/>
        </w:rPr>
        <w:t>micro</w:t>
      </w:r>
      <w:r>
        <w:rPr>
          <w:lang w:bidi="ar-SA"/>
        </w:rPr>
        <w:t>nutrients were added to the base almond beverage and used for further forced stability testing. It was estimated that these samples were several months old when initially received. Fortified samples were then stored for 2 and 4 months at 30</w:t>
      </w:r>
      <w:r>
        <w:rPr>
          <w:rFonts w:cs="Arial"/>
          <w:lang w:bidi="ar-SA"/>
        </w:rPr>
        <w:t>°</w:t>
      </w:r>
      <w:r>
        <w:rPr>
          <w:lang w:bidi="ar-SA"/>
        </w:rPr>
        <w:t xml:space="preserve">C (equivalent to 4 and 8 months at room temperature) and compared to the initial results. Testing found that </w:t>
      </w:r>
      <w:r w:rsidR="00292EF1">
        <w:rPr>
          <w:lang w:bidi="ar-SA"/>
        </w:rPr>
        <w:t>negligible</w:t>
      </w:r>
      <w:r>
        <w:rPr>
          <w:lang w:bidi="ar-SA"/>
        </w:rPr>
        <w:t xml:space="preserve"> losses were observed over this shelf life period for the four </w:t>
      </w:r>
      <w:r w:rsidR="001A79F8">
        <w:rPr>
          <w:lang w:bidi="ar-SA"/>
        </w:rPr>
        <w:t>micro</w:t>
      </w:r>
      <w:r>
        <w:rPr>
          <w:lang w:bidi="ar-SA"/>
        </w:rPr>
        <w:t>nutrients tested</w:t>
      </w:r>
      <w:r w:rsidR="00D67594">
        <w:rPr>
          <w:lang w:bidi="ar-SA"/>
        </w:rPr>
        <w:t>:</w:t>
      </w:r>
      <w:r>
        <w:rPr>
          <w:lang w:bidi="ar-SA"/>
        </w:rPr>
        <w:t xml:space="preserve"> phosphorus, vitamin A, riboflavin and iodine. These results support the Applicant’s claim that very little of the added nutrients are lost over an extended shelf life period and that they can be assured to be comparable to NIP label statements.</w:t>
      </w:r>
    </w:p>
    <w:p w14:paraId="212AEDC8" w14:textId="77777777" w:rsidR="005076F8" w:rsidRDefault="005076F8" w:rsidP="00D20A1E">
      <w:pPr>
        <w:pStyle w:val="Heading2"/>
      </w:pPr>
      <w:bookmarkStart w:id="87" w:name="_Toc427672170"/>
      <w:r>
        <w:br w:type="page"/>
      </w:r>
    </w:p>
    <w:p w14:paraId="4D38AD2C" w14:textId="3DE54F95" w:rsidR="00620ABC" w:rsidRPr="00353A99" w:rsidRDefault="00AF4FCB" w:rsidP="00D20A1E">
      <w:pPr>
        <w:pStyle w:val="Heading2"/>
      </w:pPr>
      <w:bookmarkStart w:id="88" w:name="_Toc427678236"/>
      <w:r>
        <w:lastRenderedPageBreak/>
        <w:t>6.3</w:t>
      </w:r>
      <w:r>
        <w:tab/>
      </w:r>
      <w:r w:rsidR="00620ABC" w:rsidRPr="00353A99">
        <w:t>Analytical methods</w:t>
      </w:r>
      <w:bookmarkEnd w:id="87"/>
      <w:bookmarkEnd w:id="88"/>
    </w:p>
    <w:p w14:paraId="1258577D" w14:textId="6E0C7DCA" w:rsidR="00620ABC" w:rsidRDefault="00620ABC" w:rsidP="00D20A1E">
      <w:pPr>
        <w:widowControl/>
        <w:rPr>
          <w:lang w:bidi="ar-SA"/>
        </w:rPr>
      </w:pPr>
      <w:r>
        <w:rPr>
          <w:lang w:bidi="ar-SA"/>
        </w:rPr>
        <w:t xml:space="preserve">The Application contains a table of various AOAC International (formerly the Association of Official Analytical Chemists) analytical methods that can be used for the </w:t>
      </w:r>
      <w:r w:rsidR="0017489F">
        <w:rPr>
          <w:lang w:bidi="ar-SA"/>
        </w:rPr>
        <w:t xml:space="preserve">quantitative </w:t>
      </w:r>
      <w:r>
        <w:rPr>
          <w:lang w:bidi="ar-SA"/>
        </w:rPr>
        <w:t xml:space="preserve">detection of the various vitamins and minerals proposed to be added to </w:t>
      </w:r>
      <w:r w:rsidR="00075E2F">
        <w:rPr>
          <w:lang w:bidi="ar-SA"/>
        </w:rPr>
        <w:t xml:space="preserve">nut- </w:t>
      </w:r>
      <w:r>
        <w:rPr>
          <w:lang w:bidi="ar-SA"/>
        </w:rPr>
        <w:t xml:space="preserve">and seed-based beverages. The Applicant analyses for these </w:t>
      </w:r>
      <w:r w:rsidR="001A79F8">
        <w:rPr>
          <w:lang w:bidi="ar-SA"/>
        </w:rPr>
        <w:t>micro</w:t>
      </w:r>
      <w:r>
        <w:rPr>
          <w:lang w:bidi="ar-SA"/>
        </w:rPr>
        <w:t>nutrients as part of its quality assurance testing in their commercial soy-based beverage products. It is understood and expected that analysts experienced in such work would be able to use or adapt such methods.</w:t>
      </w:r>
    </w:p>
    <w:p w14:paraId="62211C77" w14:textId="17C52A08" w:rsidR="00620ABC" w:rsidRPr="00353A99" w:rsidRDefault="00AF4FCB" w:rsidP="00D20A1E">
      <w:pPr>
        <w:pStyle w:val="Heading2"/>
      </w:pPr>
      <w:bookmarkStart w:id="89" w:name="_Toc427672171"/>
      <w:bookmarkStart w:id="90" w:name="_Toc427678237"/>
      <w:r>
        <w:t>6.4</w:t>
      </w:r>
      <w:r>
        <w:tab/>
      </w:r>
      <w:r w:rsidR="00620ABC" w:rsidRPr="00353A99">
        <w:t>Specifications of proposed added vitamins and minerals</w:t>
      </w:r>
      <w:bookmarkEnd w:id="89"/>
      <w:bookmarkEnd w:id="90"/>
    </w:p>
    <w:p w14:paraId="2B4DFB11" w14:textId="1F6191BA" w:rsidR="00620ABC" w:rsidRPr="00D30D02" w:rsidRDefault="00620ABC" w:rsidP="00D20A1E">
      <w:pPr>
        <w:widowControl/>
        <w:rPr>
          <w:lang w:bidi="ar-SA"/>
        </w:rPr>
      </w:pPr>
      <w:r>
        <w:rPr>
          <w:lang w:bidi="ar-SA"/>
        </w:rPr>
        <w:t xml:space="preserve">All vitamins and minerals proposed to be </w:t>
      </w:r>
      <w:r w:rsidR="001A79F8">
        <w:rPr>
          <w:lang w:bidi="ar-SA"/>
        </w:rPr>
        <w:t xml:space="preserve">permitted addition </w:t>
      </w:r>
      <w:r>
        <w:rPr>
          <w:lang w:bidi="ar-SA"/>
        </w:rPr>
        <w:t xml:space="preserve">to </w:t>
      </w:r>
      <w:r w:rsidR="00075E2F">
        <w:rPr>
          <w:lang w:bidi="ar-SA"/>
        </w:rPr>
        <w:t xml:space="preserve">nut- </w:t>
      </w:r>
      <w:r>
        <w:rPr>
          <w:lang w:bidi="ar-SA"/>
        </w:rPr>
        <w:t xml:space="preserve">and seed-based beverages are already permitted to be added to </w:t>
      </w:r>
      <w:r w:rsidR="00D67594">
        <w:rPr>
          <w:lang w:bidi="ar-SA"/>
        </w:rPr>
        <w:t>cereal</w:t>
      </w:r>
      <w:r w:rsidR="001A79F8">
        <w:rPr>
          <w:lang w:bidi="ar-SA"/>
        </w:rPr>
        <w:t>-</w:t>
      </w:r>
      <w:r w:rsidR="00D67594">
        <w:rPr>
          <w:lang w:bidi="ar-SA"/>
        </w:rPr>
        <w:t xml:space="preserve"> and </w:t>
      </w:r>
      <w:r w:rsidR="00B21CB1">
        <w:rPr>
          <w:lang w:bidi="ar-SA"/>
        </w:rPr>
        <w:t>legume</w:t>
      </w:r>
      <w:r>
        <w:rPr>
          <w:lang w:bidi="ar-SA"/>
        </w:rPr>
        <w:t xml:space="preserve">-based beverages. They all have appropriate specifications within the various monographs in </w:t>
      </w:r>
      <w:r w:rsidRPr="00204FBB">
        <w:rPr>
          <w:lang w:bidi="ar-SA"/>
        </w:rPr>
        <w:t>Schedule 3</w:t>
      </w:r>
      <w:r w:rsidR="00204FBB" w:rsidRPr="00204FBB">
        <w:rPr>
          <w:lang w:bidi="ar-SA"/>
        </w:rPr>
        <w:t xml:space="preserve"> – Identity and Purity</w:t>
      </w:r>
      <w:r w:rsidRPr="00204FBB">
        <w:rPr>
          <w:lang w:bidi="ar-SA"/>
        </w:rPr>
        <w:t xml:space="preserve">. The permitted forms of the nutrients are listed in </w:t>
      </w:r>
      <w:r w:rsidR="008C6C17" w:rsidRPr="00204FBB">
        <w:rPr>
          <w:lang w:bidi="ar-SA"/>
        </w:rPr>
        <w:t xml:space="preserve">section S17-3 and S17-4 of </w:t>
      </w:r>
      <w:r w:rsidRPr="00204FBB">
        <w:rPr>
          <w:lang w:bidi="ar-SA"/>
        </w:rPr>
        <w:t xml:space="preserve">Schedule </w:t>
      </w:r>
      <w:r w:rsidR="006A7D9F" w:rsidRPr="00204FBB">
        <w:rPr>
          <w:lang w:bidi="ar-SA"/>
        </w:rPr>
        <w:t>17</w:t>
      </w:r>
      <w:r w:rsidR="008C6C17" w:rsidRPr="00204FBB">
        <w:rPr>
          <w:lang w:bidi="ar-SA"/>
        </w:rPr>
        <w:t>- Vitamins and minerals</w:t>
      </w:r>
      <w:r w:rsidRPr="00204FBB">
        <w:rPr>
          <w:lang w:bidi="ar-SA"/>
        </w:rPr>
        <w:t>.</w:t>
      </w:r>
    </w:p>
    <w:p w14:paraId="6E6CDB8B" w14:textId="6094B653" w:rsidR="00620ABC" w:rsidRPr="00353A99" w:rsidRDefault="00AF4FCB" w:rsidP="00D20A1E">
      <w:pPr>
        <w:pStyle w:val="Heading2"/>
      </w:pPr>
      <w:bookmarkStart w:id="91" w:name="_Toc427672172"/>
      <w:bookmarkStart w:id="92" w:name="_Toc427678238"/>
      <w:r>
        <w:t>6.5</w:t>
      </w:r>
      <w:r>
        <w:tab/>
      </w:r>
      <w:r w:rsidR="00620ABC" w:rsidRPr="00353A99">
        <w:t>Food technology conclusion</w:t>
      </w:r>
      <w:bookmarkEnd w:id="91"/>
      <w:bookmarkEnd w:id="92"/>
    </w:p>
    <w:p w14:paraId="612F43C7" w14:textId="6E2043B6" w:rsidR="00620ABC" w:rsidRDefault="00620ABC" w:rsidP="00D20A1E">
      <w:pPr>
        <w:widowControl/>
        <w:rPr>
          <w:lang w:bidi="ar-SA"/>
        </w:rPr>
      </w:pPr>
      <w:r>
        <w:rPr>
          <w:lang w:bidi="ar-SA"/>
        </w:rPr>
        <w:t>The food technology assessment concludes that there is current technology available commercially to</w:t>
      </w:r>
      <w:r w:rsidR="003213A6">
        <w:rPr>
          <w:lang w:bidi="ar-SA"/>
        </w:rPr>
        <w:t xml:space="preserve"> manufacture and</w:t>
      </w:r>
      <w:r>
        <w:rPr>
          <w:lang w:bidi="ar-SA"/>
        </w:rPr>
        <w:t xml:space="preserve"> fortify </w:t>
      </w:r>
      <w:r w:rsidR="00075E2F">
        <w:rPr>
          <w:lang w:bidi="ar-SA"/>
        </w:rPr>
        <w:t xml:space="preserve">nut- </w:t>
      </w:r>
      <w:r>
        <w:rPr>
          <w:lang w:bidi="ar-SA"/>
        </w:rPr>
        <w:t xml:space="preserve">and seed-based beverages with vitamins and minerals in a similar manner to the fortification of soy-based beverages. The losses of these nutrients during processing and over </w:t>
      </w:r>
      <w:r w:rsidR="003213A6">
        <w:rPr>
          <w:lang w:bidi="ar-SA"/>
        </w:rPr>
        <w:t xml:space="preserve">similar </w:t>
      </w:r>
      <w:r>
        <w:rPr>
          <w:lang w:bidi="ar-SA"/>
        </w:rPr>
        <w:t>products</w:t>
      </w:r>
      <w:r w:rsidR="001A79F8">
        <w:rPr>
          <w:lang w:bidi="ar-SA"/>
        </w:rPr>
        <w:t>’</w:t>
      </w:r>
      <w:r>
        <w:rPr>
          <w:lang w:bidi="ar-SA"/>
        </w:rPr>
        <w:t xml:space="preserve"> shelf </w:t>
      </w:r>
      <w:r w:rsidR="003213A6">
        <w:rPr>
          <w:lang w:bidi="ar-SA"/>
        </w:rPr>
        <w:t xml:space="preserve">lives </w:t>
      </w:r>
      <w:r>
        <w:rPr>
          <w:lang w:bidi="ar-SA"/>
        </w:rPr>
        <w:t xml:space="preserve">are known and appropriate strategies are </w:t>
      </w:r>
      <w:r w:rsidR="003E52E3">
        <w:rPr>
          <w:lang w:bidi="ar-SA"/>
        </w:rPr>
        <w:t>available</w:t>
      </w:r>
      <w:r>
        <w:rPr>
          <w:lang w:bidi="ar-SA"/>
        </w:rPr>
        <w:t xml:space="preserve"> to ensure their levels reflect the NIP label statements.</w:t>
      </w:r>
    </w:p>
    <w:p w14:paraId="12211E94" w14:textId="4C0D8FFF" w:rsidR="00792561" w:rsidRDefault="00AF4FCB" w:rsidP="00D20A1E">
      <w:pPr>
        <w:pStyle w:val="Heading1"/>
        <w:keepLines/>
        <w:widowControl/>
      </w:pPr>
      <w:bookmarkStart w:id="93" w:name="_Ref422210342"/>
      <w:bookmarkStart w:id="94" w:name="_Ref422210348"/>
      <w:bookmarkStart w:id="95" w:name="_Toc427672173"/>
      <w:bookmarkStart w:id="96" w:name="_Toc427678239"/>
      <w:r>
        <w:rPr>
          <w:lang w:val="en-AU"/>
        </w:rPr>
        <w:t>7</w:t>
      </w:r>
      <w:r>
        <w:rPr>
          <w:lang w:val="en-AU"/>
        </w:rPr>
        <w:tab/>
      </w:r>
      <w:r w:rsidR="0006675C">
        <w:rPr>
          <w:lang w:val="en-AU"/>
        </w:rPr>
        <w:t xml:space="preserve">Absorption </w:t>
      </w:r>
      <w:r w:rsidR="00792561" w:rsidRPr="009B5C28">
        <w:rPr>
          <w:lang w:val="en-AU"/>
        </w:rPr>
        <w:t xml:space="preserve">of </w:t>
      </w:r>
      <w:r w:rsidR="00792561">
        <w:rPr>
          <w:lang w:val="en-AU"/>
        </w:rPr>
        <w:t xml:space="preserve">added </w:t>
      </w:r>
      <w:r w:rsidR="00792561" w:rsidRPr="009B5C28">
        <w:rPr>
          <w:lang w:val="en-AU"/>
        </w:rPr>
        <w:t xml:space="preserve">vitamins and minerals from </w:t>
      </w:r>
      <w:r w:rsidR="00792561">
        <w:rPr>
          <w:lang w:val="en-AU"/>
        </w:rPr>
        <w:t>plant-based milk substitute</w:t>
      </w:r>
      <w:r w:rsidR="00792561" w:rsidRPr="009B5C28">
        <w:rPr>
          <w:lang w:val="en-AU"/>
        </w:rPr>
        <w:t>s</w:t>
      </w:r>
      <w:bookmarkEnd w:id="93"/>
      <w:bookmarkEnd w:id="94"/>
      <w:bookmarkEnd w:id="95"/>
      <w:bookmarkEnd w:id="96"/>
    </w:p>
    <w:p w14:paraId="1B9ED22F" w14:textId="54C7E1BC" w:rsidR="00792561" w:rsidRPr="00353A99" w:rsidRDefault="00AF4FCB" w:rsidP="00D20A1E">
      <w:pPr>
        <w:pStyle w:val="Heading2"/>
      </w:pPr>
      <w:bookmarkStart w:id="97" w:name="_Toc427672174"/>
      <w:bookmarkStart w:id="98" w:name="_Toc427678240"/>
      <w:r>
        <w:t>7.1</w:t>
      </w:r>
      <w:r>
        <w:tab/>
      </w:r>
      <w:r w:rsidR="00792561" w:rsidRPr="00353A99">
        <w:t>Previous FSANZ Assessments on</w:t>
      </w:r>
      <w:r w:rsidR="0006675C">
        <w:t xml:space="preserve"> bioavailability of</w:t>
      </w:r>
      <w:r w:rsidR="00792561" w:rsidRPr="00353A99">
        <w:t xml:space="preserve"> vitamins and minerals added to beverages</w:t>
      </w:r>
      <w:bookmarkEnd w:id="97"/>
      <w:bookmarkEnd w:id="98"/>
    </w:p>
    <w:p w14:paraId="36F21451" w14:textId="77777777" w:rsidR="00792561" w:rsidRPr="003B1BA5" w:rsidRDefault="00792561" w:rsidP="00D20A1E">
      <w:pPr>
        <w:keepNext/>
        <w:keepLines/>
        <w:widowControl/>
        <w:autoSpaceDE w:val="0"/>
        <w:autoSpaceDN w:val="0"/>
        <w:adjustRightInd w:val="0"/>
      </w:pPr>
      <w:r w:rsidRPr="003B1BA5">
        <w:t xml:space="preserve">Bioavailability of vitamins and minerals </w:t>
      </w:r>
      <w:r>
        <w:t>is</w:t>
      </w:r>
      <w:r w:rsidRPr="003B1BA5">
        <w:t xml:space="preserve"> defined as the amount of the ingested nutrient that is absorbed in the gastrointestinal tract and either stored or utilised for metabolism. Bioavailability is influenced by numerous factors including release of nutrient from</w:t>
      </w:r>
      <w:r>
        <w:t xml:space="preserve"> the</w:t>
      </w:r>
      <w:r w:rsidRPr="003B1BA5">
        <w:t xml:space="preserve"> food matrix during digestion, physical interactions</w:t>
      </w:r>
      <w:r>
        <w:t xml:space="preserve"> between constituents within a food or</w:t>
      </w:r>
      <w:r w:rsidRPr="003B1BA5">
        <w:t xml:space="preserve"> between other foods or meal components during digestion, the form of the nutrient, as well as host-related modifiers</w:t>
      </w:r>
      <w:r>
        <w:t>,</w:t>
      </w:r>
      <w:r w:rsidRPr="003B1BA5">
        <w:t xml:space="preserve"> such as the host’s nutritional status or developmental state.</w:t>
      </w:r>
    </w:p>
    <w:p w14:paraId="00022698" w14:textId="77777777" w:rsidR="00792561" w:rsidRPr="003B1BA5" w:rsidRDefault="00792561" w:rsidP="00D20A1E">
      <w:pPr>
        <w:widowControl/>
        <w:autoSpaceDE w:val="0"/>
        <w:autoSpaceDN w:val="0"/>
        <w:adjustRightInd w:val="0"/>
      </w:pPr>
    </w:p>
    <w:p w14:paraId="6D8F4D6A" w14:textId="77777777" w:rsidR="00792561" w:rsidRDefault="00792561" w:rsidP="00D20A1E">
      <w:pPr>
        <w:widowControl/>
        <w:autoSpaceDE w:val="0"/>
        <w:autoSpaceDN w:val="0"/>
        <w:adjustRightInd w:val="0"/>
      </w:pPr>
      <w:r w:rsidRPr="003B1BA5">
        <w:t>FSANZ has previously assessed two Applications</w:t>
      </w:r>
      <w:r>
        <w:t xml:space="preserve"> in which bioavailability</w:t>
      </w:r>
      <w:r w:rsidRPr="003B1BA5">
        <w:t xml:space="preserve"> of vitamins and minerals added to beverages</w:t>
      </w:r>
      <w:r>
        <w:t xml:space="preserve"> were examined </w:t>
      </w:r>
      <w:r w:rsidRPr="00833389">
        <w:t>(FSANZ 2005a; FSANZ 2005b)</w:t>
      </w:r>
      <w:r>
        <w:t xml:space="preserve">. The Assessments covered </w:t>
      </w:r>
      <w:r w:rsidRPr="003B1BA5">
        <w:t xml:space="preserve">the bioavailability of </w:t>
      </w:r>
      <w:r>
        <w:t>various vitamins and minerals (including calcium, iodine, iron, magnesium, phosphorus, selenium, zinc, folate, niacin, pantothenic acid, riboflavin, thiamin, and vitamins A, D, E, B</w:t>
      </w:r>
      <w:r w:rsidRPr="00832AE2">
        <w:rPr>
          <w:vertAlign w:val="subscript"/>
        </w:rPr>
        <w:t>12</w:t>
      </w:r>
      <w:r>
        <w:t>, B</w:t>
      </w:r>
      <w:r w:rsidRPr="00832AE2">
        <w:rPr>
          <w:vertAlign w:val="subscript"/>
        </w:rPr>
        <w:t>6</w:t>
      </w:r>
      <w:r>
        <w:t xml:space="preserve"> and C) </w:t>
      </w:r>
      <w:r w:rsidRPr="003B1BA5">
        <w:t xml:space="preserve">added to </w:t>
      </w:r>
      <w:r>
        <w:t xml:space="preserve">formulated </w:t>
      </w:r>
      <w:r w:rsidRPr="003B1BA5">
        <w:t>beverages</w:t>
      </w:r>
      <w:r>
        <w:t xml:space="preserve"> or to cereal-based beverages.</w:t>
      </w:r>
    </w:p>
    <w:p w14:paraId="2D99BE31" w14:textId="77777777" w:rsidR="00792561" w:rsidRDefault="00792561" w:rsidP="00D20A1E">
      <w:pPr>
        <w:widowControl/>
        <w:autoSpaceDE w:val="0"/>
        <w:autoSpaceDN w:val="0"/>
        <w:adjustRightInd w:val="0"/>
      </w:pPr>
    </w:p>
    <w:p w14:paraId="4C230B99" w14:textId="77777777" w:rsidR="005076F8" w:rsidRDefault="00792561" w:rsidP="00D20A1E">
      <w:pPr>
        <w:widowControl/>
        <w:autoSpaceDE w:val="0"/>
        <w:autoSpaceDN w:val="0"/>
        <w:adjustRightInd w:val="0"/>
      </w:pPr>
      <w:r>
        <w:t>Both Assessments determined that</w:t>
      </w:r>
      <w:r w:rsidRPr="003B1BA5">
        <w:t xml:space="preserve"> gastrointestinal absorption rates of vitamins and minerals, as an indicator of bioavailability, show wide variation irrespective of whether the vitamin or mineral is present endogenously in food or in supplemental form.</w:t>
      </w:r>
      <w:r>
        <w:t xml:space="preserve"> Therefore, it </w:t>
      </w:r>
      <w:r w:rsidRPr="003B1BA5">
        <w:t xml:space="preserve">was not possible to draw definitive conclusions on the bioavailability of vitamins and minerals as it applies </w:t>
      </w:r>
      <w:r>
        <w:t xml:space="preserve">to any individual food product. </w:t>
      </w:r>
      <w:r w:rsidR="005076F8">
        <w:br w:type="page"/>
      </w:r>
    </w:p>
    <w:p w14:paraId="7E22279A" w14:textId="3D499D44" w:rsidR="00792561" w:rsidRPr="00EA1A87" w:rsidRDefault="00792561" w:rsidP="00D20A1E">
      <w:pPr>
        <w:widowControl/>
        <w:autoSpaceDE w:val="0"/>
        <w:autoSpaceDN w:val="0"/>
        <w:adjustRightInd w:val="0"/>
      </w:pPr>
      <w:r>
        <w:lastRenderedPageBreak/>
        <w:t xml:space="preserve">Because bioavailability is likely to be more influenced by other meal components or the consumer’s nutritional status, </w:t>
      </w:r>
      <w:r w:rsidRPr="003B1BA5">
        <w:t xml:space="preserve">it was expected that the </w:t>
      </w:r>
      <w:r>
        <w:t xml:space="preserve">added </w:t>
      </w:r>
      <w:r w:rsidRPr="003B1BA5">
        <w:t xml:space="preserve">vitamins and minerals </w:t>
      </w:r>
      <w:r>
        <w:t xml:space="preserve">in the fortified </w:t>
      </w:r>
      <w:r w:rsidRPr="003B1BA5">
        <w:t xml:space="preserve">beverages would be </w:t>
      </w:r>
      <w:r w:rsidRPr="00EA1A87">
        <w:t>comparable to the bioavailability of these nutrients obtained from other food sources.</w:t>
      </w:r>
    </w:p>
    <w:p w14:paraId="7F563BEC" w14:textId="676202EF" w:rsidR="00792561" w:rsidRPr="00353A99" w:rsidRDefault="00AF4FCB" w:rsidP="00D20A1E">
      <w:pPr>
        <w:pStyle w:val="Heading2"/>
      </w:pPr>
      <w:bookmarkStart w:id="99" w:name="_Toc427672175"/>
      <w:bookmarkStart w:id="100" w:name="_Toc427678241"/>
      <w:r>
        <w:t>7.2</w:t>
      </w:r>
      <w:r>
        <w:tab/>
      </w:r>
      <w:r w:rsidR="00792561">
        <w:t xml:space="preserve">Anti-nutritional factors </w:t>
      </w:r>
      <w:r w:rsidR="00310174">
        <w:t xml:space="preserve">– </w:t>
      </w:r>
      <w:r w:rsidR="00792561">
        <w:t>a</w:t>
      </w:r>
      <w:r w:rsidR="00792561" w:rsidRPr="00353A99">
        <w:t>pproach for this Assessment</w:t>
      </w:r>
      <w:bookmarkEnd w:id="99"/>
      <w:bookmarkEnd w:id="100"/>
    </w:p>
    <w:p w14:paraId="2A45CC0A" w14:textId="77777777" w:rsidR="00792561" w:rsidRDefault="00792561" w:rsidP="00D20A1E">
      <w:pPr>
        <w:keepNext/>
        <w:widowControl/>
        <w:autoSpaceDE w:val="0"/>
        <w:autoSpaceDN w:val="0"/>
        <w:adjustRightInd w:val="0"/>
      </w:pPr>
      <w:r>
        <w:t xml:space="preserve">Approval has been sought to permit addition of </w:t>
      </w:r>
      <w:r w:rsidRPr="0090536A">
        <w:t>vitamin A, thiamin, riboflavin, vitamin B</w:t>
      </w:r>
      <w:r w:rsidRPr="00832AE2">
        <w:rPr>
          <w:vertAlign w:val="subscript"/>
        </w:rPr>
        <w:t>6</w:t>
      </w:r>
      <w:r w:rsidRPr="0090536A">
        <w:t>, vitamin B</w:t>
      </w:r>
      <w:r w:rsidRPr="00832AE2">
        <w:rPr>
          <w:vertAlign w:val="subscript"/>
        </w:rPr>
        <w:t>12</w:t>
      </w:r>
      <w:r w:rsidRPr="0090536A">
        <w:t>, vitamin D, folate, calcium, magnesium,</w:t>
      </w:r>
      <w:r>
        <w:t xml:space="preserve"> phosphorus, zinc and iodine to nut- </w:t>
      </w:r>
      <w:r w:rsidRPr="00151712">
        <w:t>and seed-based beverages</w:t>
      </w:r>
      <w:r>
        <w:t>. Since these beverages</w:t>
      </w:r>
      <w:r w:rsidRPr="001077A6">
        <w:t xml:space="preserve"> can be derived from either single or combinations of </w:t>
      </w:r>
      <w:r>
        <w:t xml:space="preserve">commonly consumed </w:t>
      </w:r>
      <w:r w:rsidRPr="001077A6">
        <w:t>nuts and seeds, including coconut</w:t>
      </w:r>
      <w:r>
        <w:t>,</w:t>
      </w:r>
      <w:r w:rsidRPr="001077A6">
        <w:t xml:space="preserve"> </w:t>
      </w:r>
      <w:r>
        <w:t xml:space="preserve">an examination of the main constituents </w:t>
      </w:r>
      <w:r w:rsidRPr="001077A6">
        <w:t xml:space="preserve">in </w:t>
      </w:r>
      <w:r w:rsidRPr="008736C7">
        <w:t>almond, sesame, sunflower, coconut and hazelnut</w:t>
      </w:r>
      <w:r w:rsidRPr="001077A6">
        <w:t xml:space="preserve"> was undertaken </w:t>
      </w:r>
      <w:r>
        <w:t>to consider the levels of any anti-nutritional factors (ANFs).</w:t>
      </w:r>
    </w:p>
    <w:p w14:paraId="52B1667C" w14:textId="77777777" w:rsidR="00792561" w:rsidRDefault="00792561" w:rsidP="00D20A1E">
      <w:pPr>
        <w:keepNext/>
        <w:widowControl/>
        <w:autoSpaceDE w:val="0"/>
        <w:autoSpaceDN w:val="0"/>
        <w:adjustRightInd w:val="0"/>
      </w:pPr>
    </w:p>
    <w:p w14:paraId="7AB58E7E" w14:textId="77777777" w:rsidR="00792561" w:rsidRDefault="00792561" w:rsidP="00D20A1E">
      <w:pPr>
        <w:widowControl/>
        <w:autoSpaceDE w:val="0"/>
        <w:autoSpaceDN w:val="0"/>
        <w:adjustRightInd w:val="0"/>
      </w:pPr>
      <w:r>
        <w:t xml:space="preserve">ANFs </w:t>
      </w:r>
      <w:r w:rsidRPr="00BA185F">
        <w:t xml:space="preserve">are substances </w:t>
      </w:r>
      <w:r>
        <w:t xml:space="preserve">in food </w:t>
      </w:r>
      <w:r w:rsidRPr="00BA185F">
        <w:t>that act to reduce nutrient intake, digestion, absorption and utilization and may produce other adverse effects. They</w:t>
      </w:r>
      <w:r>
        <w:t>,</w:t>
      </w:r>
      <w:r w:rsidRPr="00BA185F">
        <w:t xml:space="preserve"> </w:t>
      </w:r>
      <w:r w:rsidRPr="002C312E">
        <w:rPr>
          <w:i/>
        </w:rPr>
        <w:t>inter alia</w:t>
      </w:r>
      <w:r>
        <w:t xml:space="preserve">, </w:t>
      </w:r>
      <w:r w:rsidRPr="00BA185F">
        <w:t>include:</w:t>
      </w:r>
      <w:r>
        <w:t xml:space="preserve"> </w:t>
      </w:r>
      <w:r w:rsidRPr="00722B4E">
        <w:t>toxic amino acids</w:t>
      </w:r>
      <w:r w:rsidRPr="00BA185F">
        <w:t xml:space="preserve">, saponins, </w:t>
      </w:r>
      <w:r w:rsidRPr="00E96270">
        <w:t>cyanogenic glycosides</w:t>
      </w:r>
      <w:r w:rsidRPr="00BA185F">
        <w:t xml:space="preserve">, </w:t>
      </w:r>
      <w:r>
        <w:t>polyphenols (</w:t>
      </w:r>
      <w:r w:rsidRPr="00BA185F">
        <w:t>tannins</w:t>
      </w:r>
      <w:r>
        <w:t>)</w:t>
      </w:r>
      <w:r w:rsidRPr="00BA185F">
        <w:t xml:space="preserve">, phytic acid, </w:t>
      </w:r>
      <w:r w:rsidRPr="00E96270">
        <w:t>gossypol,</w:t>
      </w:r>
      <w:r w:rsidRPr="00BA185F">
        <w:t xml:space="preserve"> oxalates, </w:t>
      </w:r>
      <w:r w:rsidRPr="007700F6">
        <w:t>goitrogens,</w:t>
      </w:r>
      <w:r w:rsidRPr="00BA185F">
        <w:t xml:space="preserve"> lectins (e.g. phytohaemagglutinins), protease inhibitors (e</w:t>
      </w:r>
      <w:r>
        <w:t>.</w:t>
      </w:r>
      <w:r w:rsidRPr="00BA185F">
        <w:t>g</w:t>
      </w:r>
      <w:r>
        <w:t>.</w:t>
      </w:r>
      <w:r w:rsidRPr="00BA185F">
        <w:t xml:space="preserve"> antitrypsin), chlorogenic acid</w:t>
      </w:r>
      <w:r>
        <w:t>,</w:t>
      </w:r>
      <w:r w:rsidRPr="00BA185F">
        <w:t xml:space="preserve"> and </w:t>
      </w:r>
      <w:r w:rsidRPr="00722B4E">
        <w:t>amylase inhibitors</w:t>
      </w:r>
      <w:r>
        <w:t xml:space="preserve"> (</w:t>
      </w:r>
      <w:r>
        <w:fldChar w:fldCharType="begin"/>
      </w:r>
      <w:r>
        <w:instrText xml:space="preserve"> REF _Ref417473043 \h </w:instrText>
      </w:r>
      <w:r>
        <w:fldChar w:fldCharType="separate"/>
      </w:r>
      <w:r w:rsidR="00047581">
        <w:t xml:space="preserve">Table </w:t>
      </w:r>
      <w:r w:rsidR="00047581">
        <w:rPr>
          <w:noProof/>
        </w:rPr>
        <w:t>6</w:t>
      </w:r>
      <w:r>
        <w:fldChar w:fldCharType="end"/>
      </w:r>
      <w:r>
        <w:t>). ANFs</w:t>
      </w:r>
      <w:r w:rsidRPr="00151712">
        <w:t xml:space="preserve"> </w:t>
      </w:r>
      <w:r>
        <w:t xml:space="preserve">in nut- and seed-based beverages are important if they bind to the added vitamins and minerals and prevent their absorption. Because phytate and oxalate </w:t>
      </w:r>
      <w:r w:rsidRPr="00EA1A87">
        <w:t xml:space="preserve">are the only ANFs potentially present in nuts or seeds that </w:t>
      </w:r>
      <w:r>
        <w:t>can</w:t>
      </w:r>
      <w:r w:rsidRPr="00EA1A87">
        <w:t xml:space="preserve"> affect absorption of the requested micronutrients</w:t>
      </w:r>
      <w:r>
        <w:t>, only these ANFs need to be considered further for this Assessment.</w:t>
      </w:r>
    </w:p>
    <w:p w14:paraId="222863BF" w14:textId="77777777" w:rsidR="00792561" w:rsidRDefault="00792561" w:rsidP="00D20A1E">
      <w:pPr>
        <w:widowControl/>
        <w:autoSpaceDE w:val="0"/>
        <w:autoSpaceDN w:val="0"/>
        <w:adjustRightInd w:val="0"/>
      </w:pPr>
    </w:p>
    <w:p w14:paraId="0287667D" w14:textId="77777777" w:rsidR="00792561" w:rsidRDefault="00792561" w:rsidP="00D20A1E">
      <w:pPr>
        <w:pStyle w:val="FSTableTitle"/>
        <w:keepNext/>
        <w:keepLines/>
        <w:widowControl/>
      </w:pPr>
      <w:bookmarkStart w:id="101" w:name="_Ref417473043"/>
      <w:bookmarkStart w:id="102" w:name="_Toc420307333"/>
      <w:r>
        <w:t xml:space="preserve">Table </w:t>
      </w:r>
      <w:fldSimple w:instr=" SEQ Table \* ARABIC ">
        <w:r w:rsidR="00047581">
          <w:rPr>
            <w:noProof/>
          </w:rPr>
          <w:t>6</w:t>
        </w:r>
      </w:fldSimple>
      <w:bookmarkEnd w:id="101"/>
      <w:r w:rsidRPr="006347A5">
        <w:t>:</w:t>
      </w:r>
      <w:r>
        <w:t xml:space="preserve"> </w:t>
      </w:r>
      <w:r w:rsidRPr="006347A5">
        <w:t>ANF</w:t>
      </w:r>
      <w:r>
        <w:t>s</w:t>
      </w:r>
      <w:r w:rsidRPr="006347A5">
        <w:t xml:space="preserve"> in plant</w:t>
      </w:r>
      <w:r>
        <w:t>-</w:t>
      </w:r>
      <w:r w:rsidRPr="006347A5">
        <w:t>derived foods</w:t>
      </w:r>
      <w:r>
        <w:t xml:space="preserve"> and their potential effects on nutrients</w:t>
      </w:r>
      <w:bookmarkEnd w:id="102"/>
    </w:p>
    <w:p w14:paraId="1BB79ABC" w14:textId="77777777" w:rsidR="00513153" w:rsidRPr="00513153" w:rsidRDefault="00513153" w:rsidP="00513153"/>
    <w:tbl>
      <w:tblPr>
        <w:tblStyle w:val="TableGrid"/>
        <w:tblW w:w="9322" w:type="dxa"/>
        <w:tblLook w:val="04A0" w:firstRow="1" w:lastRow="0" w:firstColumn="1" w:lastColumn="0" w:noHBand="0" w:noVBand="1"/>
      </w:tblPr>
      <w:tblGrid>
        <w:gridCol w:w="1252"/>
        <w:gridCol w:w="4526"/>
        <w:gridCol w:w="3544"/>
      </w:tblGrid>
      <w:tr w:rsidR="00792561" w14:paraId="69135E60" w14:textId="77777777" w:rsidTr="00A004E1">
        <w:trPr>
          <w:trHeight w:val="454"/>
          <w:tblHeader/>
        </w:trPr>
        <w:tc>
          <w:tcPr>
            <w:tcW w:w="1252" w:type="dxa"/>
            <w:shd w:val="clear" w:color="auto" w:fill="B8CCE4" w:themeFill="accent1" w:themeFillTint="66"/>
            <w:vAlign w:val="center"/>
          </w:tcPr>
          <w:p w14:paraId="1F73838F" w14:textId="77777777" w:rsidR="00792561" w:rsidRPr="00FA147E" w:rsidRDefault="00792561" w:rsidP="00D20A1E">
            <w:pPr>
              <w:keepNext/>
              <w:keepLines/>
              <w:widowControl/>
              <w:rPr>
                <w:b/>
                <w:sz w:val="20"/>
                <w:szCs w:val="20"/>
              </w:rPr>
            </w:pPr>
            <w:r w:rsidRPr="00FA147E">
              <w:rPr>
                <w:b/>
                <w:sz w:val="20"/>
                <w:szCs w:val="20"/>
              </w:rPr>
              <w:t>ANF</w:t>
            </w:r>
          </w:p>
        </w:tc>
        <w:tc>
          <w:tcPr>
            <w:tcW w:w="4526" w:type="dxa"/>
            <w:shd w:val="clear" w:color="auto" w:fill="B8CCE4" w:themeFill="accent1" w:themeFillTint="66"/>
            <w:vAlign w:val="center"/>
          </w:tcPr>
          <w:p w14:paraId="2D8AB6A1" w14:textId="77777777" w:rsidR="00792561" w:rsidRPr="00FA147E" w:rsidRDefault="00792561" w:rsidP="00D20A1E">
            <w:pPr>
              <w:keepNext/>
              <w:keepLines/>
              <w:widowControl/>
              <w:rPr>
                <w:b/>
                <w:sz w:val="20"/>
                <w:szCs w:val="20"/>
              </w:rPr>
            </w:pPr>
            <w:r w:rsidRPr="00FA147E">
              <w:rPr>
                <w:b/>
                <w:sz w:val="20"/>
                <w:szCs w:val="20"/>
              </w:rPr>
              <w:t xml:space="preserve">Effect </w:t>
            </w:r>
          </w:p>
        </w:tc>
        <w:tc>
          <w:tcPr>
            <w:tcW w:w="3544" w:type="dxa"/>
            <w:shd w:val="clear" w:color="auto" w:fill="B8CCE4" w:themeFill="accent1" w:themeFillTint="66"/>
            <w:vAlign w:val="center"/>
          </w:tcPr>
          <w:p w14:paraId="3D8D1960" w14:textId="77777777" w:rsidR="00792561" w:rsidRPr="00FA147E" w:rsidRDefault="00792561" w:rsidP="00D20A1E">
            <w:pPr>
              <w:keepNext/>
              <w:keepLines/>
              <w:widowControl/>
              <w:rPr>
                <w:b/>
                <w:sz w:val="20"/>
                <w:szCs w:val="20"/>
              </w:rPr>
            </w:pPr>
            <w:r w:rsidRPr="00FA147E">
              <w:rPr>
                <w:b/>
                <w:sz w:val="20"/>
                <w:szCs w:val="20"/>
              </w:rPr>
              <w:t>Present in</w:t>
            </w:r>
          </w:p>
        </w:tc>
      </w:tr>
      <w:tr w:rsidR="00792561" w14:paraId="4988D389" w14:textId="77777777" w:rsidTr="00A004E1">
        <w:trPr>
          <w:trHeight w:val="454"/>
        </w:trPr>
        <w:tc>
          <w:tcPr>
            <w:tcW w:w="1252" w:type="dxa"/>
            <w:vAlign w:val="center"/>
          </w:tcPr>
          <w:p w14:paraId="2718754C" w14:textId="77777777" w:rsidR="00792561" w:rsidRPr="006347A5" w:rsidRDefault="00792561" w:rsidP="00D20A1E">
            <w:pPr>
              <w:keepNext/>
              <w:keepLines/>
              <w:widowControl/>
              <w:rPr>
                <w:sz w:val="18"/>
                <w:szCs w:val="18"/>
              </w:rPr>
            </w:pPr>
            <w:r w:rsidRPr="006347A5">
              <w:rPr>
                <w:sz w:val="18"/>
                <w:szCs w:val="18"/>
              </w:rPr>
              <w:t>Phyt</w:t>
            </w:r>
            <w:r>
              <w:rPr>
                <w:sz w:val="18"/>
                <w:szCs w:val="18"/>
              </w:rPr>
              <w:t>ic acid</w:t>
            </w:r>
          </w:p>
        </w:tc>
        <w:tc>
          <w:tcPr>
            <w:tcW w:w="4526" w:type="dxa"/>
            <w:vAlign w:val="center"/>
          </w:tcPr>
          <w:p w14:paraId="7058B814" w14:textId="77777777" w:rsidR="00792561" w:rsidRPr="006347A5" w:rsidRDefault="00792561" w:rsidP="00D20A1E">
            <w:pPr>
              <w:keepNext/>
              <w:keepLines/>
              <w:widowControl/>
              <w:rPr>
                <w:sz w:val="18"/>
                <w:szCs w:val="18"/>
              </w:rPr>
            </w:pPr>
            <w:r>
              <w:rPr>
                <w:sz w:val="18"/>
                <w:szCs w:val="18"/>
              </w:rPr>
              <w:t>Binds minerals (Zn, Cu, Fe, Ca, Mg, Mn)</w:t>
            </w:r>
          </w:p>
        </w:tc>
        <w:tc>
          <w:tcPr>
            <w:tcW w:w="3544" w:type="dxa"/>
            <w:vAlign w:val="center"/>
          </w:tcPr>
          <w:p w14:paraId="169ABE72" w14:textId="77777777" w:rsidR="00792561" w:rsidRPr="006347A5" w:rsidRDefault="00792561" w:rsidP="00D20A1E">
            <w:pPr>
              <w:keepNext/>
              <w:keepLines/>
              <w:widowControl/>
              <w:rPr>
                <w:sz w:val="18"/>
                <w:szCs w:val="18"/>
              </w:rPr>
            </w:pPr>
            <w:r>
              <w:rPr>
                <w:sz w:val="18"/>
                <w:szCs w:val="18"/>
              </w:rPr>
              <w:t>Widely distributed in plant seeds and grains</w:t>
            </w:r>
          </w:p>
        </w:tc>
      </w:tr>
      <w:tr w:rsidR="00792561" w14:paraId="7DB71BB6" w14:textId="77777777" w:rsidTr="00A004E1">
        <w:trPr>
          <w:trHeight w:val="454"/>
        </w:trPr>
        <w:tc>
          <w:tcPr>
            <w:tcW w:w="1252" w:type="dxa"/>
            <w:vAlign w:val="center"/>
          </w:tcPr>
          <w:p w14:paraId="21280A7C" w14:textId="77777777" w:rsidR="00792561" w:rsidRPr="006347A5" w:rsidRDefault="00792561" w:rsidP="00D20A1E">
            <w:pPr>
              <w:keepNext/>
              <w:keepLines/>
              <w:widowControl/>
              <w:rPr>
                <w:sz w:val="18"/>
                <w:szCs w:val="18"/>
              </w:rPr>
            </w:pPr>
            <w:r w:rsidRPr="006347A5">
              <w:rPr>
                <w:sz w:val="18"/>
                <w:szCs w:val="18"/>
              </w:rPr>
              <w:t>Oxalate</w:t>
            </w:r>
          </w:p>
        </w:tc>
        <w:tc>
          <w:tcPr>
            <w:tcW w:w="4526" w:type="dxa"/>
            <w:vAlign w:val="center"/>
          </w:tcPr>
          <w:p w14:paraId="1826F71D" w14:textId="77777777" w:rsidR="00792561" w:rsidRPr="006347A5" w:rsidRDefault="00792561" w:rsidP="00D20A1E">
            <w:pPr>
              <w:keepNext/>
              <w:keepLines/>
              <w:widowControl/>
              <w:rPr>
                <w:sz w:val="18"/>
                <w:szCs w:val="18"/>
              </w:rPr>
            </w:pPr>
            <w:r>
              <w:rPr>
                <w:sz w:val="18"/>
                <w:szCs w:val="18"/>
              </w:rPr>
              <w:t>Binds minerals (Na, K, Ca, Mg) reducing nutrient availability and forming insoluble complexes</w:t>
            </w:r>
          </w:p>
        </w:tc>
        <w:tc>
          <w:tcPr>
            <w:tcW w:w="3544" w:type="dxa"/>
            <w:vAlign w:val="center"/>
          </w:tcPr>
          <w:p w14:paraId="29E2D2A0" w14:textId="77777777" w:rsidR="00792561" w:rsidRPr="006347A5" w:rsidRDefault="00792561" w:rsidP="00D20A1E">
            <w:pPr>
              <w:keepNext/>
              <w:keepLines/>
              <w:widowControl/>
              <w:rPr>
                <w:sz w:val="18"/>
                <w:szCs w:val="18"/>
              </w:rPr>
            </w:pPr>
            <w:r>
              <w:rPr>
                <w:sz w:val="18"/>
                <w:szCs w:val="18"/>
              </w:rPr>
              <w:t>Widely distributed in all plants</w:t>
            </w:r>
          </w:p>
        </w:tc>
      </w:tr>
      <w:tr w:rsidR="00792561" w14:paraId="0B6BC93B" w14:textId="77777777" w:rsidTr="00A004E1">
        <w:trPr>
          <w:trHeight w:val="454"/>
        </w:trPr>
        <w:tc>
          <w:tcPr>
            <w:tcW w:w="1252" w:type="dxa"/>
            <w:vAlign w:val="center"/>
          </w:tcPr>
          <w:p w14:paraId="74AF2247" w14:textId="77777777" w:rsidR="00792561" w:rsidRDefault="00792561" w:rsidP="00D20A1E">
            <w:pPr>
              <w:widowControl/>
              <w:rPr>
                <w:sz w:val="18"/>
                <w:szCs w:val="18"/>
              </w:rPr>
            </w:pPr>
            <w:r>
              <w:rPr>
                <w:sz w:val="18"/>
                <w:szCs w:val="18"/>
              </w:rPr>
              <w:t>Polyphenols (Tannins)</w:t>
            </w:r>
          </w:p>
        </w:tc>
        <w:tc>
          <w:tcPr>
            <w:tcW w:w="4526" w:type="dxa"/>
            <w:vAlign w:val="center"/>
          </w:tcPr>
          <w:p w14:paraId="7DC30616" w14:textId="77777777" w:rsidR="00792561" w:rsidRDefault="00792561" w:rsidP="00D20A1E">
            <w:pPr>
              <w:widowControl/>
              <w:rPr>
                <w:sz w:val="18"/>
                <w:szCs w:val="18"/>
              </w:rPr>
            </w:pPr>
            <w:r>
              <w:rPr>
                <w:sz w:val="18"/>
                <w:szCs w:val="18"/>
              </w:rPr>
              <w:t>Decreases protein digestibility and Fe absorption</w:t>
            </w:r>
          </w:p>
        </w:tc>
        <w:tc>
          <w:tcPr>
            <w:tcW w:w="3544" w:type="dxa"/>
            <w:vAlign w:val="center"/>
          </w:tcPr>
          <w:p w14:paraId="3DCD636B" w14:textId="77777777" w:rsidR="00792561" w:rsidRDefault="00792561" w:rsidP="00D20A1E">
            <w:pPr>
              <w:widowControl/>
              <w:rPr>
                <w:sz w:val="18"/>
                <w:szCs w:val="18"/>
              </w:rPr>
            </w:pPr>
            <w:r w:rsidRPr="003363CC">
              <w:rPr>
                <w:sz w:val="18"/>
                <w:szCs w:val="18"/>
              </w:rPr>
              <w:t xml:space="preserve">Widely distributed in </w:t>
            </w:r>
            <w:r>
              <w:rPr>
                <w:sz w:val="18"/>
                <w:szCs w:val="18"/>
              </w:rPr>
              <w:t xml:space="preserve">the hulls of </w:t>
            </w:r>
            <w:r w:rsidRPr="003363CC">
              <w:rPr>
                <w:sz w:val="18"/>
                <w:szCs w:val="18"/>
              </w:rPr>
              <w:t>plant seeds and grains</w:t>
            </w:r>
          </w:p>
        </w:tc>
      </w:tr>
      <w:tr w:rsidR="00792561" w14:paraId="4780311B" w14:textId="77777777" w:rsidTr="00A004E1">
        <w:trPr>
          <w:trHeight w:val="454"/>
        </w:trPr>
        <w:tc>
          <w:tcPr>
            <w:tcW w:w="1252" w:type="dxa"/>
            <w:vAlign w:val="center"/>
          </w:tcPr>
          <w:p w14:paraId="4113893E" w14:textId="77777777" w:rsidR="00792561" w:rsidRDefault="00792561" w:rsidP="00D20A1E">
            <w:pPr>
              <w:widowControl/>
              <w:rPr>
                <w:sz w:val="18"/>
                <w:szCs w:val="18"/>
              </w:rPr>
            </w:pPr>
            <w:r>
              <w:rPr>
                <w:sz w:val="18"/>
                <w:szCs w:val="18"/>
              </w:rPr>
              <w:t>Gossypol</w:t>
            </w:r>
          </w:p>
        </w:tc>
        <w:tc>
          <w:tcPr>
            <w:tcW w:w="4526" w:type="dxa"/>
            <w:vAlign w:val="center"/>
          </w:tcPr>
          <w:p w14:paraId="2584DAD4" w14:textId="77777777" w:rsidR="00792561" w:rsidRDefault="00792561" w:rsidP="00D20A1E">
            <w:pPr>
              <w:widowControl/>
              <w:rPr>
                <w:sz w:val="18"/>
                <w:szCs w:val="18"/>
              </w:rPr>
            </w:pPr>
            <w:r>
              <w:rPr>
                <w:sz w:val="18"/>
                <w:szCs w:val="18"/>
              </w:rPr>
              <w:t>Polyphenol compound that binds to essential amino acids and interferes with their metabolism</w:t>
            </w:r>
          </w:p>
        </w:tc>
        <w:tc>
          <w:tcPr>
            <w:tcW w:w="3544" w:type="dxa"/>
            <w:vAlign w:val="center"/>
          </w:tcPr>
          <w:p w14:paraId="74CBBF8B" w14:textId="77777777" w:rsidR="00792561" w:rsidRDefault="00792561" w:rsidP="00D20A1E">
            <w:pPr>
              <w:widowControl/>
              <w:rPr>
                <w:sz w:val="18"/>
                <w:szCs w:val="18"/>
              </w:rPr>
            </w:pPr>
            <w:r>
              <w:rPr>
                <w:sz w:val="18"/>
                <w:szCs w:val="18"/>
              </w:rPr>
              <w:t>Cotton seeds and cotton seed meal</w:t>
            </w:r>
          </w:p>
        </w:tc>
      </w:tr>
      <w:tr w:rsidR="00792561" w14:paraId="6A4D1490" w14:textId="77777777" w:rsidTr="00A004E1">
        <w:trPr>
          <w:trHeight w:val="454"/>
        </w:trPr>
        <w:tc>
          <w:tcPr>
            <w:tcW w:w="1252" w:type="dxa"/>
            <w:vAlign w:val="center"/>
          </w:tcPr>
          <w:p w14:paraId="1BE8AB28" w14:textId="77777777" w:rsidR="00792561" w:rsidRDefault="00792561" w:rsidP="00D20A1E">
            <w:pPr>
              <w:widowControl/>
              <w:rPr>
                <w:sz w:val="18"/>
                <w:szCs w:val="18"/>
              </w:rPr>
            </w:pPr>
            <w:r>
              <w:rPr>
                <w:sz w:val="18"/>
                <w:szCs w:val="18"/>
              </w:rPr>
              <w:t>Toxic amino acids</w:t>
            </w:r>
          </w:p>
        </w:tc>
        <w:tc>
          <w:tcPr>
            <w:tcW w:w="4526" w:type="dxa"/>
            <w:vAlign w:val="center"/>
          </w:tcPr>
          <w:p w14:paraId="47FAE8E9" w14:textId="77777777" w:rsidR="00792561" w:rsidRDefault="00792561" w:rsidP="00D20A1E">
            <w:pPr>
              <w:widowControl/>
              <w:rPr>
                <w:sz w:val="18"/>
                <w:szCs w:val="18"/>
              </w:rPr>
            </w:pPr>
            <w:r>
              <w:rPr>
                <w:sz w:val="18"/>
                <w:szCs w:val="18"/>
              </w:rPr>
              <w:t>Structurally similar to essential amino acids and interfere with their metabolism</w:t>
            </w:r>
          </w:p>
        </w:tc>
        <w:tc>
          <w:tcPr>
            <w:tcW w:w="3544" w:type="dxa"/>
            <w:vAlign w:val="center"/>
          </w:tcPr>
          <w:p w14:paraId="7FC60224" w14:textId="77777777" w:rsidR="00792561" w:rsidRDefault="00792561" w:rsidP="00D20A1E">
            <w:pPr>
              <w:widowControl/>
              <w:rPr>
                <w:sz w:val="18"/>
                <w:szCs w:val="18"/>
              </w:rPr>
            </w:pPr>
            <w:r>
              <w:rPr>
                <w:sz w:val="18"/>
                <w:szCs w:val="18"/>
              </w:rPr>
              <w:t>Present in the foliage and seeds of plants</w:t>
            </w:r>
          </w:p>
        </w:tc>
      </w:tr>
      <w:tr w:rsidR="00792561" w14:paraId="0A0882B7" w14:textId="77777777" w:rsidTr="00A004E1">
        <w:trPr>
          <w:trHeight w:val="454"/>
        </w:trPr>
        <w:tc>
          <w:tcPr>
            <w:tcW w:w="1252" w:type="dxa"/>
            <w:vAlign w:val="center"/>
          </w:tcPr>
          <w:p w14:paraId="2A1AD153" w14:textId="77777777" w:rsidR="00792561" w:rsidRPr="006347A5" w:rsidRDefault="00792561" w:rsidP="00D20A1E">
            <w:pPr>
              <w:widowControl/>
              <w:rPr>
                <w:sz w:val="18"/>
                <w:szCs w:val="18"/>
              </w:rPr>
            </w:pPr>
            <w:r w:rsidRPr="006347A5">
              <w:rPr>
                <w:sz w:val="18"/>
                <w:szCs w:val="18"/>
              </w:rPr>
              <w:t>Saponin</w:t>
            </w:r>
          </w:p>
        </w:tc>
        <w:tc>
          <w:tcPr>
            <w:tcW w:w="4526" w:type="dxa"/>
            <w:vAlign w:val="center"/>
          </w:tcPr>
          <w:p w14:paraId="61DD1E0A" w14:textId="77777777" w:rsidR="00792561" w:rsidRPr="006347A5" w:rsidRDefault="00792561" w:rsidP="00D20A1E">
            <w:pPr>
              <w:widowControl/>
              <w:rPr>
                <w:sz w:val="18"/>
                <w:szCs w:val="18"/>
              </w:rPr>
            </w:pPr>
            <w:r>
              <w:rPr>
                <w:sz w:val="18"/>
                <w:szCs w:val="18"/>
              </w:rPr>
              <w:t xml:space="preserve">Irritating taste, reduces nutrient bioavailability, inhibits </w:t>
            </w:r>
            <w:r w:rsidRPr="00665C1F">
              <w:rPr>
                <w:sz w:val="18"/>
                <w:szCs w:val="18"/>
              </w:rPr>
              <w:t xml:space="preserve">digestive enzymes </w:t>
            </w:r>
            <w:r>
              <w:rPr>
                <w:sz w:val="18"/>
                <w:szCs w:val="18"/>
              </w:rPr>
              <w:t xml:space="preserve">activities </w:t>
            </w:r>
          </w:p>
        </w:tc>
        <w:tc>
          <w:tcPr>
            <w:tcW w:w="3544" w:type="dxa"/>
            <w:vAlign w:val="center"/>
          </w:tcPr>
          <w:p w14:paraId="7AD64B02" w14:textId="77777777" w:rsidR="00792561" w:rsidRPr="006347A5" w:rsidRDefault="00792561" w:rsidP="00D20A1E">
            <w:pPr>
              <w:widowControl/>
              <w:rPr>
                <w:sz w:val="18"/>
                <w:szCs w:val="18"/>
              </w:rPr>
            </w:pPr>
            <w:r>
              <w:rPr>
                <w:sz w:val="18"/>
                <w:szCs w:val="18"/>
              </w:rPr>
              <w:t>Common in legumes, oilseeds and cereal grains</w:t>
            </w:r>
          </w:p>
        </w:tc>
      </w:tr>
      <w:tr w:rsidR="00792561" w14:paraId="5713D39D" w14:textId="77777777" w:rsidTr="00A004E1">
        <w:trPr>
          <w:trHeight w:val="454"/>
        </w:trPr>
        <w:tc>
          <w:tcPr>
            <w:tcW w:w="1252" w:type="dxa"/>
            <w:vAlign w:val="center"/>
          </w:tcPr>
          <w:p w14:paraId="038B6B0B" w14:textId="77777777" w:rsidR="00792561" w:rsidRPr="006347A5" w:rsidRDefault="00792561" w:rsidP="00D20A1E">
            <w:pPr>
              <w:widowControl/>
              <w:rPr>
                <w:sz w:val="18"/>
                <w:szCs w:val="18"/>
              </w:rPr>
            </w:pPr>
            <w:r w:rsidRPr="006347A5">
              <w:rPr>
                <w:sz w:val="18"/>
                <w:szCs w:val="18"/>
              </w:rPr>
              <w:t>Lectins</w:t>
            </w:r>
          </w:p>
        </w:tc>
        <w:tc>
          <w:tcPr>
            <w:tcW w:w="4526" w:type="dxa"/>
            <w:vAlign w:val="center"/>
          </w:tcPr>
          <w:p w14:paraId="16964031" w14:textId="77777777" w:rsidR="00792561" w:rsidRPr="006347A5" w:rsidRDefault="00792561" w:rsidP="00D20A1E">
            <w:pPr>
              <w:widowControl/>
              <w:rPr>
                <w:sz w:val="18"/>
                <w:szCs w:val="18"/>
              </w:rPr>
            </w:pPr>
            <w:r>
              <w:rPr>
                <w:sz w:val="18"/>
                <w:szCs w:val="18"/>
              </w:rPr>
              <w:t xml:space="preserve">Carbohydrate-binding proteins that have </w:t>
            </w:r>
            <w:r w:rsidRPr="00C341A7">
              <w:rPr>
                <w:sz w:val="18"/>
                <w:szCs w:val="18"/>
              </w:rPr>
              <w:t xml:space="preserve">haemagglutinating activity </w:t>
            </w:r>
            <w:r>
              <w:rPr>
                <w:sz w:val="18"/>
                <w:szCs w:val="18"/>
              </w:rPr>
              <w:t>and allergenic properties</w:t>
            </w:r>
          </w:p>
        </w:tc>
        <w:tc>
          <w:tcPr>
            <w:tcW w:w="3544" w:type="dxa"/>
            <w:vAlign w:val="center"/>
          </w:tcPr>
          <w:p w14:paraId="1D295E50" w14:textId="77777777" w:rsidR="00792561" w:rsidRPr="006347A5" w:rsidRDefault="00792561" w:rsidP="00D20A1E">
            <w:pPr>
              <w:widowControl/>
              <w:rPr>
                <w:sz w:val="18"/>
                <w:szCs w:val="18"/>
              </w:rPr>
            </w:pPr>
            <w:r>
              <w:rPr>
                <w:sz w:val="18"/>
                <w:szCs w:val="18"/>
              </w:rPr>
              <w:t xml:space="preserve">Common in legumes, oilseeds, cereal grains, nuts </w:t>
            </w:r>
          </w:p>
        </w:tc>
      </w:tr>
      <w:tr w:rsidR="00792561" w14:paraId="36972BF9" w14:textId="77777777" w:rsidTr="00A004E1">
        <w:trPr>
          <w:trHeight w:val="454"/>
        </w:trPr>
        <w:tc>
          <w:tcPr>
            <w:tcW w:w="1252" w:type="dxa"/>
            <w:vAlign w:val="center"/>
          </w:tcPr>
          <w:p w14:paraId="2EAA22DA" w14:textId="77777777" w:rsidR="00792561" w:rsidRDefault="00792561" w:rsidP="00D20A1E">
            <w:pPr>
              <w:widowControl/>
              <w:rPr>
                <w:sz w:val="18"/>
                <w:szCs w:val="18"/>
              </w:rPr>
            </w:pPr>
            <w:r>
              <w:rPr>
                <w:sz w:val="18"/>
                <w:szCs w:val="18"/>
              </w:rPr>
              <w:t>Cyanogenic glycosides</w:t>
            </w:r>
          </w:p>
        </w:tc>
        <w:tc>
          <w:tcPr>
            <w:tcW w:w="4526" w:type="dxa"/>
            <w:vAlign w:val="center"/>
          </w:tcPr>
          <w:p w14:paraId="5007BF7D" w14:textId="77777777" w:rsidR="00792561" w:rsidRDefault="00792561" w:rsidP="00D20A1E">
            <w:pPr>
              <w:widowControl/>
              <w:rPr>
                <w:sz w:val="18"/>
                <w:szCs w:val="18"/>
              </w:rPr>
            </w:pPr>
            <w:r>
              <w:rPr>
                <w:sz w:val="18"/>
                <w:szCs w:val="18"/>
              </w:rPr>
              <w:t>Breaks down during digestion to produce hydrogen cyanide</w:t>
            </w:r>
          </w:p>
        </w:tc>
        <w:tc>
          <w:tcPr>
            <w:tcW w:w="3544" w:type="dxa"/>
            <w:vAlign w:val="center"/>
          </w:tcPr>
          <w:p w14:paraId="544A0463" w14:textId="77777777" w:rsidR="00792561" w:rsidRDefault="00792561" w:rsidP="00D20A1E">
            <w:pPr>
              <w:widowControl/>
              <w:rPr>
                <w:sz w:val="18"/>
                <w:szCs w:val="18"/>
              </w:rPr>
            </w:pPr>
            <w:r>
              <w:rPr>
                <w:sz w:val="18"/>
                <w:szCs w:val="18"/>
              </w:rPr>
              <w:t xml:space="preserve">Legumes </w:t>
            </w:r>
          </w:p>
        </w:tc>
      </w:tr>
      <w:tr w:rsidR="00792561" w14:paraId="045C1F2D" w14:textId="77777777" w:rsidTr="00A004E1">
        <w:trPr>
          <w:trHeight w:val="454"/>
        </w:trPr>
        <w:tc>
          <w:tcPr>
            <w:tcW w:w="1252" w:type="dxa"/>
            <w:vAlign w:val="center"/>
          </w:tcPr>
          <w:p w14:paraId="607EB969" w14:textId="77777777" w:rsidR="00792561" w:rsidRDefault="00792561" w:rsidP="00D20A1E">
            <w:pPr>
              <w:widowControl/>
              <w:rPr>
                <w:sz w:val="18"/>
                <w:szCs w:val="18"/>
              </w:rPr>
            </w:pPr>
            <w:r>
              <w:rPr>
                <w:sz w:val="18"/>
                <w:szCs w:val="18"/>
              </w:rPr>
              <w:t>Goitrogens</w:t>
            </w:r>
          </w:p>
        </w:tc>
        <w:tc>
          <w:tcPr>
            <w:tcW w:w="4526" w:type="dxa"/>
            <w:vAlign w:val="center"/>
          </w:tcPr>
          <w:p w14:paraId="789BD5B2" w14:textId="77777777" w:rsidR="00792561" w:rsidRDefault="00792561" w:rsidP="00D20A1E">
            <w:pPr>
              <w:widowControl/>
              <w:rPr>
                <w:sz w:val="18"/>
                <w:szCs w:val="18"/>
              </w:rPr>
            </w:pPr>
            <w:r>
              <w:rPr>
                <w:sz w:val="18"/>
                <w:szCs w:val="18"/>
              </w:rPr>
              <w:t>Inhibit synthesis and secretion of thyroid hormones</w:t>
            </w:r>
          </w:p>
        </w:tc>
        <w:tc>
          <w:tcPr>
            <w:tcW w:w="3544" w:type="dxa"/>
            <w:vAlign w:val="center"/>
          </w:tcPr>
          <w:p w14:paraId="0D6204BB" w14:textId="77777777" w:rsidR="00792561" w:rsidRDefault="00792561" w:rsidP="00D20A1E">
            <w:pPr>
              <w:widowControl/>
              <w:rPr>
                <w:sz w:val="18"/>
                <w:szCs w:val="18"/>
              </w:rPr>
            </w:pPr>
            <w:r>
              <w:rPr>
                <w:sz w:val="18"/>
                <w:szCs w:val="18"/>
              </w:rPr>
              <w:t xml:space="preserve">Legumes </w:t>
            </w:r>
          </w:p>
        </w:tc>
      </w:tr>
      <w:tr w:rsidR="00792561" w14:paraId="141AC850" w14:textId="77777777" w:rsidTr="00A004E1">
        <w:trPr>
          <w:trHeight w:val="454"/>
        </w:trPr>
        <w:tc>
          <w:tcPr>
            <w:tcW w:w="1252" w:type="dxa"/>
            <w:vAlign w:val="center"/>
          </w:tcPr>
          <w:p w14:paraId="5D24BF63" w14:textId="77777777" w:rsidR="00792561" w:rsidRPr="006347A5" w:rsidRDefault="00792561" w:rsidP="00D20A1E">
            <w:pPr>
              <w:widowControl/>
              <w:rPr>
                <w:sz w:val="18"/>
                <w:szCs w:val="18"/>
              </w:rPr>
            </w:pPr>
            <w:r>
              <w:rPr>
                <w:sz w:val="18"/>
                <w:szCs w:val="18"/>
              </w:rPr>
              <w:t>Chlorogenic acid</w:t>
            </w:r>
          </w:p>
        </w:tc>
        <w:tc>
          <w:tcPr>
            <w:tcW w:w="4526" w:type="dxa"/>
            <w:vAlign w:val="center"/>
          </w:tcPr>
          <w:p w14:paraId="65CF2216" w14:textId="77777777" w:rsidR="00792561" w:rsidRDefault="00792561" w:rsidP="00D20A1E">
            <w:pPr>
              <w:widowControl/>
              <w:rPr>
                <w:sz w:val="18"/>
                <w:szCs w:val="18"/>
              </w:rPr>
            </w:pPr>
            <w:r>
              <w:rPr>
                <w:sz w:val="18"/>
                <w:szCs w:val="18"/>
              </w:rPr>
              <w:t xml:space="preserve">Tannin-like compound that inhibits digestive enzyme activities </w:t>
            </w:r>
          </w:p>
        </w:tc>
        <w:tc>
          <w:tcPr>
            <w:tcW w:w="3544" w:type="dxa"/>
            <w:vAlign w:val="center"/>
          </w:tcPr>
          <w:p w14:paraId="565BA020" w14:textId="77777777" w:rsidR="00792561" w:rsidRDefault="00792561" w:rsidP="00D20A1E">
            <w:pPr>
              <w:widowControl/>
              <w:rPr>
                <w:sz w:val="18"/>
                <w:szCs w:val="18"/>
              </w:rPr>
            </w:pPr>
            <w:r>
              <w:rPr>
                <w:sz w:val="18"/>
                <w:szCs w:val="18"/>
              </w:rPr>
              <w:t>Present in relatively high levels in meals derived from sunflower seeds</w:t>
            </w:r>
          </w:p>
        </w:tc>
      </w:tr>
      <w:tr w:rsidR="00792561" w14:paraId="5DE25DDF" w14:textId="77777777" w:rsidTr="00A004E1">
        <w:trPr>
          <w:trHeight w:val="454"/>
        </w:trPr>
        <w:tc>
          <w:tcPr>
            <w:tcW w:w="1252" w:type="dxa"/>
            <w:vAlign w:val="center"/>
          </w:tcPr>
          <w:p w14:paraId="628372FC" w14:textId="77777777" w:rsidR="00792561" w:rsidRPr="006347A5" w:rsidRDefault="00792561" w:rsidP="00D20A1E">
            <w:pPr>
              <w:widowControl/>
              <w:rPr>
                <w:sz w:val="18"/>
                <w:szCs w:val="18"/>
              </w:rPr>
            </w:pPr>
            <w:r>
              <w:rPr>
                <w:sz w:val="18"/>
                <w:szCs w:val="18"/>
              </w:rPr>
              <w:t>Amylase inhibitors</w:t>
            </w:r>
          </w:p>
        </w:tc>
        <w:tc>
          <w:tcPr>
            <w:tcW w:w="4526" w:type="dxa"/>
            <w:vAlign w:val="center"/>
          </w:tcPr>
          <w:p w14:paraId="67DF2A27" w14:textId="77777777" w:rsidR="00792561" w:rsidRDefault="00792561" w:rsidP="00D20A1E">
            <w:pPr>
              <w:widowControl/>
              <w:rPr>
                <w:sz w:val="18"/>
                <w:szCs w:val="18"/>
              </w:rPr>
            </w:pPr>
            <w:r>
              <w:rPr>
                <w:sz w:val="18"/>
                <w:szCs w:val="18"/>
              </w:rPr>
              <w:t>Inhibit digestion of dietary starches and prevent their absorption</w:t>
            </w:r>
          </w:p>
        </w:tc>
        <w:tc>
          <w:tcPr>
            <w:tcW w:w="3544" w:type="dxa"/>
            <w:vAlign w:val="center"/>
          </w:tcPr>
          <w:p w14:paraId="7760F6A0" w14:textId="77777777" w:rsidR="00792561" w:rsidRDefault="00792561" w:rsidP="00D20A1E">
            <w:pPr>
              <w:widowControl/>
              <w:rPr>
                <w:sz w:val="18"/>
                <w:szCs w:val="18"/>
              </w:rPr>
            </w:pPr>
            <w:r>
              <w:rPr>
                <w:sz w:val="18"/>
                <w:szCs w:val="18"/>
              </w:rPr>
              <w:t xml:space="preserve">Widely distributed in plants particularly beans and legumes </w:t>
            </w:r>
          </w:p>
        </w:tc>
      </w:tr>
      <w:tr w:rsidR="00792561" w14:paraId="59F2C8C8" w14:textId="77777777" w:rsidTr="00A004E1">
        <w:trPr>
          <w:trHeight w:val="454"/>
        </w:trPr>
        <w:tc>
          <w:tcPr>
            <w:tcW w:w="1252" w:type="dxa"/>
            <w:vAlign w:val="center"/>
          </w:tcPr>
          <w:p w14:paraId="503816B1" w14:textId="77777777" w:rsidR="00792561" w:rsidRPr="006347A5" w:rsidRDefault="00792561" w:rsidP="00D20A1E">
            <w:pPr>
              <w:widowControl/>
              <w:rPr>
                <w:sz w:val="18"/>
                <w:szCs w:val="18"/>
              </w:rPr>
            </w:pPr>
            <w:r w:rsidRPr="006347A5">
              <w:rPr>
                <w:sz w:val="18"/>
                <w:szCs w:val="18"/>
              </w:rPr>
              <w:t>Protease inhibitors</w:t>
            </w:r>
          </w:p>
        </w:tc>
        <w:tc>
          <w:tcPr>
            <w:tcW w:w="4526" w:type="dxa"/>
            <w:vAlign w:val="center"/>
          </w:tcPr>
          <w:p w14:paraId="12CB669C" w14:textId="77777777" w:rsidR="00792561" w:rsidRPr="006347A5" w:rsidRDefault="00792561" w:rsidP="00D20A1E">
            <w:pPr>
              <w:widowControl/>
              <w:rPr>
                <w:sz w:val="18"/>
                <w:szCs w:val="18"/>
              </w:rPr>
            </w:pPr>
            <w:r>
              <w:rPr>
                <w:sz w:val="18"/>
                <w:szCs w:val="18"/>
              </w:rPr>
              <w:t>Inhibits digestive enzyme activities p</w:t>
            </w:r>
            <w:r w:rsidRPr="006347A5">
              <w:rPr>
                <w:sz w:val="18"/>
                <w:szCs w:val="18"/>
              </w:rPr>
              <w:t>reventing protein digestion</w:t>
            </w:r>
          </w:p>
        </w:tc>
        <w:tc>
          <w:tcPr>
            <w:tcW w:w="3544" w:type="dxa"/>
            <w:vAlign w:val="center"/>
          </w:tcPr>
          <w:p w14:paraId="202C2E23" w14:textId="77777777" w:rsidR="00792561" w:rsidRPr="006347A5" w:rsidRDefault="00792561" w:rsidP="00D20A1E">
            <w:pPr>
              <w:widowControl/>
              <w:rPr>
                <w:sz w:val="18"/>
                <w:szCs w:val="18"/>
              </w:rPr>
            </w:pPr>
            <w:r>
              <w:rPr>
                <w:sz w:val="18"/>
                <w:szCs w:val="18"/>
              </w:rPr>
              <w:t>Common in most plant, mainly raw legume seeds and soybean</w:t>
            </w:r>
          </w:p>
        </w:tc>
      </w:tr>
    </w:tbl>
    <w:p w14:paraId="520D9937" w14:textId="77777777" w:rsidR="00792561" w:rsidRDefault="00792561" w:rsidP="00D20A1E">
      <w:pPr>
        <w:widowControl/>
      </w:pPr>
      <w:r w:rsidRPr="00CF71FF">
        <w:rPr>
          <w:b/>
          <w:sz w:val="18"/>
          <w:szCs w:val="18"/>
        </w:rPr>
        <w:t>References</w:t>
      </w:r>
      <w:r w:rsidRPr="00FA147E">
        <w:rPr>
          <w:sz w:val="18"/>
          <w:szCs w:val="18"/>
        </w:rPr>
        <w:t>:</w:t>
      </w:r>
      <w:r>
        <w:rPr>
          <w:sz w:val="18"/>
          <w:szCs w:val="18"/>
        </w:rPr>
        <w:t xml:space="preserve"> </w:t>
      </w:r>
      <w:r w:rsidRPr="00833389">
        <w:rPr>
          <w:sz w:val="18"/>
          <w:szCs w:val="18"/>
        </w:rPr>
        <w:t>(Akande et al. 2010; Raes et al. 2014; Bernat et al. 2014)</w:t>
      </w:r>
    </w:p>
    <w:p w14:paraId="2397D680" w14:textId="77777777" w:rsidR="005076F8" w:rsidRDefault="005076F8" w:rsidP="00D20A1E">
      <w:pPr>
        <w:pStyle w:val="Heading2"/>
      </w:pPr>
      <w:bookmarkStart w:id="103" w:name="_Toc427672176"/>
      <w:r>
        <w:br w:type="page"/>
      </w:r>
    </w:p>
    <w:p w14:paraId="6EBBB6C8" w14:textId="661DE2EF" w:rsidR="00792561" w:rsidRPr="00353A99" w:rsidRDefault="00AF4FCB" w:rsidP="00D20A1E">
      <w:pPr>
        <w:pStyle w:val="Heading2"/>
      </w:pPr>
      <w:bookmarkStart w:id="104" w:name="_Toc427678242"/>
      <w:r>
        <w:lastRenderedPageBreak/>
        <w:t>7.3</w:t>
      </w:r>
      <w:r>
        <w:tab/>
      </w:r>
      <w:r w:rsidR="00792561" w:rsidRPr="00353A99">
        <w:t>Amounts of phytate and oxalate in nuts and seeds</w:t>
      </w:r>
      <w:bookmarkEnd w:id="103"/>
      <w:bookmarkEnd w:id="104"/>
    </w:p>
    <w:p w14:paraId="326014C3" w14:textId="77777777" w:rsidR="00792561" w:rsidRPr="00324DD4" w:rsidRDefault="00792561" w:rsidP="00D20A1E">
      <w:pPr>
        <w:widowControl/>
      </w:pPr>
      <w:r>
        <w:t>The phytate and oxalate content of the nuts and seeds relevant to the Application was obtained from reported experimental studies or review papers (</w:t>
      </w:r>
      <w:r>
        <w:fldChar w:fldCharType="begin"/>
      </w:r>
      <w:r>
        <w:instrText xml:space="preserve"> REF _Ref417473195 \h </w:instrText>
      </w:r>
      <w:r>
        <w:fldChar w:fldCharType="separate"/>
      </w:r>
      <w:r w:rsidR="00047581">
        <w:t xml:space="preserve">Table </w:t>
      </w:r>
      <w:r w:rsidR="00047581">
        <w:rPr>
          <w:noProof/>
        </w:rPr>
        <w:t>7</w:t>
      </w:r>
      <w:r>
        <w:fldChar w:fldCharType="end"/>
      </w:r>
      <w:r>
        <w:t xml:space="preserve">). </w:t>
      </w:r>
      <w:r w:rsidRPr="00A7740D">
        <w:t>In general the tree nuts (almond, hazelnut, and coconut) contain higher amounts of phytate and oxalate tha</w:t>
      </w:r>
      <w:r>
        <w:t>n</w:t>
      </w:r>
      <w:r w:rsidRPr="00A7740D">
        <w:t xml:space="preserve"> </w:t>
      </w:r>
      <w:r>
        <w:t>sesame and sunflower seeds</w:t>
      </w:r>
      <w:r w:rsidRPr="00A7740D">
        <w:t>.</w:t>
      </w:r>
    </w:p>
    <w:p w14:paraId="2B094B4B" w14:textId="77777777" w:rsidR="00792561" w:rsidRDefault="00792561" w:rsidP="00D20A1E">
      <w:pPr>
        <w:widowControl/>
      </w:pPr>
    </w:p>
    <w:p w14:paraId="1E9A368B" w14:textId="77777777" w:rsidR="00792561" w:rsidRDefault="00792561" w:rsidP="00D20A1E">
      <w:pPr>
        <w:pStyle w:val="FSTableTitle"/>
        <w:keepNext/>
        <w:keepLines/>
        <w:widowControl/>
      </w:pPr>
      <w:bookmarkStart w:id="105" w:name="_Ref417473195"/>
      <w:bookmarkStart w:id="106" w:name="_Toc420307334"/>
      <w:r>
        <w:t xml:space="preserve">Table </w:t>
      </w:r>
      <w:fldSimple w:instr=" SEQ Table \* ARABIC ">
        <w:r w:rsidR="00047581">
          <w:rPr>
            <w:noProof/>
          </w:rPr>
          <w:t>7</w:t>
        </w:r>
      </w:fldSimple>
      <w:bookmarkEnd w:id="105"/>
      <w:r w:rsidRPr="00E813D3">
        <w:t>:</w:t>
      </w:r>
      <w:r>
        <w:t xml:space="preserve"> Reported phytate and oxalate</w:t>
      </w:r>
      <w:r w:rsidRPr="00E813D3">
        <w:t xml:space="preserve"> </w:t>
      </w:r>
      <w:r>
        <w:t xml:space="preserve">content </w:t>
      </w:r>
      <w:r w:rsidRPr="00E813D3">
        <w:t>in nuts</w:t>
      </w:r>
      <w:r>
        <w:t xml:space="preserve"> and seeds</w:t>
      </w:r>
      <w:bookmarkEnd w:id="106"/>
    </w:p>
    <w:p w14:paraId="5AA7F7ED" w14:textId="77777777" w:rsidR="00AF4FCB" w:rsidRPr="00AF4FCB" w:rsidRDefault="00AF4FCB" w:rsidP="00AF4FCB"/>
    <w:tbl>
      <w:tblPr>
        <w:tblStyle w:val="TableGrid"/>
        <w:tblW w:w="0" w:type="auto"/>
        <w:tblLayout w:type="fixed"/>
        <w:tblLook w:val="04A0" w:firstRow="1" w:lastRow="0" w:firstColumn="1" w:lastColumn="0" w:noHBand="0" w:noVBand="1"/>
      </w:tblPr>
      <w:tblGrid>
        <w:gridCol w:w="2520"/>
        <w:gridCol w:w="2137"/>
        <w:gridCol w:w="2460"/>
        <w:gridCol w:w="2205"/>
      </w:tblGrid>
      <w:tr w:rsidR="00792561" w14:paraId="1D62A696" w14:textId="77777777" w:rsidTr="00A004E1">
        <w:trPr>
          <w:trHeight w:val="283"/>
        </w:trPr>
        <w:tc>
          <w:tcPr>
            <w:tcW w:w="2520" w:type="dxa"/>
            <w:shd w:val="clear" w:color="auto" w:fill="B8CCE4" w:themeFill="accent1" w:themeFillTint="66"/>
            <w:vAlign w:val="center"/>
          </w:tcPr>
          <w:p w14:paraId="1D2B321D" w14:textId="77777777" w:rsidR="00792561" w:rsidRPr="00303BC0" w:rsidRDefault="00792561" w:rsidP="00D20A1E">
            <w:pPr>
              <w:keepNext/>
              <w:keepLines/>
              <w:widowControl/>
              <w:rPr>
                <w:b/>
                <w:sz w:val="18"/>
                <w:szCs w:val="18"/>
              </w:rPr>
            </w:pPr>
            <w:r>
              <w:rPr>
                <w:b/>
                <w:sz w:val="18"/>
                <w:szCs w:val="18"/>
              </w:rPr>
              <w:t>Source</w:t>
            </w:r>
          </w:p>
        </w:tc>
        <w:tc>
          <w:tcPr>
            <w:tcW w:w="2137" w:type="dxa"/>
            <w:shd w:val="clear" w:color="auto" w:fill="B8CCE4" w:themeFill="accent1" w:themeFillTint="66"/>
            <w:vAlign w:val="center"/>
          </w:tcPr>
          <w:p w14:paraId="1D2E3E2E" w14:textId="77777777" w:rsidR="00792561" w:rsidRPr="00303BC0" w:rsidRDefault="00792561" w:rsidP="00D20A1E">
            <w:pPr>
              <w:keepNext/>
              <w:keepLines/>
              <w:widowControl/>
              <w:jc w:val="center"/>
              <w:rPr>
                <w:b/>
                <w:sz w:val="18"/>
                <w:szCs w:val="18"/>
              </w:rPr>
            </w:pPr>
            <w:r w:rsidRPr="00303BC0">
              <w:rPr>
                <w:b/>
                <w:sz w:val="18"/>
                <w:szCs w:val="18"/>
              </w:rPr>
              <w:t>Phytate</w:t>
            </w:r>
          </w:p>
          <w:p w14:paraId="121434AB" w14:textId="77777777" w:rsidR="00792561" w:rsidRPr="00303BC0" w:rsidRDefault="00792561" w:rsidP="00D20A1E">
            <w:pPr>
              <w:keepNext/>
              <w:keepLines/>
              <w:widowControl/>
              <w:jc w:val="center"/>
              <w:rPr>
                <w:b/>
                <w:sz w:val="18"/>
                <w:szCs w:val="18"/>
              </w:rPr>
            </w:pPr>
            <w:r>
              <w:rPr>
                <w:sz w:val="18"/>
                <w:szCs w:val="18"/>
              </w:rPr>
              <w:t>m</w:t>
            </w:r>
            <w:r w:rsidRPr="00303BC0">
              <w:rPr>
                <w:sz w:val="18"/>
                <w:szCs w:val="18"/>
              </w:rPr>
              <w:t>g/100 g</w:t>
            </w:r>
          </w:p>
        </w:tc>
        <w:tc>
          <w:tcPr>
            <w:tcW w:w="2460" w:type="dxa"/>
            <w:shd w:val="clear" w:color="auto" w:fill="B8CCE4" w:themeFill="accent1" w:themeFillTint="66"/>
            <w:vAlign w:val="center"/>
          </w:tcPr>
          <w:p w14:paraId="2C354250" w14:textId="77777777" w:rsidR="00792561" w:rsidRDefault="00792561" w:rsidP="00D20A1E">
            <w:pPr>
              <w:keepNext/>
              <w:keepLines/>
              <w:widowControl/>
              <w:jc w:val="center"/>
              <w:rPr>
                <w:b/>
                <w:sz w:val="18"/>
                <w:szCs w:val="18"/>
              </w:rPr>
            </w:pPr>
            <w:r>
              <w:rPr>
                <w:b/>
                <w:sz w:val="18"/>
                <w:szCs w:val="18"/>
              </w:rPr>
              <w:t>Oxalate</w:t>
            </w:r>
          </w:p>
          <w:p w14:paraId="123DC7C3" w14:textId="77777777" w:rsidR="00792561" w:rsidRPr="00D3557B" w:rsidRDefault="00792561" w:rsidP="00D20A1E">
            <w:pPr>
              <w:keepNext/>
              <w:keepLines/>
              <w:widowControl/>
              <w:jc w:val="center"/>
              <w:rPr>
                <w:sz w:val="18"/>
                <w:szCs w:val="18"/>
              </w:rPr>
            </w:pPr>
            <w:r>
              <w:rPr>
                <w:sz w:val="18"/>
                <w:szCs w:val="18"/>
              </w:rPr>
              <w:t>m</w:t>
            </w:r>
            <w:r w:rsidRPr="00D3557B">
              <w:rPr>
                <w:sz w:val="18"/>
                <w:szCs w:val="18"/>
              </w:rPr>
              <w:t>g/100 g</w:t>
            </w:r>
          </w:p>
        </w:tc>
        <w:tc>
          <w:tcPr>
            <w:tcW w:w="2205" w:type="dxa"/>
            <w:shd w:val="clear" w:color="auto" w:fill="B8CCE4" w:themeFill="accent1" w:themeFillTint="66"/>
            <w:vAlign w:val="center"/>
          </w:tcPr>
          <w:p w14:paraId="67254F5E" w14:textId="77777777" w:rsidR="00792561" w:rsidRDefault="00792561" w:rsidP="00D20A1E">
            <w:pPr>
              <w:keepNext/>
              <w:keepLines/>
              <w:widowControl/>
              <w:jc w:val="center"/>
              <w:rPr>
                <w:b/>
                <w:sz w:val="18"/>
                <w:szCs w:val="18"/>
              </w:rPr>
            </w:pPr>
            <w:r>
              <w:rPr>
                <w:b/>
                <w:sz w:val="18"/>
                <w:szCs w:val="18"/>
              </w:rPr>
              <w:t xml:space="preserve">Reference </w:t>
            </w:r>
          </w:p>
        </w:tc>
      </w:tr>
      <w:tr w:rsidR="00792561" w14:paraId="07CA7A80" w14:textId="77777777" w:rsidTr="00A004E1">
        <w:trPr>
          <w:trHeight w:val="454"/>
        </w:trPr>
        <w:tc>
          <w:tcPr>
            <w:tcW w:w="2520" w:type="dxa"/>
            <w:vAlign w:val="center"/>
          </w:tcPr>
          <w:p w14:paraId="6C9D8F5F" w14:textId="77777777" w:rsidR="00792561" w:rsidRPr="00303BC0" w:rsidRDefault="00792561" w:rsidP="00D20A1E">
            <w:pPr>
              <w:keepNext/>
              <w:keepLines/>
              <w:widowControl/>
              <w:rPr>
                <w:sz w:val="18"/>
                <w:szCs w:val="18"/>
              </w:rPr>
            </w:pPr>
            <w:r w:rsidRPr="00303BC0">
              <w:rPr>
                <w:sz w:val="18"/>
                <w:szCs w:val="18"/>
              </w:rPr>
              <w:t>Almond</w:t>
            </w:r>
            <w:r>
              <w:rPr>
                <w:sz w:val="18"/>
                <w:szCs w:val="18"/>
              </w:rPr>
              <w:t xml:space="preserve"> (unprocessed)</w:t>
            </w:r>
          </w:p>
        </w:tc>
        <w:tc>
          <w:tcPr>
            <w:tcW w:w="2137" w:type="dxa"/>
            <w:vAlign w:val="center"/>
          </w:tcPr>
          <w:p w14:paraId="73922944" w14:textId="77777777" w:rsidR="00792561" w:rsidRPr="00303BC0" w:rsidRDefault="00792561" w:rsidP="00D20A1E">
            <w:pPr>
              <w:keepNext/>
              <w:keepLines/>
              <w:widowControl/>
              <w:tabs>
                <w:tab w:val="decimal" w:pos="1173"/>
              </w:tabs>
              <w:rPr>
                <w:sz w:val="18"/>
                <w:szCs w:val="18"/>
              </w:rPr>
            </w:pPr>
            <w:r>
              <w:rPr>
                <w:sz w:val="18"/>
                <w:szCs w:val="18"/>
              </w:rPr>
              <w:t>1,138</w:t>
            </w:r>
          </w:p>
        </w:tc>
        <w:tc>
          <w:tcPr>
            <w:tcW w:w="2460" w:type="dxa"/>
            <w:vAlign w:val="center"/>
          </w:tcPr>
          <w:p w14:paraId="49461C59" w14:textId="77777777" w:rsidR="00792561" w:rsidRDefault="00792561" w:rsidP="00D20A1E">
            <w:pPr>
              <w:keepNext/>
              <w:keepLines/>
              <w:widowControl/>
              <w:tabs>
                <w:tab w:val="decimal" w:pos="1297"/>
              </w:tabs>
              <w:rPr>
                <w:sz w:val="18"/>
                <w:szCs w:val="18"/>
              </w:rPr>
            </w:pPr>
            <w:r>
              <w:rPr>
                <w:sz w:val="18"/>
                <w:szCs w:val="18"/>
              </w:rPr>
              <w:t>469</w:t>
            </w:r>
          </w:p>
        </w:tc>
        <w:tc>
          <w:tcPr>
            <w:tcW w:w="2205" w:type="dxa"/>
            <w:vAlign w:val="center"/>
          </w:tcPr>
          <w:p w14:paraId="21BA6BE8" w14:textId="77777777" w:rsidR="00792561" w:rsidRDefault="00792561" w:rsidP="00D20A1E">
            <w:pPr>
              <w:keepNext/>
              <w:keepLines/>
              <w:widowControl/>
              <w:rPr>
                <w:sz w:val="18"/>
                <w:szCs w:val="18"/>
              </w:rPr>
            </w:pPr>
            <w:r>
              <w:rPr>
                <w:noProof/>
                <w:sz w:val="18"/>
                <w:szCs w:val="18"/>
              </w:rPr>
              <w:t xml:space="preserve">(Macfarlane </w:t>
            </w:r>
            <w:r>
              <w:rPr>
                <w:i/>
                <w:noProof/>
                <w:sz w:val="18"/>
                <w:szCs w:val="18"/>
              </w:rPr>
              <w:t>et al.</w:t>
            </w:r>
            <w:r>
              <w:rPr>
                <w:noProof/>
                <w:sz w:val="18"/>
                <w:szCs w:val="18"/>
              </w:rPr>
              <w:t xml:space="preserve"> 1988; Chai and Liebman 2005)</w:t>
            </w:r>
          </w:p>
        </w:tc>
      </w:tr>
      <w:tr w:rsidR="00792561" w14:paraId="4BCB68FA" w14:textId="77777777" w:rsidTr="00A004E1">
        <w:trPr>
          <w:trHeight w:val="454"/>
        </w:trPr>
        <w:tc>
          <w:tcPr>
            <w:tcW w:w="2520" w:type="dxa"/>
            <w:vAlign w:val="center"/>
          </w:tcPr>
          <w:p w14:paraId="7DCA4475" w14:textId="77777777" w:rsidR="00792561" w:rsidRPr="00303BC0" w:rsidRDefault="00792561" w:rsidP="00D20A1E">
            <w:pPr>
              <w:keepNext/>
              <w:keepLines/>
              <w:widowControl/>
              <w:rPr>
                <w:sz w:val="18"/>
                <w:szCs w:val="18"/>
              </w:rPr>
            </w:pPr>
            <w:r w:rsidRPr="00303BC0">
              <w:rPr>
                <w:sz w:val="18"/>
                <w:szCs w:val="18"/>
              </w:rPr>
              <w:t>Hazelnut</w:t>
            </w:r>
            <w:r>
              <w:rPr>
                <w:sz w:val="18"/>
                <w:szCs w:val="18"/>
              </w:rPr>
              <w:t xml:space="preserve"> (unprocessed)</w:t>
            </w:r>
          </w:p>
        </w:tc>
        <w:tc>
          <w:tcPr>
            <w:tcW w:w="2137" w:type="dxa"/>
            <w:vAlign w:val="center"/>
          </w:tcPr>
          <w:p w14:paraId="53B1330A" w14:textId="77777777" w:rsidR="00792561" w:rsidRPr="00303BC0" w:rsidRDefault="00792561" w:rsidP="00D20A1E">
            <w:pPr>
              <w:keepNext/>
              <w:keepLines/>
              <w:widowControl/>
              <w:tabs>
                <w:tab w:val="decimal" w:pos="1173"/>
              </w:tabs>
              <w:rPr>
                <w:sz w:val="18"/>
                <w:szCs w:val="18"/>
              </w:rPr>
            </w:pPr>
            <w:r>
              <w:rPr>
                <w:sz w:val="18"/>
                <w:szCs w:val="18"/>
              </w:rPr>
              <w:t>648</w:t>
            </w:r>
          </w:p>
        </w:tc>
        <w:tc>
          <w:tcPr>
            <w:tcW w:w="2460" w:type="dxa"/>
            <w:vAlign w:val="center"/>
          </w:tcPr>
          <w:p w14:paraId="4FFFEE1C" w14:textId="77777777" w:rsidR="00792561" w:rsidRDefault="00792561" w:rsidP="00D20A1E">
            <w:pPr>
              <w:keepNext/>
              <w:keepLines/>
              <w:widowControl/>
              <w:tabs>
                <w:tab w:val="decimal" w:pos="1297"/>
              </w:tabs>
              <w:rPr>
                <w:sz w:val="18"/>
                <w:szCs w:val="18"/>
              </w:rPr>
            </w:pPr>
            <w:r>
              <w:rPr>
                <w:sz w:val="18"/>
                <w:szCs w:val="18"/>
              </w:rPr>
              <w:t>222</w:t>
            </w:r>
          </w:p>
        </w:tc>
        <w:tc>
          <w:tcPr>
            <w:tcW w:w="2205" w:type="dxa"/>
            <w:vAlign w:val="center"/>
          </w:tcPr>
          <w:p w14:paraId="285E7C18" w14:textId="77777777" w:rsidR="00792561" w:rsidRDefault="00792561" w:rsidP="00D20A1E">
            <w:pPr>
              <w:keepNext/>
              <w:keepLines/>
              <w:widowControl/>
              <w:rPr>
                <w:sz w:val="18"/>
                <w:szCs w:val="18"/>
              </w:rPr>
            </w:pPr>
            <w:r>
              <w:rPr>
                <w:noProof/>
                <w:sz w:val="18"/>
                <w:szCs w:val="18"/>
              </w:rPr>
              <w:t xml:space="preserve">(Macfarlane </w:t>
            </w:r>
            <w:r>
              <w:rPr>
                <w:i/>
                <w:noProof/>
                <w:sz w:val="18"/>
                <w:szCs w:val="18"/>
              </w:rPr>
              <w:t>et al.</w:t>
            </w:r>
            <w:r>
              <w:rPr>
                <w:noProof/>
                <w:sz w:val="18"/>
                <w:szCs w:val="18"/>
              </w:rPr>
              <w:t xml:space="preserve"> 1988; Chai and Liebman 2005)</w:t>
            </w:r>
          </w:p>
        </w:tc>
      </w:tr>
      <w:tr w:rsidR="00792561" w14:paraId="5AD7DE56" w14:textId="77777777" w:rsidTr="00A004E1">
        <w:trPr>
          <w:trHeight w:val="454"/>
        </w:trPr>
        <w:tc>
          <w:tcPr>
            <w:tcW w:w="2520" w:type="dxa"/>
            <w:tcBorders>
              <w:bottom w:val="single" w:sz="4" w:space="0" w:color="000000"/>
            </w:tcBorders>
            <w:vAlign w:val="center"/>
          </w:tcPr>
          <w:p w14:paraId="55872ADE" w14:textId="77777777" w:rsidR="00792561" w:rsidRDefault="00792561" w:rsidP="00D20A1E">
            <w:pPr>
              <w:keepNext/>
              <w:keepLines/>
              <w:widowControl/>
              <w:rPr>
                <w:sz w:val="18"/>
                <w:szCs w:val="18"/>
              </w:rPr>
            </w:pPr>
            <w:r>
              <w:rPr>
                <w:sz w:val="18"/>
                <w:szCs w:val="18"/>
              </w:rPr>
              <w:t>Coconut (unprocessed)</w:t>
            </w:r>
          </w:p>
        </w:tc>
        <w:tc>
          <w:tcPr>
            <w:tcW w:w="2137" w:type="dxa"/>
            <w:tcBorders>
              <w:bottom w:val="single" w:sz="4" w:space="0" w:color="000000"/>
            </w:tcBorders>
            <w:vAlign w:val="center"/>
          </w:tcPr>
          <w:p w14:paraId="3D845DA4" w14:textId="77777777" w:rsidR="00792561" w:rsidRDefault="00792561" w:rsidP="00D20A1E">
            <w:pPr>
              <w:keepNext/>
              <w:keepLines/>
              <w:widowControl/>
              <w:tabs>
                <w:tab w:val="decimal" w:pos="1173"/>
              </w:tabs>
              <w:rPr>
                <w:sz w:val="18"/>
                <w:szCs w:val="18"/>
              </w:rPr>
            </w:pPr>
            <w:r>
              <w:rPr>
                <w:sz w:val="18"/>
                <w:szCs w:val="18"/>
              </w:rPr>
              <w:t>357</w:t>
            </w:r>
          </w:p>
        </w:tc>
        <w:tc>
          <w:tcPr>
            <w:tcW w:w="2460" w:type="dxa"/>
            <w:tcBorders>
              <w:bottom w:val="single" w:sz="4" w:space="0" w:color="000000"/>
            </w:tcBorders>
            <w:vAlign w:val="center"/>
          </w:tcPr>
          <w:p w14:paraId="1A093200" w14:textId="77777777" w:rsidR="00792561" w:rsidRDefault="00792561" w:rsidP="00D20A1E">
            <w:pPr>
              <w:keepNext/>
              <w:keepLines/>
              <w:widowControl/>
              <w:tabs>
                <w:tab w:val="decimal" w:pos="1297"/>
              </w:tabs>
              <w:rPr>
                <w:sz w:val="18"/>
                <w:szCs w:val="18"/>
              </w:rPr>
            </w:pPr>
            <w:r>
              <w:rPr>
                <w:sz w:val="18"/>
                <w:szCs w:val="18"/>
              </w:rPr>
              <w:t>N.A.</w:t>
            </w:r>
          </w:p>
        </w:tc>
        <w:tc>
          <w:tcPr>
            <w:tcW w:w="2205" w:type="dxa"/>
            <w:tcBorders>
              <w:bottom w:val="single" w:sz="4" w:space="0" w:color="000000"/>
            </w:tcBorders>
            <w:vAlign w:val="center"/>
          </w:tcPr>
          <w:p w14:paraId="6DCFE02C" w14:textId="77777777" w:rsidR="00792561" w:rsidRDefault="00792561" w:rsidP="00D20A1E">
            <w:pPr>
              <w:keepNext/>
              <w:keepLines/>
              <w:widowControl/>
              <w:rPr>
                <w:sz w:val="18"/>
                <w:szCs w:val="18"/>
              </w:rPr>
            </w:pPr>
            <w:r>
              <w:rPr>
                <w:noProof/>
                <w:sz w:val="18"/>
                <w:szCs w:val="18"/>
              </w:rPr>
              <w:t xml:space="preserve">(Macfarlane </w:t>
            </w:r>
            <w:r>
              <w:rPr>
                <w:i/>
                <w:noProof/>
                <w:sz w:val="18"/>
                <w:szCs w:val="18"/>
              </w:rPr>
              <w:t>et al.</w:t>
            </w:r>
            <w:r>
              <w:rPr>
                <w:noProof/>
                <w:sz w:val="18"/>
                <w:szCs w:val="18"/>
              </w:rPr>
              <w:t xml:space="preserve"> 1988)</w:t>
            </w:r>
          </w:p>
        </w:tc>
      </w:tr>
      <w:tr w:rsidR="00792561" w14:paraId="605FCEB8" w14:textId="77777777" w:rsidTr="00A004E1">
        <w:trPr>
          <w:trHeight w:val="283"/>
        </w:trPr>
        <w:tc>
          <w:tcPr>
            <w:tcW w:w="2520" w:type="dxa"/>
            <w:tcBorders>
              <w:bottom w:val="nil"/>
            </w:tcBorders>
            <w:vAlign w:val="bottom"/>
          </w:tcPr>
          <w:p w14:paraId="267967BB" w14:textId="77777777" w:rsidR="00792561" w:rsidRPr="00303BC0" w:rsidDel="00EC1075" w:rsidRDefault="00792561" w:rsidP="00D20A1E">
            <w:pPr>
              <w:keepNext/>
              <w:keepLines/>
              <w:widowControl/>
              <w:rPr>
                <w:sz w:val="18"/>
                <w:szCs w:val="18"/>
              </w:rPr>
            </w:pPr>
            <w:r>
              <w:rPr>
                <w:sz w:val="18"/>
                <w:szCs w:val="18"/>
              </w:rPr>
              <w:t>Sesame (unprocessed)</w:t>
            </w:r>
          </w:p>
        </w:tc>
        <w:tc>
          <w:tcPr>
            <w:tcW w:w="2137" w:type="dxa"/>
            <w:tcBorders>
              <w:bottom w:val="nil"/>
            </w:tcBorders>
            <w:vAlign w:val="bottom"/>
          </w:tcPr>
          <w:p w14:paraId="1A8D2649" w14:textId="77777777" w:rsidR="00792561" w:rsidDel="00EC1075" w:rsidRDefault="00792561" w:rsidP="00D20A1E">
            <w:pPr>
              <w:keepNext/>
              <w:keepLines/>
              <w:widowControl/>
              <w:tabs>
                <w:tab w:val="decimal" w:pos="1173"/>
              </w:tabs>
              <w:rPr>
                <w:sz w:val="18"/>
                <w:szCs w:val="18"/>
              </w:rPr>
            </w:pPr>
            <w:r>
              <w:rPr>
                <w:sz w:val="18"/>
                <w:szCs w:val="18"/>
              </w:rPr>
              <w:t>25*</w:t>
            </w:r>
          </w:p>
        </w:tc>
        <w:tc>
          <w:tcPr>
            <w:tcW w:w="2460" w:type="dxa"/>
            <w:tcBorders>
              <w:bottom w:val="nil"/>
            </w:tcBorders>
            <w:vAlign w:val="bottom"/>
          </w:tcPr>
          <w:p w14:paraId="34027E96" w14:textId="77777777" w:rsidR="00792561" w:rsidDel="00EC1075" w:rsidRDefault="00792561" w:rsidP="00D20A1E">
            <w:pPr>
              <w:keepNext/>
              <w:keepLines/>
              <w:widowControl/>
              <w:tabs>
                <w:tab w:val="decimal" w:pos="1297"/>
              </w:tabs>
              <w:rPr>
                <w:sz w:val="18"/>
                <w:szCs w:val="18"/>
              </w:rPr>
            </w:pPr>
            <w:r>
              <w:rPr>
                <w:sz w:val="18"/>
                <w:szCs w:val="18"/>
              </w:rPr>
              <w:t>16*</w:t>
            </w:r>
          </w:p>
        </w:tc>
        <w:tc>
          <w:tcPr>
            <w:tcW w:w="2205" w:type="dxa"/>
            <w:vMerge w:val="restart"/>
            <w:vAlign w:val="center"/>
          </w:tcPr>
          <w:p w14:paraId="5EBEFF95" w14:textId="77777777" w:rsidR="00792561" w:rsidDel="00EC1075" w:rsidRDefault="00792561" w:rsidP="00D20A1E">
            <w:pPr>
              <w:keepNext/>
              <w:keepLines/>
              <w:widowControl/>
              <w:rPr>
                <w:sz w:val="18"/>
                <w:szCs w:val="18"/>
              </w:rPr>
            </w:pPr>
            <w:r>
              <w:rPr>
                <w:noProof/>
                <w:sz w:val="18"/>
                <w:szCs w:val="18"/>
              </w:rPr>
              <w:t xml:space="preserve">(Jimoh </w:t>
            </w:r>
            <w:r>
              <w:rPr>
                <w:i/>
                <w:noProof/>
                <w:sz w:val="18"/>
                <w:szCs w:val="18"/>
              </w:rPr>
              <w:t>et al.</w:t>
            </w:r>
            <w:r>
              <w:rPr>
                <w:noProof/>
                <w:sz w:val="18"/>
                <w:szCs w:val="18"/>
              </w:rPr>
              <w:t xml:space="preserve"> 2011)</w:t>
            </w:r>
          </w:p>
        </w:tc>
      </w:tr>
      <w:tr w:rsidR="00792561" w14:paraId="781AB367" w14:textId="77777777" w:rsidTr="00A004E1">
        <w:trPr>
          <w:trHeight w:val="283"/>
        </w:trPr>
        <w:tc>
          <w:tcPr>
            <w:tcW w:w="2520" w:type="dxa"/>
            <w:tcBorders>
              <w:top w:val="nil"/>
              <w:bottom w:val="single" w:sz="4" w:space="0" w:color="000000"/>
            </w:tcBorders>
          </w:tcPr>
          <w:p w14:paraId="568A4FA5" w14:textId="77777777" w:rsidR="00792561" w:rsidRDefault="00792561" w:rsidP="00D20A1E">
            <w:pPr>
              <w:keepNext/>
              <w:keepLines/>
              <w:widowControl/>
              <w:rPr>
                <w:sz w:val="18"/>
                <w:szCs w:val="18"/>
              </w:rPr>
            </w:pPr>
            <w:r w:rsidRPr="0063566F">
              <w:rPr>
                <w:sz w:val="18"/>
                <w:szCs w:val="18"/>
              </w:rPr>
              <w:t xml:space="preserve">Sesame (processed) </w:t>
            </w:r>
            <w:r w:rsidRPr="0063566F">
              <w:rPr>
                <w:sz w:val="18"/>
                <w:szCs w:val="18"/>
                <w:vertAlign w:val="superscript"/>
              </w:rPr>
              <w:t>1</w:t>
            </w:r>
          </w:p>
        </w:tc>
        <w:tc>
          <w:tcPr>
            <w:tcW w:w="2137" w:type="dxa"/>
            <w:tcBorders>
              <w:top w:val="nil"/>
              <w:bottom w:val="single" w:sz="4" w:space="0" w:color="000000"/>
            </w:tcBorders>
          </w:tcPr>
          <w:p w14:paraId="131E4EE0" w14:textId="77777777" w:rsidR="00792561" w:rsidDel="00EC1075" w:rsidRDefault="00792561" w:rsidP="00D20A1E">
            <w:pPr>
              <w:keepNext/>
              <w:keepLines/>
              <w:widowControl/>
              <w:tabs>
                <w:tab w:val="decimal" w:pos="1173"/>
              </w:tabs>
              <w:rPr>
                <w:sz w:val="18"/>
                <w:szCs w:val="18"/>
              </w:rPr>
            </w:pPr>
            <w:r>
              <w:rPr>
                <w:sz w:val="18"/>
                <w:szCs w:val="18"/>
              </w:rPr>
              <w:t>12*</w:t>
            </w:r>
          </w:p>
        </w:tc>
        <w:tc>
          <w:tcPr>
            <w:tcW w:w="2460" w:type="dxa"/>
            <w:tcBorders>
              <w:top w:val="nil"/>
              <w:bottom w:val="single" w:sz="4" w:space="0" w:color="000000"/>
            </w:tcBorders>
          </w:tcPr>
          <w:p w14:paraId="0CC4AA5D" w14:textId="77777777" w:rsidR="00792561" w:rsidDel="00EC1075" w:rsidRDefault="00792561" w:rsidP="00D20A1E">
            <w:pPr>
              <w:keepNext/>
              <w:keepLines/>
              <w:widowControl/>
              <w:tabs>
                <w:tab w:val="decimal" w:pos="1297"/>
              </w:tabs>
              <w:rPr>
                <w:sz w:val="18"/>
                <w:szCs w:val="18"/>
              </w:rPr>
            </w:pPr>
            <w:r>
              <w:rPr>
                <w:sz w:val="18"/>
                <w:szCs w:val="18"/>
              </w:rPr>
              <w:t>5*</w:t>
            </w:r>
          </w:p>
        </w:tc>
        <w:tc>
          <w:tcPr>
            <w:tcW w:w="2205" w:type="dxa"/>
            <w:vMerge/>
            <w:tcBorders>
              <w:bottom w:val="single" w:sz="4" w:space="0" w:color="000000"/>
            </w:tcBorders>
            <w:vAlign w:val="center"/>
          </w:tcPr>
          <w:p w14:paraId="6FC87418" w14:textId="77777777" w:rsidR="00792561" w:rsidDel="00EC1075" w:rsidRDefault="00792561" w:rsidP="00D20A1E">
            <w:pPr>
              <w:keepNext/>
              <w:keepLines/>
              <w:widowControl/>
              <w:rPr>
                <w:sz w:val="18"/>
                <w:szCs w:val="18"/>
              </w:rPr>
            </w:pPr>
          </w:p>
        </w:tc>
      </w:tr>
      <w:tr w:rsidR="00792561" w14:paraId="1DD34A94" w14:textId="77777777" w:rsidTr="00A004E1">
        <w:trPr>
          <w:trHeight w:val="283"/>
        </w:trPr>
        <w:tc>
          <w:tcPr>
            <w:tcW w:w="2520" w:type="dxa"/>
            <w:tcBorders>
              <w:bottom w:val="nil"/>
            </w:tcBorders>
            <w:vAlign w:val="bottom"/>
          </w:tcPr>
          <w:p w14:paraId="33616BD5" w14:textId="77777777" w:rsidR="00792561" w:rsidRPr="00303BC0" w:rsidDel="00EC1075" w:rsidRDefault="00792561" w:rsidP="00D20A1E">
            <w:pPr>
              <w:keepNext/>
              <w:keepLines/>
              <w:widowControl/>
              <w:rPr>
                <w:sz w:val="18"/>
                <w:szCs w:val="18"/>
              </w:rPr>
            </w:pPr>
            <w:r>
              <w:rPr>
                <w:sz w:val="18"/>
                <w:szCs w:val="18"/>
              </w:rPr>
              <w:t>Sunflower (unprocessed)</w:t>
            </w:r>
          </w:p>
        </w:tc>
        <w:tc>
          <w:tcPr>
            <w:tcW w:w="2137" w:type="dxa"/>
            <w:tcBorders>
              <w:bottom w:val="nil"/>
            </w:tcBorders>
            <w:vAlign w:val="bottom"/>
          </w:tcPr>
          <w:p w14:paraId="3B729622" w14:textId="77777777" w:rsidR="00792561" w:rsidDel="00EC1075" w:rsidRDefault="00792561" w:rsidP="00D20A1E">
            <w:pPr>
              <w:keepNext/>
              <w:keepLines/>
              <w:widowControl/>
              <w:tabs>
                <w:tab w:val="decimal" w:pos="1173"/>
              </w:tabs>
              <w:rPr>
                <w:sz w:val="18"/>
                <w:szCs w:val="18"/>
              </w:rPr>
            </w:pPr>
            <w:r>
              <w:rPr>
                <w:sz w:val="18"/>
                <w:szCs w:val="18"/>
              </w:rPr>
              <w:t>13*</w:t>
            </w:r>
          </w:p>
        </w:tc>
        <w:tc>
          <w:tcPr>
            <w:tcW w:w="2460" w:type="dxa"/>
            <w:tcBorders>
              <w:bottom w:val="nil"/>
            </w:tcBorders>
            <w:vAlign w:val="bottom"/>
          </w:tcPr>
          <w:p w14:paraId="35F66254" w14:textId="77777777" w:rsidR="00792561" w:rsidDel="00EC1075" w:rsidRDefault="00792561" w:rsidP="00D20A1E">
            <w:pPr>
              <w:keepNext/>
              <w:keepLines/>
              <w:widowControl/>
              <w:tabs>
                <w:tab w:val="decimal" w:pos="1297"/>
              </w:tabs>
              <w:rPr>
                <w:sz w:val="18"/>
                <w:szCs w:val="18"/>
              </w:rPr>
            </w:pPr>
            <w:r>
              <w:rPr>
                <w:sz w:val="18"/>
                <w:szCs w:val="18"/>
              </w:rPr>
              <w:t>16*</w:t>
            </w:r>
          </w:p>
        </w:tc>
        <w:tc>
          <w:tcPr>
            <w:tcW w:w="2205" w:type="dxa"/>
            <w:vMerge w:val="restart"/>
            <w:vAlign w:val="center"/>
          </w:tcPr>
          <w:p w14:paraId="48271166" w14:textId="77777777" w:rsidR="00792561" w:rsidDel="00EC1075" w:rsidRDefault="00792561" w:rsidP="00D20A1E">
            <w:pPr>
              <w:keepNext/>
              <w:keepLines/>
              <w:widowControl/>
              <w:rPr>
                <w:sz w:val="18"/>
                <w:szCs w:val="18"/>
              </w:rPr>
            </w:pPr>
            <w:r>
              <w:rPr>
                <w:noProof/>
                <w:sz w:val="18"/>
                <w:szCs w:val="18"/>
              </w:rPr>
              <w:t xml:space="preserve">(Fagbenro </w:t>
            </w:r>
            <w:r>
              <w:rPr>
                <w:i/>
                <w:noProof/>
                <w:sz w:val="18"/>
                <w:szCs w:val="18"/>
              </w:rPr>
              <w:t>et al.</w:t>
            </w:r>
            <w:r>
              <w:rPr>
                <w:noProof/>
                <w:sz w:val="18"/>
                <w:szCs w:val="18"/>
              </w:rPr>
              <w:t xml:space="preserve"> 2010)</w:t>
            </w:r>
          </w:p>
        </w:tc>
      </w:tr>
      <w:tr w:rsidR="00792561" w14:paraId="06F289A8" w14:textId="77777777" w:rsidTr="00A004E1">
        <w:trPr>
          <w:trHeight w:val="283"/>
        </w:trPr>
        <w:tc>
          <w:tcPr>
            <w:tcW w:w="2520" w:type="dxa"/>
            <w:tcBorders>
              <w:top w:val="nil"/>
              <w:bottom w:val="single" w:sz="4" w:space="0" w:color="000000"/>
            </w:tcBorders>
          </w:tcPr>
          <w:p w14:paraId="4DE0BF0B" w14:textId="77777777" w:rsidR="00792561" w:rsidRDefault="00792561" w:rsidP="00D20A1E">
            <w:pPr>
              <w:keepNext/>
              <w:keepLines/>
              <w:widowControl/>
              <w:rPr>
                <w:sz w:val="18"/>
                <w:szCs w:val="18"/>
              </w:rPr>
            </w:pPr>
            <w:r>
              <w:rPr>
                <w:sz w:val="18"/>
                <w:szCs w:val="18"/>
              </w:rPr>
              <w:t xml:space="preserve">Sunflower </w:t>
            </w:r>
            <w:r w:rsidRPr="00EE006D">
              <w:rPr>
                <w:sz w:val="18"/>
                <w:szCs w:val="18"/>
              </w:rPr>
              <w:t xml:space="preserve">(processed) </w:t>
            </w:r>
            <w:r w:rsidRPr="00EE006D">
              <w:rPr>
                <w:sz w:val="18"/>
                <w:szCs w:val="18"/>
                <w:vertAlign w:val="superscript"/>
              </w:rPr>
              <w:t>1</w:t>
            </w:r>
          </w:p>
        </w:tc>
        <w:tc>
          <w:tcPr>
            <w:tcW w:w="2137" w:type="dxa"/>
            <w:tcBorders>
              <w:top w:val="nil"/>
              <w:bottom w:val="single" w:sz="4" w:space="0" w:color="000000"/>
            </w:tcBorders>
          </w:tcPr>
          <w:p w14:paraId="420DFA70" w14:textId="77777777" w:rsidR="00792561" w:rsidDel="00EC1075" w:rsidRDefault="00792561" w:rsidP="00D20A1E">
            <w:pPr>
              <w:keepNext/>
              <w:keepLines/>
              <w:widowControl/>
              <w:tabs>
                <w:tab w:val="decimal" w:pos="1173"/>
              </w:tabs>
              <w:rPr>
                <w:sz w:val="18"/>
                <w:szCs w:val="18"/>
              </w:rPr>
            </w:pPr>
            <w:r>
              <w:rPr>
                <w:sz w:val="18"/>
                <w:szCs w:val="18"/>
              </w:rPr>
              <w:t>4*</w:t>
            </w:r>
          </w:p>
        </w:tc>
        <w:tc>
          <w:tcPr>
            <w:tcW w:w="2460" w:type="dxa"/>
            <w:tcBorders>
              <w:top w:val="nil"/>
              <w:bottom w:val="single" w:sz="4" w:space="0" w:color="000000"/>
            </w:tcBorders>
          </w:tcPr>
          <w:p w14:paraId="2D4D74AE" w14:textId="77777777" w:rsidR="00792561" w:rsidDel="00EC1075" w:rsidRDefault="00792561" w:rsidP="00D20A1E">
            <w:pPr>
              <w:keepNext/>
              <w:keepLines/>
              <w:widowControl/>
              <w:tabs>
                <w:tab w:val="decimal" w:pos="1297"/>
              </w:tabs>
              <w:rPr>
                <w:sz w:val="18"/>
                <w:szCs w:val="18"/>
              </w:rPr>
            </w:pPr>
            <w:r>
              <w:rPr>
                <w:sz w:val="18"/>
                <w:szCs w:val="18"/>
              </w:rPr>
              <w:t>7*</w:t>
            </w:r>
          </w:p>
        </w:tc>
        <w:tc>
          <w:tcPr>
            <w:tcW w:w="2205" w:type="dxa"/>
            <w:vMerge/>
            <w:tcBorders>
              <w:bottom w:val="single" w:sz="4" w:space="0" w:color="000000"/>
            </w:tcBorders>
            <w:vAlign w:val="center"/>
          </w:tcPr>
          <w:p w14:paraId="0F81F076" w14:textId="77777777" w:rsidR="00792561" w:rsidRDefault="00792561" w:rsidP="00D20A1E">
            <w:pPr>
              <w:keepNext/>
              <w:keepLines/>
              <w:widowControl/>
              <w:rPr>
                <w:sz w:val="18"/>
                <w:szCs w:val="18"/>
              </w:rPr>
            </w:pPr>
          </w:p>
        </w:tc>
      </w:tr>
    </w:tbl>
    <w:p w14:paraId="21979AA5" w14:textId="77777777" w:rsidR="00792561" w:rsidRDefault="00792561" w:rsidP="00D20A1E">
      <w:pPr>
        <w:keepNext/>
        <w:keepLines/>
        <w:widowControl/>
        <w:rPr>
          <w:sz w:val="18"/>
          <w:szCs w:val="18"/>
        </w:rPr>
      </w:pPr>
      <w:r>
        <w:rPr>
          <w:sz w:val="18"/>
          <w:szCs w:val="18"/>
        </w:rPr>
        <w:t>* Concentrations rounded to nearest whole number</w:t>
      </w:r>
    </w:p>
    <w:p w14:paraId="501470A6" w14:textId="77777777" w:rsidR="00792561" w:rsidRDefault="00792561" w:rsidP="00D20A1E">
      <w:pPr>
        <w:keepNext/>
        <w:keepLines/>
        <w:widowControl/>
        <w:rPr>
          <w:sz w:val="18"/>
          <w:szCs w:val="18"/>
        </w:rPr>
      </w:pPr>
      <w:r w:rsidRPr="00306344">
        <w:rPr>
          <w:sz w:val="18"/>
          <w:szCs w:val="18"/>
          <w:vertAlign w:val="superscript"/>
        </w:rPr>
        <w:t>1</w:t>
      </w:r>
      <w:r>
        <w:rPr>
          <w:sz w:val="18"/>
          <w:szCs w:val="18"/>
        </w:rPr>
        <w:t xml:space="preserve"> Processing consists of </w:t>
      </w:r>
      <w:r w:rsidRPr="00EE006D">
        <w:rPr>
          <w:sz w:val="18"/>
          <w:szCs w:val="18"/>
        </w:rPr>
        <w:t>cooking for 30 minutes at 100ºC then dried and ground</w:t>
      </w:r>
      <w:r>
        <w:rPr>
          <w:sz w:val="18"/>
          <w:szCs w:val="18"/>
        </w:rPr>
        <w:t>.</w:t>
      </w:r>
    </w:p>
    <w:p w14:paraId="3B327FCC" w14:textId="77777777" w:rsidR="00792561" w:rsidRDefault="00792561" w:rsidP="00D20A1E">
      <w:pPr>
        <w:keepNext/>
        <w:keepLines/>
        <w:widowControl/>
        <w:rPr>
          <w:sz w:val="18"/>
          <w:szCs w:val="18"/>
        </w:rPr>
      </w:pPr>
      <w:r>
        <w:rPr>
          <w:sz w:val="18"/>
          <w:szCs w:val="18"/>
        </w:rPr>
        <w:t>N.A. not reported in this reference</w:t>
      </w:r>
    </w:p>
    <w:p w14:paraId="70DFBF53" w14:textId="1A5E5619" w:rsidR="00792561" w:rsidRDefault="00AF4FCB" w:rsidP="00D20A1E">
      <w:pPr>
        <w:pStyle w:val="Heading2"/>
      </w:pPr>
      <w:bookmarkStart w:id="107" w:name="_Toc427672177"/>
      <w:bookmarkStart w:id="108" w:name="_Toc427678243"/>
      <w:r>
        <w:t>7.4</w:t>
      </w:r>
      <w:r>
        <w:tab/>
      </w:r>
      <w:r w:rsidR="00792561">
        <w:t>Effects of processing on ANF in nuts and seeds</w:t>
      </w:r>
      <w:bookmarkEnd w:id="107"/>
      <w:bookmarkEnd w:id="108"/>
    </w:p>
    <w:p w14:paraId="52BBC0EC" w14:textId="3887B9D2" w:rsidR="00792561" w:rsidRPr="009720F3" w:rsidRDefault="00792561" w:rsidP="00D20A1E">
      <w:pPr>
        <w:keepNext/>
        <w:keepLines/>
        <w:widowControl/>
      </w:pPr>
      <w:r w:rsidRPr="009720F3">
        <w:t>No data w</w:t>
      </w:r>
      <w:r w:rsidR="0081457F">
        <w:t>ere</w:t>
      </w:r>
      <w:r w:rsidRPr="009720F3">
        <w:t xml:space="preserve"> found that quantified the ANFs in beverages derived from the nut</w:t>
      </w:r>
      <w:r>
        <w:t>s</w:t>
      </w:r>
      <w:r w:rsidRPr="009720F3">
        <w:t xml:space="preserve"> and seeds listed in</w:t>
      </w:r>
      <w:r>
        <w:t xml:space="preserve"> </w:t>
      </w:r>
      <w:r>
        <w:fldChar w:fldCharType="begin"/>
      </w:r>
      <w:r>
        <w:instrText xml:space="preserve"> REF _Ref417473195 \h </w:instrText>
      </w:r>
      <w:r>
        <w:fldChar w:fldCharType="separate"/>
      </w:r>
      <w:r w:rsidR="00047581">
        <w:t xml:space="preserve">Table </w:t>
      </w:r>
      <w:r w:rsidR="00047581">
        <w:rPr>
          <w:noProof/>
        </w:rPr>
        <w:t>7</w:t>
      </w:r>
      <w:r>
        <w:fldChar w:fldCharType="end"/>
      </w:r>
      <w:r>
        <w:t>, however</w:t>
      </w:r>
      <w:r w:rsidRPr="009720F3">
        <w:t>, phytate and oxalate quantities in processed forms of sesame and sunflower seeds ha</w:t>
      </w:r>
      <w:r>
        <w:t>ve</w:t>
      </w:r>
      <w:r w:rsidRPr="009720F3">
        <w:t xml:space="preserve"> been reported. </w:t>
      </w:r>
      <w:r w:rsidR="00997D86">
        <w:t>I</w:t>
      </w:r>
      <w:r w:rsidR="0081457F">
        <w:t>n t</w:t>
      </w:r>
      <w:r w:rsidRPr="009720F3">
        <w:t>hese studies</w:t>
      </w:r>
      <w:r>
        <w:t>,</w:t>
      </w:r>
      <w:r w:rsidRPr="009720F3">
        <w:t xml:space="preserve"> seeds </w:t>
      </w:r>
      <w:r>
        <w:t xml:space="preserve">were processed into </w:t>
      </w:r>
      <w:r w:rsidRPr="009720F3">
        <w:t>a seed meal by cooking for 30 minutes</w:t>
      </w:r>
      <w:r>
        <w:t xml:space="preserve"> at</w:t>
      </w:r>
      <w:r w:rsidRPr="009720F3">
        <w:t xml:space="preserve"> 100ºC followed by drying and grinding. For both sesame and sunflower seed</w:t>
      </w:r>
      <w:r>
        <w:t>s</w:t>
      </w:r>
      <w:r w:rsidRPr="009720F3">
        <w:t>, processing removed 50</w:t>
      </w:r>
      <w:r>
        <w:t>–</w:t>
      </w:r>
      <w:r w:rsidRPr="009720F3">
        <w:t>95% of phytate and oxalate. Reduction in the phytate and oxalate content has similarly been reported for</w:t>
      </w:r>
      <w:r>
        <w:t xml:space="preserve"> soy beans processed to </w:t>
      </w:r>
      <w:r w:rsidRPr="009720F3">
        <w:t>soy-</w:t>
      </w:r>
      <w:r w:rsidRPr="00312D3F">
        <w:t xml:space="preserve"> </w:t>
      </w:r>
      <w:r w:rsidRPr="009720F3">
        <w:t xml:space="preserve">based beverages and </w:t>
      </w:r>
      <w:r>
        <w:t xml:space="preserve">cereal grains processed to </w:t>
      </w:r>
      <w:r w:rsidRPr="009720F3">
        <w:t>breakfast cereals</w:t>
      </w:r>
      <w:r>
        <w:t xml:space="preserve"> (Hurrell 2003)</w:t>
      </w:r>
      <w:r w:rsidRPr="009720F3">
        <w:t xml:space="preserve">. It can be concluded, therefore, that the maximum content of phytate and oxalate in beverages derived from nuts and seeds would be </w:t>
      </w:r>
      <w:r>
        <w:t>lower</w:t>
      </w:r>
      <w:r w:rsidRPr="009720F3">
        <w:t xml:space="preserve"> tha</w:t>
      </w:r>
      <w:r>
        <w:t>n</w:t>
      </w:r>
      <w:r w:rsidRPr="009720F3">
        <w:t xml:space="preserve"> that present in the unprocessed forms.</w:t>
      </w:r>
    </w:p>
    <w:p w14:paraId="07E4FBA0" w14:textId="703ED48C" w:rsidR="00792561" w:rsidRDefault="00AF4FCB" w:rsidP="00D20A1E">
      <w:pPr>
        <w:pStyle w:val="Heading2"/>
      </w:pPr>
      <w:bookmarkStart w:id="109" w:name="_Toc427672178"/>
      <w:bookmarkStart w:id="110" w:name="_Toc427678244"/>
      <w:r>
        <w:t>7.5</w:t>
      </w:r>
      <w:r>
        <w:tab/>
      </w:r>
      <w:r w:rsidR="00792561">
        <w:t>Estimated intake of phytate and oxalate from nut-based beverages</w:t>
      </w:r>
      <w:bookmarkEnd w:id="109"/>
      <w:bookmarkEnd w:id="110"/>
    </w:p>
    <w:p w14:paraId="7695CD16" w14:textId="77777777" w:rsidR="00792561" w:rsidRDefault="00792561" w:rsidP="00D20A1E">
      <w:pPr>
        <w:widowControl/>
      </w:pPr>
      <w:r>
        <w:t xml:space="preserve">Of the nuts and seeds in </w:t>
      </w:r>
      <w:r>
        <w:fldChar w:fldCharType="begin"/>
      </w:r>
      <w:r>
        <w:instrText xml:space="preserve"> REF _Ref417473195 \h </w:instrText>
      </w:r>
      <w:r>
        <w:fldChar w:fldCharType="separate"/>
      </w:r>
      <w:r w:rsidR="00047581">
        <w:t xml:space="preserve">Table </w:t>
      </w:r>
      <w:r w:rsidR="00047581">
        <w:rPr>
          <w:noProof/>
        </w:rPr>
        <w:t>7</w:t>
      </w:r>
      <w:r>
        <w:fldChar w:fldCharType="end"/>
      </w:r>
      <w:r>
        <w:t>, the phytate content of almonds represents the source with the highest potential ANF content that may affect mineral absorption. The phytate intake from an almond-based beverage was therefore estimated u</w:t>
      </w:r>
      <w:r w:rsidRPr="00C42DF6">
        <w:t xml:space="preserve">sing </w:t>
      </w:r>
      <w:r>
        <w:t xml:space="preserve">(1) </w:t>
      </w:r>
      <w:r w:rsidRPr="00C42DF6">
        <w:t>the repo</w:t>
      </w:r>
      <w:r>
        <w:t xml:space="preserve">rted phytate content in almonds, (2) </w:t>
      </w:r>
      <w:r w:rsidRPr="00C42DF6">
        <w:t xml:space="preserve">the </w:t>
      </w:r>
      <w:r>
        <w:t xml:space="preserve">weight </w:t>
      </w:r>
      <w:r w:rsidRPr="00C42DF6">
        <w:t>percentage of almond contained in nut-based beverage</w:t>
      </w:r>
      <w:r>
        <w:t xml:space="preserve"> (</w:t>
      </w:r>
      <w:r w:rsidRPr="00B643E1">
        <w:t>McCready 2011)</w:t>
      </w:r>
      <w:r>
        <w:t xml:space="preserve">, and (3) the mean consumption of almond-based beverage as reported in the 2011-12 </w:t>
      </w:r>
      <w:r w:rsidRPr="00332D57">
        <w:t>NNPAS component</w:t>
      </w:r>
      <w:r>
        <w:t xml:space="preserve"> of the Australian Health Survey (ABS 2014a) (Box 1 below). As shown, the approximated phytate intake was calculated to be 36 mg/day.</w:t>
      </w:r>
    </w:p>
    <w:p w14:paraId="6BE9CC63" w14:textId="77777777" w:rsidR="00792561" w:rsidRDefault="00792561" w:rsidP="00D20A1E">
      <w:pPr>
        <w:widowControl/>
      </w:pPr>
    </w:p>
    <w:p w14:paraId="13898DCE" w14:textId="77777777" w:rsidR="0023423F" w:rsidRDefault="00792561" w:rsidP="00D20A1E">
      <w:pPr>
        <w:widowControl/>
      </w:pPr>
      <w:r>
        <w:t xml:space="preserve">To indicate how this amount compares to potential phytate intakes from other foods, Box 1 also shows the estimated phytate intake from consumption of high fibre breakfast cereals. Using (1) the reported phytate content of high-fibre (40% bran) breakfast cereals </w:t>
      </w:r>
      <w:r w:rsidRPr="00B643E1">
        <w:t>(Reddy and Sathe 2001)</w:t>
      </w:r>
      <w:r>
        <w:t xml:space="preserve">, and (2) the mean breakfast cereal consumption as reported in recent Australian and New Zealand nutritional nutrition surveys, the approximate phytate intake from high fibre breakfast cereals was determined to be 515 mg/day. </w:t>
      </w:r>
      <w:r w:rsidR="0023423F">
        <w:br w:type="page"/>
      </w:r>
    </w:p>
    <w:p w14:paraId="0352D480" w14:textId="735EB66E" w:rsidR="00792561" w:rsidRDefault="004839B3" w:rsidP="00D20A1E">
      <w:pPr>
        <w:widowControl/>
      </w:pPr>
      <w:r>
        <w:lastRenderedPageBreak/>
        <w:t>Not taking into account any reduction that is likely to occur because of heat-processing, the intake of phytate from an almond-based beverage is</w:t>
      </w:r>
      <w:r w:rsidR="00353B84">
        <w:t xml:space="preserve"> estimated to be </w:t>
      </w:r>
      <w:r>
        <w:t>less than one-</w:t>
      </w:r>
      <w:r w:rsidR="00C1462C">
        <w:t>fourteenth</w:t>
      </w:r>
      <w:r>
        <w:t xml:space="preserve"> of that </w:t>
      </w:r>
      <w:r w:rsidR="00C1462C">
        <w:t xml:space="preserve">obtained </w:t>
      </w:r>
      <w:r>
        <w:t>from a high-fibre breakfast cereal.</w:t>
      </w:r>
      <w:r w:rsidR="00C1462C">
        <w:t xml:space="preserve"> In the context of a normal diet,</w:t>
      </w:r>
      <w:r w:rsidR="00650752">
        <w:t xml:space="preserve"> almond-based beverages make a relatively small contribution </w:t>
      </w:r>
      <w:r w:rsidR="00353B84">
        <w:t xml:space="preserve">to </w:t>
      </w:r>
      <w:r w:rsidR="00650752">
        <w:t>phytate</w:t>
      </w:r>
      <w:r w:rsidR="00353B84">
        <w:t xml:space="preserve"> intakes</w:t>
      </w:r>
      <w:r w:rsidR="00792561">
        <w:t>.</w:t>
      </w:r>
    </w:p>
    <w:p w14:paraId="1BAEE095" w14:textId="77777777" w:rsidR="00792561" w:rsidRDefault="00792561" w:rsidP="00D20A1E">
      <w:pPr>
        <w:widowControl/>
      </w:pPr>
    </w:p>
    <w:p w14:paraId="1EEA82CF" w14:textId="77777777" w:rsidR="00792561" w:rsidRDefault="00792561" w:rsidP="00D20A1E">
      <w:pPr>
        <w:pStyle w:val="FSTableTitle"/>
        <w:keepNext/>
        <w:keepLines/>
        <w:widowControl/>
      </w:pPr>
      <w:r w:rsidRPr="00312D3F">
        <w:t>Box</w:t>
      </w:r>
      <w:r w:rsidRPr="009E16B0">
        <w:t xml:space="preserve"> 1:</w:t>
      </w:r>
      <w:r>
        <w:tab/>
      </w:r>
      <w:r w:rsidRPr="009E16B0">
        <w:t>Comparison of estimate</w:t>
      </w:r>
      <w:r>
        <w:t>d</w:t>
      </w:r>
      <w:r w:rsidRPr="009E16B0">
        <w:t xml:space="preserve"> phytate intakes</w:t>
      </w:r>
      <w:r>
        <w:t xml:space="preserve"> from two dietary sources</w:t>
      </w:r>
    </w:p>
    <w:tbl>
      <w:tblPr>
        <w:tblStyle w:val="TableGrid"/>
        <w:tblW w:w="9378" w:type="dxa"/>
        <w:tblLook w:val="04A0" w:firstRow="1" w:lastRow="0" w:firstColumn="1" w:lastColumn="0" w:noHBand="0" w:noVBand="1"/>
      </w:tblPr>
      <w:tblGrid>
        <w:gridCol w:w="6228"/>
        <w:gridCol w:w="3150"/>
      </w:tblGrid>
      <w:tr w:rsidR="00792561" w14:paraId="5F4CF32E" w14:textId="77777777" w:rsidTr="00A004E1">
        <w:trPr>
          <w:trHeight w:val="283"/>
        </w:trPr>
        <w:tc>
          <w:tcPr>
            <w:tcW w:w="9378" w:type="dxa"/>
            <w:gridSpan w:val="2"/>
            <w:tcBorders>
              <w:bottom w:val="nil"/>
            </w:tcBorders>
          </w:tcPr>
          <w:p w14:paraId="25A8FF0A" w14:textId="77777777" w:rsidR="00792561" w:rsidRPr="00853655" w:rsidRDefault="00792561" w:rsidP="00D20A1E">
            <w:pPr>
              <w:keepNext/>
              <w:keepLines/>
              <w:widowControl/>
              <w:rPr>
                <w:i/>
                <w:sz w:val="18"/>
                <w:szCs w:val="18"/>
              </w:rPr>
            </w:pPr>
            <w:r w:rsidRPr="00853655">
              <w:rPr>
                <w:b/>
                <w:i/>
                <w:sz w:val="18"/>
                <w:szCs w:val="18"/>
              </w:rPr>
              <w:t xml:space="preserve">Estimated phytate intake from almond </w:t>
            </w:r>
            <w:r>
              <w:rPr>
                <w:b/>
                <w:i/>
                <w:sz w:val="18"/>
                <w:szCs w:val="18"/>
              </w:rPr>
              <w:t>based-beverage</w:t>
            </w:r>
            <w:r w:rsidRPr="00853655">
              <w:rPr>
                <w:b/>
                <w:i/>
                <w:sz w:val="18"/>
                <w:szCs w:val="18"/>
              </w:rPr>
              <w:t>:</w:t>
            </w:r>
          </w:p>
        </w:tc>
      </w:tr>
      <w:tr w:rsidR="00792561" w14:paraId="02B0D8D3" w14:textId="77777777" w:rsidTr="00A004E1">
        <w:trPr>
          <w:trHeight w:val="283"/>
        </w:trPr>
        <w:tc>
          <w:tcPr>
            <w:tcW w:w="6228" w:type="dxa"/>
            <w:tcBorders>
              <w:top w:val="nil"/>
              <w:bottom w:val="nil"/>
              <w:right w:val="nil"/>
            </w:tcBorders>
          </w:tcPr>
          <w:p w14:paraId="261A0FAB" w14:textId="77777777" w:rsidR="00792561" w:rsidRPr="00A132BD" w:rsidRDefault="00792561" w:rsidP="00D20A1E">
            <w:pPr>
              <w:keepNext/>
              <w:keepLines/>
              <w:widowControl/>
              <w:ind w:left="284"/>
              <w:rPr>
                <w:sz w:val="18"/>
                <w:szCs w:val="18"/>
              </w:rPr>
            </w:pPr>
            <w:r w:rsidRPr="00A132BD">
              <w:rPr>
                <w:sz w:val="18"/>
                <w:szCs w:val="18"/>
              </w:rPr>
              <w:t>(1) Almond phytate content (from</w:t>
            </w:r>
            <w:r>
              <w:rPr>
                <w:sz w:val="18"/>
                <w:szCs w:val="18"/>
              </w:rPr>
              <w:t xml:space="preserve"> </w:t>
            </w:r>
            <w:r w:rsidRPr="00332D57">
              <w:rPr>
                <w:sz w:val="18"/>
                <w:szCs w:val="18"/>
              </w:rPr>
              <w:fldChar w:fldCharType="begin"/>
            </w:r>
            <w:r w:rsidRPr="00332D57">
              <w:rPr>
                <w:sz w:val="18"/>
                <w:szCs w:val="18"/>
              </w:rPr>
              <w:instrText xml:space="preserve"> REF _Ref417473195 \h </w:instrText>
            </w:r>
            <w:r>
              <w:rPr>
                <w:sz w:val="18"/>
                <w:szCs w:val="18"/>
              </w:rPr>
              <w:instrText xml:space="preserve"> \* MERGEFORMAT </w:instrText>
            </w:r>
            <w:r w:rsidRPr="00332D57">
              <w:rPr>
                <w:sz w:val="18"/>
                <w:szCs w:val="18"/>
              </w:rPr>
            </w:r>
            <w:r w:rsidRPr="00332D57">
              <w:rPr>
                <w:sz w:val="18"/>
                <w:szCs w:val="18"/>
              </w:rPr>
              <w:fldChar w:fldCharType="separate"/>
            </w:r>
            <w:r w:rsidR="00047581" w:rsidRPr="00047581">
              <w:rPr>
                <w:sz w:val="18"/>
              </w:rPr>
              <w:t>Table 7</w:t>
            </w:r>
            <w:r w:rsidRPr="00332D57">
              <w:rPr>
                <w:sz w:val="18"/>
                <w:szCs w:val="18"/>
              </w:rPr>
              <w:fldChar w:fldCharType="end"/>
            </w:r>
            <w:r w:rsidRPr="00A132BD">
              <w:rPr>
                <w:sz w:val="18"/>
                <w:szCs w:val="18"/>
              </w:rPr>
              <w:t>)</w:t>
            </w:r>
          </w:p>
        </w:tc>
        <w:tc>
          <w:tcPr>
            <w:tcW w:w="3150" w:type="dxa"/>
            <w:tcBorders>
              <w:top w:val="nil"/>
              <w:left w:val="nil"/>
              <w:bottom w:val="nil"/>
            </w:tcBorders>
          </w:tcPr>
          <w:p w14:paraId="50D7D26F" w14:textId="77777777" w:rsidR="00792561" w:rsidRPr="00A132BD" w:rsidRDefault="00792561" w:rsidP="00D20A1E">
            <w:pPr>
              <w:keepNext/>
              <w:keepLines/>
              <w:widowControl/>
              <w:jc w:val="right"/>
              <w:rPr>
                <w:sz w:val="18"/>
                <w:szCs w:val="18"/>
              </w:rPr>
            </w:pPr>
            <w:r w:rsidRPr="00A132BD">
              <w:rPr>
                <w:sz w:val="18"/>
                <w:szCs w:val="18"/>
              </w:rPr>
              <w:t>1</w:t>
            </w:r>
            <w:r>
              <w:rPr>
                <w:sz w:val="18"/>
                <w:szCs w:val="18"/>
              </w:rPr>
              <w:t>,</w:t>
            </w:r>
            <w:r w:rsidRPr="00A132BD">
              <w:rPr>
                <w:sz w:val="18"/>
                <w:szCs w:val="18"/>
              </w:rPr>
              <w:t>138 mg phytate /100 g almond</w:t>
            </w:r>
          </w:p>
        </w:tc>
      </w:tr>
      <w:tr w:rsidR="00792561" w14:paraId="004A03EB" w14:textId="77777777" w:rsidTr="00A004E1">
        <w:trPr>
          <w:trHeight w:val="283"/>
        </w:trPr>
        <w:tc>
          <w:tcPr>
            <w:tcW w:w="6228" w:type="dxa"/>
            <w:tcBorders>
              <w:top w:val="nil"/>
              <w:bottom w:val="nil"/>
              <w:right w:val="nil"/>
            </w:tcBorders>
          </w:tcPr>
          <w:p w14:paraId="557ACABA" w14:textId="77777777" w:rsidR="00792561" w:rsidRPr="00A132BD" w:rsidRDefault="00792561" w:rsidP="00D20A1E">
            <w:pPr>
              <w:keepNext/>
              <w:keepLines/>
              <w:widowControl/>
              <w:ind w:left="284"/>
              <w:rPr>
                <w:sz w:val="18"/>
                <w:szCs w:val="18"/>
              </w:rPr>
            </w:pPr>
            <w:r w:rsidRPr="00A132BD">
              <w:rPr>
                <w:sz w:val="18"/>
                <w:szCs w:val="18"/>
              </w:rPr>
              <w:t xml:space="preserve">(2) </w:t>
            </w:r>
            <w:r>
              <w:rPr>
                <w:sz w:val="18"/>
                <w:szCs w:val="18"/>
              </w:rPr>
              <w:t xml:space="preserve">Percentage of almond in almond-based beverage </w:t>
            </w:r>
            <w:r w:rsidRPr="00B643E1">
              <w:rPr>
                <w:sz w:val="18"/>
                <w:szCs w:val="18"/>
              </w:rPr>
              <w:t>(McCready 2011)</w:t>
            </w:r>
            <w:r w:rsidRPr="00B643E1" w:rsidDel="009D0705">
              <w:rPr>
                <w:sz w:val="18"/>
                <w:szCs w:val="18"/>
              </w:rPr>
              <w:t xml:space="preserve"> </w:t>
            </w:r>
          </w:p>
        </w:tc>
        <w:tc>
          <w:tcPr>
            <w:tcW w:w="3150" w:type="dxa"/>
            <w:tcBorders>
              <w:top w:val="nil"/>
              <w:left w:val="nil"/>
              <w:bottom w:val="nil"/>
            </w:tcBorders>
          </w:tcPr>
          <w:p w14:paraId="62C024A0" w14:textId="77777777" w:rsidR="00792561" w:rsidRPr="00A132BD" w:rsidRDefault="00792561" w:rsidP="00D20A1E">
            <w:pPr>
              <w:keepNext/>
              <w:keepLines/>
              <w:widowControl/>
              <w:jc w:val="right"/>
              <w:rPr>
                <w:sz w:val="18"/>
                <w:szCs w:val="18"/>
              </w:rPr>
            </w:pPr>
            <w:r w:rsidRPr="00A132BD">
              <w:rPr>
                <w:sz w:val="18"/>
                <w:szCs w:val="18"/>
              </w:rPr>
              <w:t>2%</w:t>
            </w:r>
          </w:p>
        </w:tc>
      </w:tr>
      <w:tr w:rsidR="00792561" w14:paraId="279DA572" w14:textId="77777777" w:rsidTr="00A004E1">
        <w:trPr>
          <w:trHeight w:val="283"/>
        </w:trPr>
        <w:tc>
          <w:tcPr>
            <w:tcW w:w="6228" w:type="dxa"/>
            <w:tcBorders>
              <w:top w:val="nil"/>
              <w:bottom w:val="nil"/>
              <w:right w:val="nil"/>
            </w:tcBorders>
          </w:tcPr>
          <w:p w14:paraId="3284F02A" w14:textId="77777777" w:rsidR="00792561" w:rsidRPr="00A132BD" w:rsidRDefault="00792561" w:rsidP="00D20A1E">
            <w:pPr>
              <w:keepNext/>
              <w:keepLines/>
              <w:widowControl/>
              <w:ind w:left="709" w:hanging="425"/>
              <w:rPr>
                <w:sz w:val="18"/>
                <w:szCs w:val="18"/>
              </w:rPr>
            </w:pPr>
            <w:r>
              <w:rPr>
                <w:sz w:val="18"/>
                <w:szCs w:val="18"/>
              </w:rPr>
              <w:t xml:space="preserve">(3) </w:t>
            </w:r>
            <w:r w:rsidRPr="00A132BD">
              <w:rPr>
                <w:sz w:val="18"/>
                <w:szCs w:val="18"/>
              </w:rPr>
              <w:t>Estimated phytate in almond</w:t>
            </w:r>
            <w:r>
              <w:rPr>
                <w:sz w:val="18"/>
                <w:szCs w:val="18"/>
              </w:rPr>
              <w:t>-based beverage</w:t>
            </w:r>
            <w:r w:rsidRPr="00A132BD">
              <w:rPr>
                <w:sz w:val="18"/>
                <w:szCs w:val="18"/>
              </w:rPr>
              <w:t xml:space="preserve"> = (1) </w:t>
            </w:r>
            <w:r>
              <w:rPr>
                <w:sz w:val="18"/>
                <w:szCs w:val="18"/>
              </w:rPr>
              <w:t>x</w:t>
            </w:r>
            <w:r w:rsidRPr="00A132BD">
              <w:rPr>
                <w:sz w:val="18"/>
                <w:szCs w:val="18"/>
              </w:rPr>
              <w:t xml:space="preserve"> (2)/100</w:t>
            </w:r>
          </w:p>
        </w:tc>
        <w:tc>
          <w:tcPr>
            <w:tcW w:w="3150" w:type="dxa"/>
            <w:tcBorders>
              <w:top w:val="nil"/>
              <w:left w:val="nil"/>
              <w:bottom w:val="nil"/>
            </w:tcBorders>
          </w:tcPr>
          <w:p w14:paraId="30FE5207" w14:textId="77777777" w:rsidR="00792561" w:rsidRPr="00A132BD" w:rsidRDefault="00792561" w:rsidP="00D20A1E">
            <w:pPr>
              <w:keepNext/>
              <w:keepLines/>
              <w:widowControl/>
              <w:jc w:val="right"/>
              <w:rPr>
                <w:sz w:val="18"/>
                <w:szCs w:val="18"/>
              </w:rPr>
            </w:pPr>
            <w:r w:rsidRPr="00A132BD">
              <w:rPr>
                <w:sz w:val="18"/>
                <w:szCs w:val="18"/>
              </w:rPr>
              <w:t>22.8 mg phytate /</w:t>
            </w:r>
            <w:r>
              <w:rPr>
                <w:sz w:val="18"/>
                <w:szCs w:val="18"/>
              </w:rPr>
              <w:t xml:space="preserve">100 g </w:t>
            </w:r>
          </w:p>
        </w:tc>
      </w:tr>
      <w:tr w:rsidR="00792561" w14:paraId="654E7FE9" w14:textId="77777777" w:rsidTr="00A004E1">
        <w:trPr>
          <w:trHeight w:val="283"/>
        </w:trPr>
        <w:tc>
          <w:tcPr>
            <w:tcW w:w="6228" w:type="dxa"/>
            <w:tcBorders>
              <w:top w:val="nil"/>
              <w:bottom w:val="nil"/>
              <w:right w:val="nil"/>
            </w:tcBorders>
          </w:tcPr>
          <w:p w14:paraId="65E0C427" w14:textId="77777777" w:rsidR="00792561" w:rsidRPr="00A132BD" w:rsidRDefault="00792561" w:rsidP="00D20A1E">
            <w:pPr>
              <w:keepNext/>
              <w:keepLines/>
              <w:widowControl/>
              <w:ind w:left="284"/>
              <w:rPr>
                <w:sz w:val="18"/>
                <w:szCs w:val="18"/>
              </w:rPr>
            </w:pPr>
            <w:r>
              <w:rPr>
                <w:sz w:val="18"/>
                <w:szCs w:val="18"/>
              </w:rPr>
              <w:t>(4</w:t>
            </w:r>
            <w:r w:rsidRPr="00A132BD">
              <w:rPr>
                <w:sz w:val="18"/>
                <w:szCs w:val="18"/>
              </w:rPr>
              <w:t>) Mean consumption almond</w:t>
            </w:r>
            <w:r>
              <w:rPr>
                <w:sz w:val="18"/>
                <w:szCs w:val="18"/>
              </w:rPr>
              <w:t>-based beverage</w:t>
            </w:r>
            <w:r w:rsidRPr="00853655">
              <w:rPr>
                <w:sz w:val="18"/>
                <w:szCs w:val="18"/>
                <w:vertAlign w:val="superscript"/>
              </w:rPr>
              <w:t>1</w:t>
            </w:r>
          </w:p>
        </w:tc>
        <w:tc>
          <w:tcPr>
            <w:tcW w:w="3150" w:type="dxa"/>
            <w:tcBorders>
              <w:top w:val="nil"/>
              <w:left w:val="nil"/>
              <w:bottom w:val="nil"/>
            </w:tcBorders>
          </w:tcPr>
          <w:p w14:paraId="7AD1FFC7" w14:textId="77777777" w:rsidR="00792561" w:rsidRPr="00A132BD" w:rsidRDefault="00792561" w:rsidP="00D20A1E">
            <w:pPr>
              <w:keepNext/>
              <w:keepLines/>
              <w:widowControl/>
              <w:ind w:left="567"/>
              <w:jc w:val="right"/>
              <w:rPr>
                <w:sz w:val="18"/>
                <w:szCs w:val="18"/>
              </w:rPr>
            </w:pPr>
            <w:r w:rsidRPr="00A132BD">
              <w:rPr>
                <w:sz w:val="18"/>
                <w:szCs w:val="18"/>
              </w:rPr>
              <w:t>159 g /day</w:t>
            </w:r>
          </w:p>
        </w:tc>
      </w:tr>
      <w:tr w:rsidR="00792561" w14:paraId="329D4B44" w14:textId="77777777" w:rsidTr="00A004E1">
        <w:trPr>
          <w:trHeight w:val="283"/>
        </w:trPr>
        <w:tc>
          <w:tcPr>
            <w:tcW w:w="6228" w:type="dxa"/>
            <w:tcBorders>
              <w:top w:val="nil"/>
              <w:bottom w:val="nil"/>
              <w:right w:val="nil"/>
            </w:tcBorders>
          </w:tcPr>
          <w:p w14:paraId="0F8DE8D6" w14:textId="77777777" w:rsidR="00792561" w:rsidRPr="00853655" w:rsidRDefault="00792561" w:rsidP="00D20A1E">
            <w:pPr>
              <w:keepNext/>
              <w:keepLines/>
              <w:widowControl/>
              <w:ind w:left="709" w:hanging="425"/>
              <w:rPr>
                <w:b/>
                <w:sz w:val="18"/>
                <w:szCs w:val="18"/>
              </w:rPr>
            </w:pPr>
            <w:r w:rsidRPr="00853655">
              <w:rPr>
                <w:b/>
                <w:sz w:val="18"/>
                <w:szCs w:val="18"/>
              </w:rPr>
              <w:t xml:space="preserve">(5) </w:t>
            </w:r>
            <w:r w:rsidRPr="00C849CC">
              <w:rPr>
                <w:b/>
                <w:sz w:val="17"/>
                <w:szCs w:val="17"/>
              </w:rPr>
              <w:t>Estimated phytate intake from almond-based beverage = (3) x (4)</w:t>
            </w:r>
          </w:p>
        </w:tc>
        <w:tc>
          <w:tcPr>
            <w:tcW w:w="3150" w:type="dxa"/>
            <w:tcBorders>
              <w:top w:val="nil"/>
              <w:left w:val="nil"/>
              <w:bottom w:val="nil"/>
            </w:tcBorders>
          </w:tcPr>
          <w:p w14:paraId="522A0F64" w14:textId="77777777" w:rsidR="00792561" w:rsidRPr="00853655" w:rsidRDefault="00792561" w:rsidP="00D20A1E">
            <w:pPr>
              <w:keepNext/>
              <w:keepLines/>
              <w:widowControl/>
              <w:ind w:left="567"/>
              <w:jc w:val="right"/>
              <w:rPr>
                <w:b/>
                <w:sz w:val="18"/>
                <w:szCs w:val="18"/>
              </w:rPr>
            </w:pPr>
            <w:r w:rsidRPr="00853655">
              <w:rPr>
                <w:b/>
                <w:sz w:val="18"/>
                <w:szCs w:val="18"/>
              </w:rPr>
              <w:t>36 mg phytate/day</w:t>
            </w:r>
          </w:p>
        </w:tc>
      </w:tr>
      <w:tr w:rsidR="00792561" w:rsidRPr="00FE032E" w14:paraId="6333071E" w14:textId="77777777" w:rsidTr="00A004E1">
        <w:trPr>
          <w:trHeight w:val="283"/>
        </w:trPr>
        <w:tc>
          <w:tcPr>
            <w:tcW w:w="6228" w:type="dxa"/>
            <w:tcBorders>
              <w:bottom w:val="nil"/>
              <w:right w:val="nil"/>
            </w:tcBorders>
          </w:tcPr>
          <w:p w14:paraId="575D44AC" w14:textId="77777777" w:rsidR="00792561" w:rsidRPr="00FE032E" w:rsidRDefault="00792561" w:rsidP="00D20A1E">
            <w:pPr>
              <w:keepNext/>
              <w:keepLines/>
              <w:widowControl/>
              <w:rPr>
                <w:i/>
                <w:sz w:val="18"/>
                <w:szCs w:val="18"/>
              </w:rPr>
            </w:pPr>
            <w:r w:rsidRPr="00853655">
              <w:rPr>
                <w:i/>
                <w:sz w:val="18"/>
                <w:szCs w:val="18"/>
              </w:rPr>
              <w:t xml:space="preserve"> </w:t>
            </w:r>
            <w:r w:rsidRPr="00FE032E">
              <w:rPr>
                <w:b/>
                <w:i/>
                <w:sz w:val="18"/>
                <w:szCs w:val="18"/>
              </w:rPr>
              <w:t>Estimated phytate intake from high fibre breakfast cereal</w:t>
            </w:r>
          </w:p>
        </w:tc>
        <w:tc>
          <w:tcPr>
            <w:tcW w:w="3150" w:type="dxa"/>
            <w:tcBorders>
              <w:left w:val="nil"/>
              <w:bottom w:val="nil"/>
            </w:tcBorders>
          </w:tcPr>
          <w:p w14:paraId="30205393" w14:textId="77777777" w:rsidR="00792561" w:rsidRPr="00FE032E" w:rsidRDefault="00792561" w:rsidP="00D20A1E">
            <w:pPr>
              <w:keepNext/>
              <w:keepLines/>
              <w:widowControl/>
              <w:rPr>
                <w:sz w:val="18"/>
                <w:szCs w:val="18"/>
              </w:rPr>
            </w:pPr>
          </w:p>
        </w:tc>
      </w:tr>
      <w:tr w:rsidR="00792561" w:rsidRPr="00FE032E" w14:paraId="263E21C5" w14:textId="77777777" w:rsidTr="00A004E1">
        <w:trPr>
          <w:trHeight w:val="283"/>
        </w:trPr>
        <w:tc>
          <w:tcPr>
            <w:tcW w:w="6228" w:type="dxa"/>
            <w:tcBorders>
              <w:top w:val="nil"/>
              <w:bottom w:val="nil"/>
              <w:right w:val="nil"/>
            </w:tcBorders>
          </w:tcPr>
          <w:p w14:paraId="37A4E623" w14:textId="77777777" w:rsidR="00792561" w:rsidRPr="00FE032E" w:rsidRDefault="00792561" w:rsidP="00D20A1E">
            <w:pPr>
              <w:keepNext/>
              <w:keepLines/>
              <w:widowControl/>
              <w:ind w:left="284"/>
              <w:rPr>
                <w:sz w:val="18"/>
                <w:szCs w:val="18"/>
              </w:rPr>
            </w:pPr>
            <w:r w:rsidRPr="00FE032E">
              <w:rPr>
                <w:sz w:val="18"/>
                <w:szCs w:val="18"/>
              </w:rPr>
              <w:t>(1) Phytate in 40% bran breakfast cereal (Reddy and Sathe 2001)</w:t>
            </w:r>
          </w:p>
        </w:tc>
        <w:tc>
          <w:tcPr>
            <w:tcW w:w="3150" w:type="dxa"/>
            <w:tcBorders>
              <w:top w:val="nil"/>
              <w:left w:val="nil"/>
              <w:bottom w:val="nil"/>
            </w:tcBorders>
          </w:tcPr>
          <w:p w14:paraId="4C1D9731" w14:textId="77777777" w:rsidR="00792561" w:rsidRPr="00FE032E" w:rsidRDefault="00792561" w:rsidP="00D20A1E">
            <w:pPr>
              <w:keepNext/>
              <w:keepLines/>
              <w:widowControl/>
              <w:jc w:val="right"/>
              <w:rPr>
                <w:sz w:val="18"/>
                <w:szCs w:val="18"/>
              </w:rPr>
            </w:pPr>
            <w:r w:rsidRPr="00FE032E">
              <w:rPr>
                <w:sz w:val="18"/>
                <w:szCs w:val="18"/>
              </w:rPr>
              <w:t>1,120 mg phytate /100 g cereal</w:t>
            </w:r>
          </w:p>
        </w:tc>
      </w:tr>
      <w:tr w:rsidR="00792561" w:rsidRPr="00FE032E" w14:paraId="4C7FF3FC" w14:textId="77777777" w:rsidTr="00A004E1">
        <w:trPr>
          <w:trHeight w:val="283"/>
        </w:trPr>
        <w:tc>
          <w:tcPr>
            <w:tcW w:w="6228" w:type="dxa"/>
            <w:tcBorders>
              <w:top w:val="nil"/>
              <w:bottom w:val="nil"/>
              <w:right w:val="nil"/>
            </w:tcBorders>
          </w:tcPr>
          <w:p w14:paraId="38A25CC8" w14:textId="77777777" w:rsidR="00792561" w:rsidRPr="00FE032E" w:rsidRDefault="00792561" w:rsidP="00D20A1E">
            <w:pPr>
              <w:keepNext/>
              <w:keepLines/>
              <w:widowControl/>
              <w:ind w:left="284"/>
              <w:rPr>
                <w:sz w:val="18"/>
                <w:szCs w:val="18"/>
              </w:rPr>
            </w:pPr>
            <w:r w:rsidRPr="00FE032E">
              <w:rPr>
                <w:sz w:val="18"/>
                <w:szCs w:val="18"/>
              </w:rPr>
              <w:t>(2) Mean breakfast cereal consumption</w:t>
            </w:r>
            <w:r w:rsidRPr="00FE032E">
              <w:rPr>
                <w:sz w:val="18"/>
                <w:szCs w:val="18"/>
                <w:vertAlign w:val="superscript"/>
              </w:rPr>
              <w:t xml:space="preserve"> 2</w:t>
            </w:r>
          </w:p>
        </w:tc>
        <w:tc>
          <w:tcPr>
            <w:tcW w:w="3150" w:type="dxa"/>
            <w:tcBorders>
              <w:top w:val="nil"/>
              <w:left w:val="nil"/>
              <w:bottom w:val="nil"/>
            </w:tcBorders>
          </w:tcPr>
          <w:p w14:paraId="47CE32CE" w14:textId="77777777" w:rsidR="00792561" w:rsidRPr="00FE032E" w:rsidRDefault="00792561" w:rsidP="00D20A1E">
            <w:pPr>
              <w:keepNext/>
              <w:keepLines/>
              <w:widowControl/>
              <w:jc w:val="right"/>
              <w:rPr>
                <w:sz w:val="18"/>
                <w:szCs w:val="18"/>
              </w:rPr>
            </w:pPr>
            <w:r w:rsidRPr="00FE032E">
              <w:rPr>
                <w:sz w:val="18"/>
                <w:szCs w:val="18"/>
              </w:rPr>
              <w:t>46 g cereal/ day</w:t>
            </w:r>
          </w:p>
        </w:tc>
      </w:tr>
      <w:tr w:rsidR="00792561" w:rsidRPr="00FE032E" w14:paraId="28372FD2" w14:textId="77777777" w:rsidTr="00A004E1">
        <w:trPr>
          <w:trHeight w:val="283"/>
        </w:trPr>
        <w:tc>
          <w:tcPr>
            <w:tcW w:w="6228" w:type="dxa"/>
            <w:tcBorders>
              <w:top w:val="nil"/>
              <w:right w:val="nil"/>
            </w:tcBorders>
          </w:tcPr>
          <w:p w14:paraId="63BFDAA5" w14:textId="77777777" w:rsidR="00792561" w:rsidRPr="00FE032E" w:rsidRDefault="00792561" w:rsidP="00D20A1E">
            <w:pPr>
              <w:keepNext/>
              <w:keepLines/>
              <w:widowControl/>
              <w:ind w:left="709" w:hanging="425"/>
              <w:rPr>
                <w:b/>
                <w:sz w:val="18"/>
                <w:szCs w:val="18"/>
              </w:rPr>
            </w:pPr>
            <w:r w:rsidRPr="00FE032E">
              <w:rPr>
                <w:b/>
                <w:sz w:val="18"/>
                <w:szCs w:val="18"/>
              </w:rPr>
              <w:t xml:space="preserve">(3) Estimated phytate intake from breakfast cereal = (1) x (2) </w:t>
            </w:r>
          </w:p>
        </w:tc>
        <w:tc>
          <w:tcPr>
            <w:tcW w:w="3150" w:type="dxa"/>
            <w:tcBorders>
              <w:top w:val="nil"/>
              <w:left w:val="nil"/>
            </w:tcBorders>
          </w:tcPr>
          <w:p w14:paraId="5233CC73" w14:textId="77777777" w:rsidR="00792561" w:rsidRPr="00FE032E" w:rsidRDefault="00792561" w:rsidP="00D20A1E">
            <w:pPr>
              <w:keepNext/>
              <w:keepLines/>
              <w:widowControl/>
              <w:jc w:val="right"/>
              <w:rPr>
                <w:b/>
                <w:sz w:val="18"/>
                <w:szCs w:val="18"/>
              </w:rPr>
            </w:pPr>
            <w:r w:rsidRPr="00FE032E">
              <w:rPr>
                <w:b/>
                <w:sz w:val="18"/>
                <w:szCs w:val="18"/>
              </w:rPr>
              <w:t>515 mg phytate/day</w:t>
            </w:r>
          </w:p>
        </w:tc>
      </w:tr>
    </w:tbl>
    <w:p w14:paraId="68324F2C" w14:textId="77777777" w:rsidR="00792561" w:rsidRPr="00853655" w:rsidRDefault="00792561" w:rsidP="00D20A1E">
      <w:pPr>
        <w:keepNext/>
        <w:keepLines/>
        <w:widowControl/>
        <w:rPr>
          <w:sz w:val="18"/>
          <w:szCs w:val="18"/>
        </w:rPr>
      </w:pPr>
      <w:r w:rsidRPr="00FE032E">
        <w:rPr>
          <w:sz w:val="18"/>
          <w:szCs w:val="18"/>
          <w:vertAlign w:val="superscript"/>
        </w:rPr>
        <w:t>1</w:t>
      </w:r>
      <w:r w:rsidRPr="00FE032E">
        <w:rPr>
          <w:sz w:val="18"/>
          <w:szCs w:val="18"/>
        </w:rPr>
        <w:t xml:space="preserve"> </w:t>
      </w:r>
      <w:r>
        <w:rPr>
          <w:sz w:val="18"/>
          <w:szCs w:val="18"/>
        </w:rPr>
        <w:t xml:space="preserve">Consumers only, </w:t>
      </w:r>
      <w:r w:rsidRPr="00FE032E">
        <w:rPr>
          <w:sz w:val="18"/>
          <w:szCs w:val="18"/>
        </w:rPr>
        <w:t>2011-12 NNPAS (ABS 2014</w:t>
      </w:r>
      <w:r>
        <w:rPr>
          <w:sz w:val="18"/>
          <w:szCs w:val="18"/>
        </w:rPr>
        <w:t>a</w:t>
      </w:r>
      <w:r w:rsidRPr="00FE032E">
        <w:rPr>
          <w:sz w:val="18"/>
          <w:szCs w:val="18"/>
        </w:rPr>
        <w:t>).</w:t>
      </w:r>
    </w:p>
    <w:p w14:paraId="6D143A8D" w14:textId="77777777" w:rsidR="00792561" w:rsidRDefault="00792561" w:rsidP="00D20A1E">
      <w:pPr>
        <w:keepNext/>
        <w:keepLines/>
        <w:widowControl/>
      </w:pPr>
      <w:r w:rsidRPr="00A20F2A">
        <w:rPr>
          <w:sz w:val="18"/>
          <w:szCs w:val="18"/>
          <w:vertAlign w:val="superscript"/>
        </w:rPr>
        <w:t>2</w:t>
      </w:r>
      <w:r w:rsidRPr="00A20F2A">
        <w:rPr>
          <w:sz w:val="18"/>
          <w:szCs w:val="18"/>
        </w:rPr>
        <w:t xml:space="preserve"> Averaged from several Australian and New Zealand surveys, as reported in </w:t>
      </w:r>
      <w:r w:rsidRPr="00B643E1">
        <w:rPr>
          <w:sz w:val="18"/>
          <w:szCs w:val="18"/>
        </w:rPr>
        <w:t>FSANZ 2015</w:t>
      </w:r>
      <w:r>
        <w:rPr>
          <w:sz w:val="18"/>
          <w:szCs w:val="18"/>
        </w:rPr>
        <w:t>,</w:t>
      </w:r>
      <w:r w:rsidRPr="00A20F2A">
        <w:rPr>
          <w:sz w:val="18"/>
          <w:szCs w:val="18"/>
        </w:rPr>
        <w:t xml:space="preserve"> where range of breakfast cereal consumption was 26-59 g/day.</w:t>
      </w:r>
    </w:p>
    <w:p w14:paraId="3C171ED2" w14:textId="77777777" w:rsidR="00792561" w:rsidRDefault="00792561" w:rsidP="00D20A1E">
      <w:pPr>
        <w:widowControl/>
      </w:pPr>
    </w:p>
    <w:p w14:paraId="5E0631D5" w14:textId="77777777" w:rsidR="00792561" w:rsidRDefault="00792561" w:rsidP="00D20A1E">
      <w:pPr>
        <w:pStyle w:val="ListParagraph"/>
        <w:widowControl/>
        <w:ind w:left="0"/>
      </w:pPr>
      <w:r>
        <w:t xml:space="preserve">Using a similar calculation and the reported almond oxalate content in </w:t>
      </w:r>
      <w:r>
        <w:fldChar w:fldCharType="begin"/>
      </w:r>
      <w:r>
        <w:instrText xml:space="preserve"> REF _Ref417473195 \h </w:instrText>
      </w:r>
      <w:r>
        <w:fldChar w:fldCharType="separate"/>
      </w:r>
      <w:r w:rsidR="00047581">
        <w:t xml:space="preserve">Table </w:t>
      </w:r>
      <w:r w:rsidR="00047581">
        <w:rPr>
          <w:noProof/>
        </w:rPr>
        <w:t>7</w:t>
      </w:r>
      <w:r>
        <w:fldChar w:fldCharType="end"/>
      </w:r>
      <w:r>
        <w:t>, oxalate content of almond-based beverage was estimated to be 9.4 mg/100 g (see Step 3 in Box 2 below).</w:t>
      </w:r>
    </w:p>
    <w:p w14:paraId="2EB2A686" w14:textId="77777777" w:rsidR="00792561" w:rsidRDefault="00792561" w:rsidP="00D20A1E">
      <w:pPr>
        <w:pStyle w:val="ListParagraph"/>
        <w:widowControl/>
        <w:ind w:left="0"/>
      </w:pPr>
    </w:p>
    <w:p w14:paraId="16AB3CF9" w14:textId="18CF4B59" w:rsidR="00792561" w:rsidRDefault="00C03610" w:rsidP="00D20A1E">
      <w:pPr>
        <w:pStyle w:val="FSTableTitle"/>
        <w:keepNext/>
        <w:keepLines/>
        <w:widowControl/>
      </w:pPr>
      <w:r>
        <w:t>B</w:t>
      </w:r>
      <w:r w:rsidR="00792561" w:rsidRPr="00312D3F">
        <w:t>ox</w:t>
      </w:r>
      <w:r w:rsidR="00792561">
        <w:t xml:space="preserve"> 2</w:t>
      </w:r>
      <w:r w:rsidR="00792561" w:rsidRPr="009E16B0">
        <w:t>:</w:t>
      </w:r>
      <w:r w:rsidR="00792561">
        <w:tab/>
        <w:t>Estimation o</w:t>
      </w:r>
      <w:r w:rsidR="00792561" w:rsidRPr="009E16B0">
        <w:t xml:space="preserve">f </w:t>
      </w:r>
      <w:r w:rsidR="00792561">
        <w:t>oxalate</w:t>
      </w:r>
      <w:r w:rsidR="00792561" w:rsidRPr="009E16B0">
        <w:t xml:space="preserve"> </w:t>
      </w:r>
      <w:r w:rsidR="00792561">
        <w:t>content of almond-based beverage</w:t>
      </w:r>
    </w:p>
    <w:tbl>
      <w:tblPr>
        <w:tblStyle w:val="TableGrid"/>
        <w:tblW w:w="9378" w:type="dxa"/>
        <w:tblBorders>
          <w:insideH w:val="none" w:sz="0" w:space="0" w:color="auto"/>
          <w:insideV w:val="none" w:sz="0" w:space="0" w:color="auto"/>
        </w:tblBorders>
        <w:tblLook w:val="04A0" w:firstRow="1" w:lastRow="0" w:firstColumn="1" w:lastColumn="0" w:noHBand="0" w:noVBand="1"/>
      </w:tblPr>
      <w:tblGrid>
        <w:gridCol w:w="6228"/>
        <w:gridCol w:w="3150"/>
      </w:tblGrid>
      <w:tr w:rsidR="00792561" w14:paraId="63D6BDA4" w14:textId="77777777" w:rsidTr="00A004E1">
        <w:trPr>
          <w:trHeight w:val="283"/>
        </w:trPr>
        <w:tc>
          <w:tcPr>
            <w:tcW w:w="9378" w:type="dxa"/>
            <w:gridSpan w:val="2"/>
          </w:tcPr>
          <w:p w14:paraId="424ECB36" w14:textId="77777777" w:rsidR="00792561" w:rsidRPr="00853655" w:rsidRDefault="00792561" w:rsidP="00D20A1E">
            <w:pPr>
              <w:keepNext/>
              <w:keepLines/>
              <w:widowControl/>
              <w:rPr>
                <w:i/>
                <w:sz w:val="18"/>
                <w:szCs w:val="18"/>
              </w:rPr>
            </w:pPr>
            <w:r w:rsidRPr="00853655">
              <w:rPr>
                <w:b/>
                <w:i/>
                <w:sz w:val="18"/>
                <w:szCs w:val="18"/>
              </w:rPr>
              <w:t xml:space="preserve">Estimated </w:t>
            </w:r>
            <w:r>
              <w:rPr>
                <w:b/>
                <w:i/>
                <w:sz w:val="18"/>
                <w:szCs w:val="18"/>
              </w:rPr>
              <w:t>oxalate</w:t>
            </w:r>
            <w:r w:rsidRPr="00853655">
              <w:rPr>
                <w:b/>
                <w:i/>
                <w:sz w:val="18"/>
                <w:szCs w:val="18"/>
              </w:rPr>
              <w:t xml:space="preserve"> intake from almond </w:t>
            </w:r>
            <w:r>
              <w:rPr>
                <w:b/>
                <w:i/>
                <w:sz w:val="18"/>
                <w:szCs w:val="18"/>
              </w:rPr>
              <w:t>based-beverage</w:t>
            </w:r>
            <w:r w:rsidRPr="00853655">
              <w:rPr>
                <w:b/>
                <w:i/>
                <w:sz w:val="18"/>
                <w:szCs w:val="18"/>
              </w:rPr>
              <w:t>:</w:t>
            </w:r>
          </w:p>
        </w:tc>
      </w:tr>
      <w:tr w:rsidR="00792561" w14:paraId="34203993" w14:textId="77777777" w:rsidTr="00A004E1">
        <w:trPr>
          <w:trHeight w:val="283"/>
        </w:trPr>
        <w:tc>
          <w:tcPr>
            <w:tcW w:w="6228" w:type="dxa"/>
          </w:tcPr>
          <w:p w14:paraId="4036336A" w14:textId="77777777" w:rsidR="00792561" w:rsidRPr="00A132BD" w:rsidRDefault="00792561" w:rsidP="00D20A1E">
            <w:pPr>
              <w:keepNext/>
              <w:keepLines/>
              <w:widowControl/>
              <w:ind w:left="284"/>
              <w:rPr>
                <w:sz w:val="18"/>
                <w:szCs w:val="18"/>
              </w:rPr>
            </w:pPr>
            <w:r w:rsidRPr="00A132BD">
              <w:rPr>
                <w:sz w:val="18"/>
                <w:szCs w:val="18"/>
              </w:rPr>
              <w:t xml:space="preserve">(1) Almond </w:t>
            </w:r>
            <w:r>
              <w:rPr>
                <w:sz w:val="18"/>
                <w:szCs w:val="18"/>
              </w:rPr>
              <w:t>oxalate</w:t>
            </w:r>
            <w:r w:rsidRPr="00A132BD">
              <w:rPr>
                <w:sz w:val="18"/>
                <w:szCs w:val="18"/>
              </w:rPr>
              <w:t xml:space="preserve"> content (from</w:t>
            </w:r>
            <w:r>
              <w:rPr>
                <w:sz w:val="18"/>
                <w:szCs w:val="18"/>
              </w:rPr>
              <w:t xml:space="preserve"> </w:t>
            </w:r>
            <w:r w:rsidRPr="00332D57">
              <w:rPr>
                <w:sz w:val="18"/>
                <w:szCs w:val="18"/>
              </w:rPr>
              <w:fldChar w:fldCharType="begin"/>
            </w:r>
            <w:r w:rsidRPr="00332D57">
              <w:rPr>
                <w:sz w:val="18"/>
                <w:szCs w:val="18"/>
              </w:rPr>
              <w:instrText xml:space="preserve"> REF _Ref417473195 \h </w:instrText>
            </w:r>
            <w:r>
              <w:rPr>
                <w:sz w:val="18"/>
                <w:szCs w:val="18"/>
              </w:rPr>
              <w:instrText xml:space="preserve"> \* MERGEFORMAT </w:instrText>
            </w:r>
            <w:r w:rsidRPr="00332D57">
              <w:rPr>
                <w:sz w:val="18"/>
                <w:szCs w:val="18"/>
              </w:rPr>
            </w:r>
            <w:r w:rsidRPr="00332D57">
              <w:rPr>
                <w:sz w:val="18"/>
                <w:szCs w:val="18"/>
              </w:rPr>
              <w:fldChar w:fldCharType="separate"/>
            </w:r>
            <w:r w:rsidR="00047581" w:rsidRPr="00047581">
              <w:rPr>
                <w:sz w:val="18"/>
              </w:rPr>
              <w:t>Table 7</w:t>
            </w:r>
            <w:r w:rsidRPr="00332D57">
              <w:rPr>
                <w:sz w:val="18"/>
                <w:szCs w:val="18"/>
              </w:rPr>
              <w:fldChar w:fldCharType="end"/>
            </w:r>
            <w:r w:rsidRPr="00A132BD">
              <w:rPr>
                <w:sz w:val="18"/>
                <w:szCs w:val="18"/>
              </w:rPr>
              <w:t>)</w:t>
            </w:r>
          </w:p>
        </w:tc>
        <w:tc>
          <w:tcPr>
            <w:tcW w:w="3150" w:type="dxa"/>
          </w:tcPr>
          <w:p w14:paraId="7A5F467E" w14:textId="77777777" w:rsidR="00792561" w:rsidRPr="00A132BD" w:rsidRDefault="00792561" w:rsidP="00D20A1E">
            <w:pPr>
              <w:keepNext/>
              <w:keepLines/>
              <w:widowControl/>
              <w:jc w:val="right"/>
              <w:rPr>
                <w:sz w:val="18"/>
                <w:szCs w:val="18"/>
              </w:rPr>
            </w:pPr>
            <w:r>
              <w:rPr>
                <w:sz w:val="18"/>
                <w:szCs w:val="18"/>
              </w:rPr>
              <w:t>469</w:t>
            </w:r>
            <w:r w:rsidRPr="00A132BD">
              <w:rPr>
                <w:sz w:val="18"/>
                <w:szCs w:val="18"/>
              </w:rPr>
              <w:t xml:space="preserve"> mg </w:t>
            </w:r>
            <w:r>
              <w:rPr>
                <w:sz w:val="18"/>
                <w:szCs w:val="18"/>
              </w:rPr>
              <w:t>oxalate</w:t>
            </w:r>
            <w:r w:rsidRPr="00A132BD">
              <w:rPr>
                <w:sz w:val="18"/>
                <w:szCs w:val="18"/>
              </w:rPr>
              <w:t xml:space="preserve"> /100 g almond</w:t>
            </w:r>
          </w:p>
        </w:tc>
      </w:tr>
      <w:tr w:rsidR="00792561" w14:paraId="62366EDB" w14:textId="77777777" w:rsidTr="00A004E1">
        <w:trPr>
          <w:trHeight w:val="510"/>
        </w:trPr>
        <w:tc>
          <w:tcPr>
            <w:tcW w:w="6228" w:type="dxa"/>
          </w:tcPr>
          <w:p w14:paraId="534D8229" w14:textId="77777777" w:rsidR="00792561" w:rsidRPr="00A132BD" w:rsidRDefault="00792561" w:rsidP="00D20A1E">
            <w:pPr>
              <w:keepNext/>
              <w:keepLines/>
              <w:widowControl/>
              <w:ind w:left="284"/>
              <w:rPr>
                <w:sz w:val="18"/>
                <w:szCs w:val="18"/>
              </w:rPr>
            </w:pPr>
            <w:r w:rsidRPr="00A132BD">
              <w:rPr>
                <w:sz w:val="18"/>
                <w:szCs w:val="18"/>
              </w:rPr>
              <w:t xml:space="preserve">(2) </w:t>
            </w:r>
            <w:r>
              <w:rPr>
                <w:sz w:val="18"/>
                <w:szCs w:val="18"/>
              </w:rPr>
              <w:t xml:space="preserve">Percentage of almond in almond-based beverage (w/w) </w:t>
            </w:r>
            <w:r w:rsidRPr="00B643E1">
              <w:rPr>
                <w:sz w:val="18"/>
                <w:szCs w:val="18"/>
              </w:rPr>
              <w:t>(McCready 2011)</w:t>
            </w:r>
          </w:p>
        </w:tc>
        <w:tc>
          <w:tcPr>
            <w:tcW w:w="3150" w:type="dxa"/>
          </w:tcPr>
          <w:p w14:paraId="5F873CDA" w14:textId="77777777" w:rsidR="00792561" w:rsidRPr="00A132BD" w:rsidRDefault="00792561" w:rsidP="00D20A1E">
            <w:pPr>
              <w:keepNext/>
              <w:keepLines/>
              <w:widowControl/>
              <w:jc w:val="right"/>
              <w:rPr>
                <w:sz w:val="18"/>
                <w:szCs w:val="18"/>
              </w:rPr>
            </w:pPr>
            <w:r w:rsidRPr="00A132BD">
              <w:rPr>
                <w:sz w:val="18"/>
                <w:szCs w:val="18"/>
              </w:rPr>
              <w:t>2%</w:t>
            </w:r>
          </w:p>
        </w:tc>
      </w:tr>
      <w:tr w:rsidR="00792561" w14:paraId="079B897B" w14:textId="77777777" w:rsidTr="00A004E1">
        <w:trPr>
          <w:trHeight w:val="283"/>
        </w:trPr>
        <w:tc>
          <w:tcPr>
            <w:tcW w:w="6228" w:type="dxa"/>
          </w:tcPr>
          <w:p w14:paraId="5D47A478" w14:textId="77777777" w:rsidR="00792561" w:rsidRPr="00A132BD" w:rsidRDefault="00792561" w:rsidP="00D20A1E">
            <w:pPr>
              <w:keepNext/>
              <w:keepLines/>
              <w:widowControl/>
              <w:ind w:left="709" w:hanging="425"/>
              <w:rPr>
                <w:sz w:val="18"/>
                <w:szCs w:val="18"/>
              </w:rPr>
            </w:pPr>
            <w:r>
              <w:rPr>
                <w:sz w:val="18"/>
                <w:szCs w:val="18"/>
              </w:rPr>
              <w:t>(3) Estimated oxalate</w:t>
            </w:r>
            <w:r w:rsidRPr="00A132BD">
              <w:rPr>
                <w:sz w:val="18"/>
                <w:szCs w:val="18"/>
              </w:rPr>
              <w:t xml:space="preserve"> in almond</w:t>
            </w:r>
            <w:r>
              <w:rPr>
                <w:sz w:val="18"/>
                <w:szCs w:val="18"/>
              </w:rPr>
              <w:t>-based beverage</w:t>
            </w:r>
            <w:r w:rsidRPr="00A132BD">
              <w:rPr>
                <w:sz w:val="18"/>
                <w:szCs w:val="18"/>
              </w:rPr>
              <w:t xml:space="preserve"> = (1) </w:t>
            </w:r>
            <w:r>
              <w:rPr>
                <w:sz w:val="18"/>
                <w:szCs w:val="18"/>
              </w:rPr>
              <w:t>x</w:t>
            </w:r>
            <w:r w:rsidRPr="00A132BD">
              <w:rPr>
                <w:sz w:val="18"/>
                <w:szCs w:val="18"/>
              </w:rPr>
              <w:t xml:space="preserve"> (2)/100</w:t>
            </w:r>
          </w:p>
        </w:tc>
        <w:tc>
          <w:tcPr>
            <w:tcW w:w="3150" w:type="dxa"/>
          </w:tcPr>
          <w:p w14:paraId="207D726D" w14:textId="77777777" w:rsidR="00792561" w:rsidRPr="00A132BD" w:rsidRDefault="00792561" w:rsidP="00D20A1E">
            <w:pPr>
              <w:keepNext/>
              <w:keepLines/>
              <w:widowControl/>
              <w:jc w:val="right"/>
              <w:rPr>
                <w:sz w:val="18"/>
                <w:szCs w:val="18"/>
              </w:rPr>
            </w:pPr>
            <w:r>
              <w:rPr>
                <w:sz w:val="18"/>
                <w:szCs w:val="18"/>
              </w:rPr>
              <w:t>9.4</w:t>
            </w:r>
            <w:r w:rsidRPr="00A132BD">
              <w:rPr>
                <w:sz w:val="18"/>
                <w:szCs w:val="18"/>
              </w:rPr>
              <w:t xml:space="preserve"> mg </w:t>
            </w:r>
            <w:r>
              <w:rPr>
                <w:sz w:val="18"/>
                <w:szCs w:val="18"/>
              </w:rPr>
              <w:t>oxalat</w:t>
            </w:r>
            <w:r w:rsidRPr="00A132BD">
              <w:rPr>
                <w:sz w:val="18"/>
                <w:szCs w:val="18"/>
              </w:rPr>
              <w:t>e /</w:t>
            </w:r>
            <w:r>
              <w:rPr>
                <w:sz w:val="18"/>
                <w:szCs w:val="18"/>
              </w:rPr>
              <w:t>100 g</w:t>
            </w:r>
          </w:p>
        </w:tc>
      </w:tr>
      <w:tr w:rsidR="00792561" w14:paraId="04E7FF9A" w14:textId="77777777" w:rsidTr="00A004E1">
        <w:trPr>
          <w:trHeight w:val="283"/>
        </w:trPr>
        <w:tc>
          <w:tcPr>
            <w:tcW w:w="6228" w:type="dxa"/>
          </w:tcPr>
          <w:p w14:paraId="74F5EAE7" w14:textId="77777777" w:rsidR="00792561" w:rsidRDefault="00792561" w:rsidP="00D20A1E">
            <w:pPr>
              <w:keepNext/>
              <w:keepLines/>
              <w:widowControl/>
              <w:ind w:left="709" w:hanging="425"/>
              <w:rPr>
                <w:sz w:val="18"/>
                <w:szCs w:val="18"/>
              </w:rPr>
            </w:pPr>
          </w:p>
        </w:tc>
        <w:tc>
          <w:tcPr>
            <w:tcW w:w="3150" w:type="dxa"/>
          </w:tcPr>
          <w:p w14:paraId="19419B1A" w14:textId="77777777" w:rsidR="00792561" w:rsidRDefault="00792561" w:rsidP="00D20A1E">
            <w:pPr>
              <w:keepNext/>
              <w:keepLines/>
              <w:widowControl/>
              <w:jc w:val="right"/>
              <w:rPr>
                <w:sz w:val="18"/>
                <w:szCs w:val="18"/>
              </w:rPr>
            </w:pPr>
            <w:r>
              <w:rPr>
                <w:sz w:val="18"/>
                <w:szCs w:val="18"/>
              </w:rPr>
              <w:t>0.11</w:t>
            </w:r>
            <w:r w:rsidRPr="00A132BD">
              <w:rPr>
                <w:sz w:val="18"/>
                <w:szCs w:val="18"/>
              </w:rPr>
              <w:t xml:space="preserve"> m</w:t>
            </w:r>
            <w:r>
              <w:rPr>
                <w:sz w:val="18"/>
                <w:szCs w:val="18"/>
              </w:rPr>
              <w:t>mol</w:t>
            </w:r>
            <w:r w:rsidRPr="00A132BD">
              <w:rPr>
                <w:sz w:val="18"/>
                <w:szCs w:val="18"/>
              </w:rPr>
              <w:t xml:space="preserve"> </w:t>
            </w:r>
            <w:r>
              <w:rPr>
                <w:sz w:val="18"/>
                <w:szCs w:val="18"/>
              </w:rPr>
              <w:t>oxalat</w:t>
            </w:r>
            <w:r w:rsidRPr="00A132BD">
              <w:rPr>
                <w:sz w:val="18"/>
                <w:szCs w:val="18"/>
              </w:rPr>
              <w:t>e /</w:t>
            </w:r>
            <w:r>
              <w:rPr>
                <w:sz w:val="18"/>
                <w:szCs w:val="18"/>
              </w:rPr>
              <w:t>100 g</w:t>
            </w:r>
          </w:p>
        </w:tc>
      </w:tr>
      <w:tr w:rsidR="00792561" w14:paraId="659C2348" w14:textId="77777777" w:rsidTr="00A004E1">
        <w:trPr>
          <w:trHeight w:val="283"/>
        </w:trPr>
        <w:tc>
          <w:tcPr>
            <w:tcW w:w="6228" w:type="dxa"/>
          </w:tcPr>
          <w:p w14:paraId="5345718A" w14:textId="77777777" w:rsidR="00792561" w:rsidRPr="00A132BD" w:rsidRDefault="00792561" w:rsidP="00D20A1E">
            <w:pPr>
              <w:keepNext/>
              <w:keepLines/>
              <w:widowControl/>
              <w:ind w:left="284"/>
              <w:rPr>
                <w:sz w:val="18"/>
                <w:szCs w:val="18"/>
              </w:rPr>
            </w:pPr>
            <w:r>
              <w:rPr>
                <w:sz w:val="18"/>
                <w:szCs w:val="18"/>
              </w:rPr>
              <w:t>(4</w:t>
            </w:r>
            <w:r w:rsidRPr="00A132BD">
              <w:rPr>
                <w:sz w:val="18"/>
                <w:szCs w:val="18"/>
              </w:rPr>
              <w:t>) Mean consumption almond</w:t>
            </w:r>
            <w:r>
              <w:rPr>
                <w:sz w:val="18"/>
                <w:szCs w:val="18"/>
              </w:rPr>
              <w:t>-based beverage</w:t>
            </w:r>
            <w:r w:rsidRPr="00853655">
              <w:rPr>
                <w:sz w:val="18"/>
                <w:szCs w:val="18"/>
                <w:vertAlign w:val="superscript"/>
              </w:rPr>
              <w:t>1</w:t>
            </w:r>
          </w:p>
        </w:tc>
        <w:tc>
          <w:tcPr>
            <w:tcW w:w="3150" w:type="dxa"/>
          </w:tcPr>
          <w:p w14:paraId="2A21969F" w14:textId="77777777" w:rsidR="00792561" w:rsidRPr="00A132BD" w:rsidRDefault="00792561" w:rsidP="00D20A1E">
            <w:pPr>
              <w:keepNext/>
              <w:keepLines/>
              <w:widowControl/>
              <w:ind w:left="567"/>
              <w:jc w:val="right"/>
              <w:rPr>
                <w:sz w:val="18"/>
                <w:szCs w:val="18"/>
              </w:rPr>
            </w:pPr>
            <w:r w:rsidRPr="00A132BD">
              <w:rPr>
                <w:sz w:val="18"/>
                <w:szCs w:val="18"/>
              </w:rPr>
              <w:t>159 g /day</w:t>
            </w:r>
          </w:p>
        </w:tc>
      </w:tr>
      <w:tr w:rsidR="00792561" w14:paraId="0E219F1B" w14:textId="77777777" w:rsidTr="00A004E1">
        <w:trPr>
          <w:trHeight w:val="283"/>
        </w:trPr>
        <w:tc>
          <w:tcPr>
            <w:tcW w:w="6228" w:type="dxa"/>
          </w:tcPr>
          <w:p w14:paraId="320272F9" w14:textId="77777777" w:rsidR="00792561" w:rsidRPr="00853655" w:rsidRDefault="00792561" w:rsidP="00D20A1E">
            <w:pPr>
              <w:keepNext/>
              <w:keepLines/>
              <w:widowControl/>
              <w:ind w:left="709" w:hanging="425"/>
              <w:rPr>
                <w:b/>
                <w:sz w:val="18"/>
                <w:szCs w:val="18"/>
              </w:rPr>
            </w:pPr>
            <w:r w:rsidRPr="00853655">
              <w:rPr>
                <w:b/>
                <w:sz w:val="18"/>
                <w:szCs w:val="18"/>
              </w:rPr>
              <w:t xml:space="preserve">(5) </w:t>
            </w:r>
            <w:r w:rsidRPr="00C849CC">
              <w:rPr>
                <w:b/>
                <w:sz w:val="17"/>
                <w:szCs w:val="17"/>
              </w:rPr>
              <w:t xml:space="preserve">Estimated </w:t>
            </w:r>
            <w:r>
              <w:rPr>
                <w:b/>
                <w:sz w:val="17"/>
                <w:szCs w:val="17"/>
              </w:rPr>
              <w:t>oxal</w:t>
            </w:r>
            <w:r w:rsidRPr="00C849CC">
              <w:rPr>
                <w:b/>
                <w:sz w:val="17"/>
                <w:szCs w:val="17"/>
              </w:rPr>
              <w:t>ate intake from almond-based beverage = (3) x (4)</w:t>
            </w:r>
          </w:p>
        </w:tc>
        <w:tc>
          <w:tcPr>
            <w:tcW w:w="3150" w:type="dxa"/>
          </w:tcPr>
          <w:p w14:paraId="230190ED" w14:textId="77777777" w:rsidR="00792561" w:rsidRPr="00853655" w:rsidRDefault="00792561" w:rsidP="00D20A1E">
            <w:pPr>
              <w:keepNext/>
              <w:keepLines/>
              <w:widowControl/>
              <w:ind w:left="567"/>
              <w:jc w:val="right"/>
              <w:rPr>
                <w:b/>
                <w:sz w:val="18"/>
                <w:szCs w:val="18"/>
              </w:rPr>
            </w:pPr>
            <w:r>
              <w:rPr>
                <w:b/>
                <w:sz w:val="18"/>
                <w:szCs w:val="18"/>
              </w:rPr>
              <w:t>15</w:t>
            </w:r>
            <w:r w:rsidRPr="00853655">
              <w:rPr>
                <w:b/>
                <w:sz w:val="18"/>
                <w:szCs w:val="18"/>
              </w:rPr>
              <w:t xml:space="preserve"> mg </w:t>
            </w:r>
            <w:r>
              <w:rPr>
                <w:b/>
                <w:sz w:val="18"/>
                <w:szCs w:val="18"/>
              </w:rPr>
              <w:t>oxal</w:t>
            </w:r>
            <w:r w:rsidRPr="00853655">
              <w:rPr>
                <w:b/>
                <w:sz w:val="18"/>
                <w:szCs w:val="18"/>
              </w:rPr>
              <w:t>ate/day</w:t>
            </w:r>
          </w:p>
        </w:tc>
      </w:tr>
    </w:tbl>
    <w:p w14:paraId="3AE17B77" w14:textId="77777777" w:rsidR="00792561" w:rsidRPr="00853655" w:rsidRDefault="00792561" w:rsidP="00D20A1E">
      <w:pPr>
        <w:keepNext/>
        <w:keepLines/>
        <w:widowControl/>
        <w:rPr>
          <w:sz w:val="18"/>
          <w:szCs w:val="18"/>
        </w:rPr>
      </w:pPr>
      <w:r w:rsidRPr="00FE032E">
        <w:rPr>
          <w:sz w:val="18"/>
          <w:szCs w:val="18"/>
          <w:vertAlign w:val="superscript"/>
        </w:rPr>
        <w:t>1</w:t>
      </w:r>
      <w:r w:rsidRPr="00FE032E">
        <w:rPr>
          <w:sz w:val="18"/>
          <w:szCs w:val="18"/>
        </w:rPr>
        <w:t xml:space="preserve"> </w:t>
      </w:r>
      <w:r>
        <w:rPr>
          <w:sz w:val="18"/>
          <w:szCs w:val="18"/>
        </w:rPr>
        <w:t xml:space="preserve">Consumers only, </w:t>
      </w:r>
      <w:r w:rsidRPr="00FE032E">
        <w:rPr>
          <w:sz w:val="18"/>
          <w:szCs w:val="18"/>
        </w:rPr>
        <w:t>2011-12 NNPAS (ABS 2014</w:t>
      </w:r>
      <w:r>
        <w:rPr>
          <w:sz w:val="18"/>
          <w:szCs w:val="18"/>
        </w:rPr>
        <w:t>a</w:t>
      </w:r>
      <w:r w:rsidRPr="00FE032E">
        <w:rPr>
          <w:sz w:val="18"/>
          <w:szCs w:val="18"/>
        </w:rPr>
        <w:t>).</w:t>
      </w:r>
    </w:p>
    <w:p w14:paraId="73332416" w14:textId="4C11C2D0" w:rsidR="004E6FAB" w:rsidRDefault="00792561" w:rsidP="00D20A1E">
      <w:pPr>
        <w:widowControl/>
      </w:pPr>
      <w:r w:rsidRPr="00A20F2A">
        <w:rPr>
          <w:sz w:val="18"/>
          <w:szCs w:val="18"/>
          <w:vertAlign w:val="superscript"/>
        </w:rPr>
        <w:t>2</w:t>
      </w:r>
      <w:r w:rsidRPr="00A20F2A">
        <w:rPr>
          <w:sz w:val="18"/>
          <w:szCs w:val="18"/>
        </w:rPr>
        <w:t xml:space="preserve"> Averaged from several Australian and New Zealand surveys, as reported in </w:t>
      </w:r>
      <w:r w:rsidRPr="00B643E1">
        <w:rPr>
          <w:sz w:val="18"/>
          <w:szCs w:val="18"/>
        </w:rPr>
        <w:t>FSANZ 2015</w:t>
      </w:r>
      <w:r>
        <w:rPr>
          <w:sz w:val="18"/>
          <w:szCs w:val="18"/>
        </w:rPr>
        <w:t>,</w:t>
      </w:r>
      <w:r w:rsidRPr="00A20F2A">
        <w:rPr>
          <w:sz w:val="18"/>
          <w:szCs w:val="18"/>
        </w:rPr>
        <w:t xml:space="preserve"> where range of breakfast cereal consumption was 26-59 g/day.</w:t>
      </w:r>
    </w:p>
    <w:p w14:paraId="7C831923" w14:textId="08EAC2CC" w:rsidR="00792561" w:rsidRDefault="00AF4FCB" w:rsidP="00D20A1E">
      <w:pPr>
        <w:pStyle w:val="Heading2"/>
        <w:keepNext/>
        <w:keepLines/>
      </w:pPr>
      <w:bookmarkStart w:id="111" w:name="_Toc427672179"/>
      <w:bookmarkStart w:id="112" w:name="_Toc427678245"/>
      <w:r>
        <w:t>7.6</w:t>
      </w:r>
      <w:r>
        <w:tab/>
      </w:r>
      <w:r w:rsidR="00792561">
        <w:t>Amount of phytate and oxalate needed to impact on nutritional status</w:t>
      </w:r>
      <w:bookmarkEnd w:id="111"/>
      <w:bookmarkEnd w:id="112"/>
    </w:p>
    <w:p w14:paraId="4C684C93" w14:textId="7547411A" w:rsidR="0023423F" w:rsidRDefault="00792561" w:rsidP="00AF4FCB">
      <w:r>
        <w:t xml:space="preserve">Because of the relatively large amounts of phytate in plant-based foods that are fed to production animals (e.g. pigs and chickens), the anti-nutritive effects of phytate have been studied to a great extent. These studies </w:t>
      </w:r>
      <w:r w:rsidRPr="0029190F">
        <w:t xml:space="preserve">have shown that anti-nutritive effects of phytate involves strong </w:t>
      </w:r>
      <w:r w:rsidR="00C1462C">
        <w:t>sequestering</w:t>
      </w:r>
      <w:r w:rsidR="00C1462C" w:rsidRPr="0029190F">
        <w:t xml:space="preserve"> </w:t>
      </w:r>
      <w:r w:rsidRPr="0029190F">
        <w:t xml:space="preserve">of minerals to form insoluble complexes </w:t>
      </w:r>
      <w:r>
        <w:t>which</w:t>
      </w:r>
      <w:r w:rsidRPr="0029190F">
        <w:t xml:space="preserve"> are poorly absorbed in the gastrointestinal tract, as well as unavailability of </w:t>
      </w:r>
      <w:r>
        <w:t>phosphorus contained in phytate</w:t>
      </w:r>
      <w:r>
        <w:rPr>
          <w:rStyle w:val="FootnoteReference"/>
        </w:rPr>
        <w:footnoteReference w:id="7"/>
      </w:r>
      <w:r>
        <w:t xml:space="preserve">. </w:t>
      </w:r>
      <w:r w:rsidRPr="0029190F">
        <w:t>High phytate, as a result, has been associated with mineral deficiencies, poor growth, and</w:t>
      </w:r>
      <w:r w:rsidRPr="00A20F2A">
        <w:t xml:space="preserve"> </w:t>
      </w:r>
      <w:r w:rsidRPr="0029190F">
        <w:t>bone defects such as rickets</w:t>
      </w:r>
      <w:r>
        <w:t xml:space="preserve"> </w:t>
      </w:r>
      <w:r w:rsidRPr="0004259A">
        <w:t>(Reddy et al. 1982)</w:t>
      </w:r>
      <w:r w:rsidRPr="0029190F">
        <w:t xml:space="preserve">. It is important to note that these anti-nutritive effects represent extreme conditions </w:t>
      </w:r>
      <w:r>
        <w:t>since production</w:t>
      </w:r>
      <w:r w:rsidRPr="0029190F">
        <w:t xml:space="preserve"> animals are likely to receive the </w:t>
      </w:r>
      <w:r>
        <w:t>phytate-</w:t>
      </w:r>
      <w:r w:rsidRPr="0029190F">
        <w:t>containing food as a s</w:t>
      </w:r>
      <w:r>
        <w:t xml:space="preserve">ingle </w:t>
      </w:r>
      <w:r w:rsidRPr="0029190F">
        <w:t>source of nutrients</w:t>
      </w:r>
      <w:r>
        <w:t>.</w:t>
      </w:r>
      <w:r w:rsidR="0023423F">
        <w:br w:type="page"/>
      </w:r>
    </w:p>
    <w:p w14:paraId="2F872D36" w14:textId="62FFAB45" w:rsidR="00792561" w:rsidRDefault="00792561" w:rsidP="00D20A1E">
      <w:pPr>
        <w:widowControl/>
      </w:pPr>
      <w:r>
        <w:lastRenderedPageBreak/>
        <w:t xml:space="preserve">Reduced </w:t>
      </w:r>
      <w:r w:rsidRPr="000B5CBA">
        <w:t xml:space="preserve">mineral absorption and </w:t>
      </w:r>
      <w:r>
        <w:t>phosphorus un</w:t>
      </w:r>
      <w:r w:rsidRPr="000B5CBA">
        <w:t xml:space="preserve">availability </w:t>
      </w:r>
      <w:r>
        <w:t xml:space="preserve">has also been reported in humans consuming diets that include a significant proportion of phytate-containing food </w:t>
      </w:r>
      <w:r w:rsidRPr="0004259A">
        <w:t xml:space="preserve">(Reinhold 1971; Reinhold </w:t>
      </w:r>
      <w:r w:rsidRPr="0004259A">
        <w:rPr>
          <w:i/>
        </w:rPr>
        <w:t>et al.</w:t>
      </w:r>
      <w:r w:rsidRPr="0004259A">
        <w:t xml:space="preserve"> 1973; Reddy </w:t>
      </w:r>
      <w:r w:rsidRPr="0004259A">
        <w:rPr>
          <w:i/>
        </w:rPr>
        <w:t>et al.</w:t>
      </w:r>
      <w:r w:rsidRPr="0004259A">
        <w:t xml:space="preserve"> 1982)</w:t>
      </w:r>
      <w:r>
        <w:t xml:space="preserve">. For example, wholemeal unleavened flat bread (e.g. lavosh, chapatti) consumed by people living in </w:t>
      </w:r>
      <w:r w:rsidRPr="000B694C">
        <w:t>Iran</w:t>
      </w:r>
      <w:r>
        <w:t xml:space="preserve"> has been reported to have a mean phytate concentration of</w:t>
      </w:r>
      <w:r w:rsidRPr="000B5CBA">
        <w:t xml:space="preserve"> 300</w:t>
      </w:r>
      <w:r>
        <w:t>–65</w:t>
      </w:r>
      <w:r w:rsidRPr="000B5CBA">
        <w:t>0</w:t>
      </w:r>
      <w:r>
        <w:t> </w:t>
      </w:r>
      <w:r w:rsidRPr="000B5CBA">
        <w:t>mg per 100 g</w:t>
      </w:r>
      <w:r>
        <w:t xml:space="preserve"> (</w:t>
      </w:r>
      <w:r w:rsidRPr="0004259A">
        <w:t xml:space="preserve">Reinhold 1971; Reinhold </w:t>
      </w:r>
      <w:r w:rsidRPr="0004259A">
        <w:rPr>
          <w:i/>
        </w:rPr>
        <w:t>et al.</w:t>
      </w:r>
      <w:r w:rsidRPr="0004259A">
        <w:t xml:space="preserve"> 1973</w:t>
      </w:r>
      <w:r>
        <w:t xml:space="preserve">). At least 50% of their energy requirement was met by consumption of the unleavened bread. Assuming the </w:t>
      </w:r>
      <w:r w:rsidRPr="002844CB">
        <w:t xml:space="preserve">average adult energy intake </w:t>
      </w:r>
      <w:r>
        <w:t>was</w:t>
      </w:r>
      <w:r w:rsidRPr="002844CB">
        <w:t xml:space="preserve"> 8</w:t>
      </w:r>
      <w:r>
        <w:t>,</w:t>
      </w:r>
      <w:r w:rsidRPr="002844CB">
        <w:t>700</w:t>
      </w:r>
      <w:r>
        <w:t> </w:t>
      </w:r>
      <w:r w:rsidR="003225C1">
        <w:t>kJ/day (section S12-4 of Schedule 4 – Nutrition Information Panels</w:t>
      </w:r>
      <w:r w:rsidRPr="003225C1">
        <w:t>)</w:t>
      </w:r>
      <w:r w:rsidRPr="002844CB">
        <w:t xml:space="preserve"> and the energy density of chapatti bread </w:t>
      </w:r>
      <w:r>
        <w:t xml:space="preserve">of 906 kJ/100 g </w:t>
      </w:r>
      <w:r w:rsidRPr="0004259A">
        <w:rPr>
          <w:noProof/>
        </w:rPr>
        <w:t>(FSANZ 2010)</w:t>
      </w:r>
      <w:r>
        <w:t xml:space="preserve">, their potential phytate intake was approximately1.4–3.4 g of phytate per day, which is higher than the estimated phytate intakes shown in Box 1 from an almond-based beverage or from a high fibre breakfast cereal. Daily intakes of phytate in this range has been shown to lead to imbalanced calcium and zinc absorption, although the effect is reversible by reducing phytate in the diet </w:t>
      </w:r>
      <w:r w:rsidRPr="0004259A">
        <w:t xml:space="preserve">(Reinhold 1971; Reinhold </w:t>
      </w:r>
      <w:r w:rsidRPr="0004259A">
        <w:rPr>
          <w:i/>
        </w:rPr>
        <w:t>et al.</w:t>
      </w:r>
      <w:r w:rsidRPr="0004259A">
        <w:t xml:space="preserve"> 1973)</w:t>
      </w:r>
      <w:r>
        <w:t>.</w:t>
      </w:r>
    </w:p>
    <w:p w14:paraId="6FDE3C98" w14:textId="77777777" w:rsidR="00792561" w:rsidRDefault="00792561" w:rsidP="00D20A1E">
      <w:pPr>
        <w:widowControl/>
      </w:pPr>
    </w:p>
    <w:p w14:paraId="3BC7741A" w14:textId="77777777" w:rsidR="00792561" w:rsidRDefault="00792561" w:rsidP="00D20A1E">
      <w:pPr>
        <w:widowControl/>
      </w:pPr>
      <w:r>
        <w:t>Anti-nutritional effects of phytate in populations consuming balanced diets containing relatively small amounts of phytate have not been reported. Most e</w:t>
      </w:r>
      <w:r w:rsidRPr="00416419">
        <w:t xml:space="preserve">xperimental studies in humans indicate that phytate has only minor </w:t>
      </w:r>
      <w:r>
        <w:t>e</w:t>
      </w:r>
      <w:r w:rsidRPr="00416419">
        <w:t xml:space="preserve">ffects on nutritional status because mineral requirements are readily met from other food </w:t>
      </w:r>
      <w:r>
        <w:t xml:space="preserve">sources (such as meat) </w:t>
      </w:r>
      <w:r w:rsidRPr="0004259A">
        <w:t>(Liener 1994)</w:t>
      </w:r>
      <w:r>
        <w:t xml:space="preserve">. For the same reason, it is likely that the amounts of oxalate needed to </w:t>
      </w:r>
      <w:r w:rsidRPr="00547F4D">
        <w:t xml:space="preserve">affect </w:t>
      </w:r>
      <w:r>
        <w:t xml:space="preserve">the </w:t>
      </w:r>
      <w:r w:rsidRPr="00547F4D">
        <w:t>nutritional status</w:t>
      </w:r>
      <w:r>
        <w:t xml:space="preserve"> (e.g. calcium bioavailability) would be very high compared to the amount potentially present in a nut- or seed-based beverage.</w:t>
      </w:r>
    </w:p>
    <w:p w14:paraId="6DBDDE09" w14:textId="77777777" w:rsidR="00792561" w:rsidRDefault="00792561" w:rsidP="00D20A1E">
      <w:pPr>
        <w:widowControl/>
      </w:pPr>
    </w:p>
    <w:p w14:paraId="27FC023F" w14:textId="77777777" w:rsidR="00792561" w:rsidRDefault="00792561" w:rsidP="00D20A1E">
      <w:pPr>
        <w:widowControl/>
      </w:pPr>
      <w:r>
        <w:t>Calcium can bind to oxalate and make it unavailable for absorption. Oxalate, at a maximum, binds in an equal molar ratio with calcium. Thus, the estimated molar content of oxalate in an almond-based beverage (0.11 mmol/100 g (see Box 2)), corresponds to 4.3 mg calcium/100 g (0.11 mmol calcium/100 g). This amount represents less than 2% of the proposed amount of calcium (240 mg/100 mL) to be contained in almond-based beverage following fortification (see Section C.2 on page 30 of Application). Therefore, it can be concluded that oxalate in nut- and seed-based beverages will have negligible impact on calcium bioavailability.</w:t>
      </w:r>
    </w:p>
    <w:p w14:paraId="09EEF1D9" w14:textId="0C9BD142" w:rsidR="00792561" w:rsidRDefault="00AF4FCB" w:rsidP="00D20A1E">
      <w:pPr>
        <w:pStyle w:val="Heading2"/>
        <w:keepNext/>
        <w:keepLines/>
      </w:pPr>
      <w:bookmarkStart w:id="113" w:name="_Toc427672180"/>
      <w:bookmarkStart w:id="114" w:name="_Toc427678246"/>
      <w:r>
        <w:t>7.7</w:t>
      </w:r>
      <w:r>
        <w:tab/>
      </w:r>
      <w:r w:rsidR="00792561">
        <w:t>Studies on absorption of added vitamins and minerals from plant-derived beverages</w:t>
      </w:r>
      <w:bookmarkEnd w:id="113"/>
      <w:bookmarkEnd w:id="114"/>
    </w:p>
    <w:p w14:paraId="2EC0C5D5" w14:textId="02B25F4E" w:rsidR="00792561" w:rsidRDefault="00792561" w:rsidP="00D20A1E">
      <w:pPr>
        <w:keepNext/>
        <w:keepLines/>
        <w:widowControl/>
      </w:pPr>
      <w:r>
        <w:t>The Applicant provided two studies on nutrient absorption for soy-based beverage as evidence that added vitamins and minerals are effectively absorbed.</w:t>
      </w:r>
    </w:p>
    <w:p w14:paraId="34725878" w14:textId="7DC3CA80" w:rsidR="00792561" w:rsidRDefault="00513153" w:rsidP="00D20A1E">
      <w:pPr>
        <w:pStyle w:val="Heading3"/>
        <w:keepNext w:val="0"/>
        <w:widowControl/>
      </w:pPr>
      <w:bookmarkStart w:id="115" w:name="_Toc427672181"/>
      <w:bookmarkStart w:id="116" w:name="_Toc427678247"/>
      <w:r>
        <w:t>7.7.1</w:t>
      </w:r>
      <w:r>
        <w:tab/>
      </w:r>
      <w:r w:rsidR="00792561">
        <w:t>Calcium absorption</w:t>
      </w:r>
      <w:bookmarkEnd w:id="115"/>
      <w:bookmarkEnd w:id="116"/>
    </w:p>
    <w:p w14:paraId="21B8B023" w14:textId="77777777" w:rsidR="00792561" w:rsidRDefault="00792561" w:rsidP="00D20A1E">
      <w:pPr>
        <w:widowControl/>
      </w:pPr>
      <w:r w:rsidRPr="00347B3E">
        <w:t>The first stud</w:t>
      </w:r>
      <w:r>
        <w:t xml:space="preserve">y </w:t>
      </w:r>
      <w:r w:rsidRPr="0004259A">
        <w:t>(Tang et al. 2010)</w:t>
      </w:r>
      <w:r w:rsidRPr="0004259A" w:rsidDel="009D0705">
        <w:t xml:space="preserve"> </w:t>
      </w:r>
      <w:r w:rsidRPr="00347B3E">
        <w:t>examine</w:t>
      </w:r>
      <w:r>
        <w:t>d</w:t>
      </w:r>
      <w:r w:rsidRPr="00347B3E">
        <w:t xml:space="preserve"> the </w:t>
      </w:r>
      <w:r>
        <w:t>absorption of calcium from fortified soy-based beverages relative to cow’s milk in osteopenic post-menopausal women. This was a small study (12 participants) using a commercially available fortified soy-based beverage which contained calcium at the same level as that in cow’s milk but did not indicate the form of the calcium fortificant. The study determined that the average calcium absorption rate (</w:t>
      </w:r>
      <w:r w:rsidRPr="00D7293D">
        <w:t>as measured hourly in plasma after ingestion of radiolabelled calcium)</w:t>
      </w:r>
      <w:r>
        <w:t xml:space="preserve"> was the same for cow’s milk versus fortified soy milk.</w:t>
      </w:r>
    </w:p>
    <w:p w14:paraId="4549FF90" w14:textId="77777777" w:rsidR="00792561" w:rsidRDefault="00792561" w:rsidP="00D20A1E">
      <w:pPr>
        <w:widowControl/>
      </w:pPr>
    </w:p>
    <w:p w14:paraId="3B0FB167" w14:textId="77777777" w:rsidR="0023423F" w:rsidRDefault="00792561" w:rsidP="00D20A1E">
      <w:pPr>
        <w:widowControl/>
      </w:pPr>
      <w:r>
        <w:t xml:space="preserve">The Tang </w:t>
      </w:r>
      <w:r w:rsidRPr="00805DEF">
        <w:rPr>
          <w:i/>
        </w:rPr>
        <w:t>et al.</w:t>
      </w:r>
      <w:r>
        <w:t xml:space="preserve"> study is consistent with previous studies that showed that fortification of soy milk with calcium carbonate showed the same absorption rate in healthy subjects as cow’s milk containing the same level of calcium </w:t>
      </w:r>
      <w:r w:rsidRPr="0004259A">
        <w:t xml:space="preserve">(Heaney </w:t>
      </w:r>
      <w:r w:rsidRPr="0004259A">
        <w:rPr>
          <w:i/>
        </w:rPr>
        <w:t>et al.</w:t>
      </w:r>
      <w:r w:rsidRPr="0004259A">
        <w:t xml:space="preserve"> 2000; Zhao </w:t>
      </w:r>
      <w:r w:rsidRPr="0004259A">
        <w:rPr>
          <w:i/>
        </w:rPr>
        <w:t>et al.</w:t>
      </w:r>
      <w:r w:rsidRPr="0004259A">
        <w:t xml:space="preserve"> 2005)</w:t>
      </w:r>
      <w:r>
        <w:t xml:space="preserve">. Both studies confirmed that, due to the very large difference in aqueous solubility, the calcium from tricalcium phosphate fortified soy -based beverage was at least 25% less bioavailable compared to calcium carbonate fortified soy -based beverage or the calcium naturally present in cow’s milk </w:t>
      </w:r>
      <w:r w:rsidRPr="0004259A">
        <w:t>(Reinwald and Weaver 2010)</w:t>
      </w:r>
      <w:r>
        <w:t xml:space="preserve">. </w:t>
      </w:r>
      <w:r w:rsidR="0023423F">
        <w:br w:type="page"/>
      </w:r>
    </w:p>
    <w:p w14:paraId="42DE10C7" w14:textId="48D8AA72" w:rsidR="00792561" w:rsidRDefault="00792561" w:rsidP="00D20A1E">
      <w:pPr>
        <w:widowControl/>
      </w:pPr>
      <w:r>
        <w:lastRenderedPageBreak/>
        <w:t xml:space="preserve">A recent review of 55 studies concluded that, aside from tricalcium phosphate, calcium from most calcium salts included in a food matrix were considered to have comparable absorbability as calcium present in cow’s milk </w:t>
      </w:r>
      <w:r w:rsidRPr="0004259A">
        <w:t xml:space="preserve">(Rafferty </w:t>
      </w:r>
      <w:r w:rsidRPr="00AA5021">
        <w:rPr>
          <w:i/>
        </w:rPr>
        <w:t>et al.</w:t>
      </w:r>
      <w:r w:rsidRPr="0004259A">
        <w:t xml:space="preserve"> 2007)</w:t>
      </w:r>
      <w:r>
        <w:t>.</w:t>
      </w:r>
    </w:p>
    <w:p w14:paraId="5C36777C" w14:textId="5D1ADD19" w:rsidR="00792561" w:rsidRPr="005D3D3F" w:rsidRDefault="00513153" w:rsidP="00D20A1E">
      <w:pPr>
        <w:pStyle w:val="Heading3"/>
        <w:widowControl/>
      </w:pPr>
      <w:bookmarkStart w:id="117" w:name="_Toc427672182"/>
      <w:bookmarkStart w:id="118" w:name="_Toc427678248"/>
      <w:r>
        <w:t>7.7.2</w:t>
      </w:r>
      <w:r>
        <w:tab/>
      </w:r>
      <w:r w:rsidR="00792561">
        <w:t>Vitamin B</w:t>
      </w:r>
      <w:r w:rsidR="00792561" w:rsidRPr="00324DD4">
        <w:rPr>
          <w:vertAlign w:val="subscript"/>
        </w:rPr>
        <w:t>12</w:t>
      </w:r>
      <w:r w:rsidR="00792561">
        <w:t xml:space="preserve"> absorp</w:t>
      </w:r>
      <w:r w:rsidR="00792561" w:rsidRPr="005D3D3F">
        <w:t>tion</w:t>
      </w:r>
      <w:bookmarkEnd w:id="117"/>
      <w:bookmarkEnd w:id="118"/>
    </w:p>
    <w:p w14:paraId="3092BE0B" w14:textId="77777777" w:rsidR="00792561" w:rsidRPr="00EB340D" w:rsidRDefault="00792561" w:rsidP="00D20A1E">
      <w:pPr>
        <w:widowControl/>
        <w:rPr>
          <w:b/>
          <w:i/>
        </w:rPr>
      </w:pPr>
      <w:r w:rsidRPr="006D6763">
        <w:t>The second study</w:t>
      </w:r>
      <w:r>
        <w:t xml:space="preserve"> (Hokin, 2003) provided by the Applicant measured serum B</w:t>
      </w:r>
      <w:r w:rsidRPr="002339BD">
        <w:rPr>
          <w:vertAlign w:val="subscript"/>
        </w:rPr>
        <w:t>12</w:t>
      </w:r>
      <w:r>
        <w:t xml:space="preserve"> concentrations in 67 vegetarian subjects with low (&lt;200 pmol/L) baseline serum B</w:t>
      </w:r>
      <w:r w:rsidRPr="002339BD">
        <w:rPr>
          <w:vertAlign w:val="subscript"/>
        </w:rPr>
        <w:t>12</w:t>
      </w:r>
      <w:r>
        <w:t xml:space="preserve"> and treated according to one of the following six groups: control (no B</w:t>
      </w:r>
      <w:r w:rsidRPr="007D7E06">
        <w:rPr>
          <w:vertAlign w:val="subscript"/>
        </w:rPr>
        <w:t>12</w:t>
      </w:r>
      <w:r>
        <w:t xml:space="preserve"> - placebo), 2 </w:t>
      </w:r>
      <w:r>
        <w:rPr>
          <w:rFonts w:cs="Arial"/>
        </w:rPr>
        <w:t>µ</w:t>
      </w:r>
      <w:r>
        <w:t>g/day from a commercially available B</w:t>
      </w:r>
      <w:r w:rsidRPr="002339BD">
        <w:rPr>
          <w:vertAlign w:val="subscript"/>
        </w:rPr>
        <w:t>12</w:t>
      </w:r>
      <w:r>
        <w:t xml:space="preserve"> fortified soy-based beverage; 2 </w:t>
      </w:r>
      <w:r>
        <w:rPr>
          <w:rFonts w:cs="Arial"/>
        </w:rPr>
        <w:t>µ</w:t>
      </w:r>
      <w:r>
        <w:t>g/day B</w:t>
      </w:r>
      <w:r w:rsidRPr="002339BD">
        <w:rPr>
          <w:vertAlign w:val="subscript"/>
        </w:rPr>
        <w:t>12</w:t>
      </w:r>
      <w:r>
        <w:t xml:space="preserve"> in a tablet, 50 </w:t>
      </w:r>
      <w:r>
        <w:rPr>
          <w:rFonts w:cs="Arial"/>
        </w:rPr>
        <w:t>µ</w:t>
      </w:r>
      <w:r>
        <w:t>g/week B</w:t>
      </w:r>
      <w:r w:rsidRPr="002339BD">
        <w:rPr>
          <w:vertAlign w:val="subscript"/>
        </w:rPr>
        <w:t>12</w:t>
      </w:r>
      <w:r>
        <w:t xml:space="preserve"> in a multivitamin, 0.8</w:t>
      </w:r>
      <w:r>
        <w:rPr>
          <w:rFonts w:cs="Arial"/>
        </w:rPr>
        <w:t> µ</w:t>
      </w:r>
      <w:r>
        <w:t>g/day B</w:t>
      </w:r>
      <w:r w:rsidRPr="002339BD">
        <w:rPr>
          <w:vertAlign w:val="subscript"/>
        </w:rPr>
        <w:t>12</w:t>
      </w:r>
      <w:r>
        <w:t>from fortified meat analogues or 100 </w:t>
      </w:r>
      <w:r>
        <w:rPr>
          <w:rFonts w:cs="Arial"/>
        </w:rPr>
        <w:t>µ</w:t>
      </w:r>
      <w:r>
        <w:t>g/month as an intra-muscular injection. The study methods do not describe randomisation. After three months, all intervention groups, except those receiving meat analogues, had significantly increased serum B</w:t>
      </w:r>
      <w:r w:rsidRPr="002339BD">
        <w:rPr>
          <w:vertAlign w:val="subscript"/>
        </w:rPr>
        <w:t>12</w:t>
      </w:r>
      <w:r w:rsidRPr="00053771">
        <w:t xml:space="preserve"> </w:t>
      </w:r>
      <w:r>
        <w:t>compared to the control group. The soy-based beverage group had the greatest increase (32%) although it is not clear whether this was result was tested statistically against the other intervention group results.</w:t>
      </w:r>
    </w:p>
    <w:p w14:paraId="0891785A" w14:textId="77777777" w:rsidR="00792561" w:rsidRDefault="00792561" w:rsidP="00D20A1E">
      <w:pPr>
        <w:widowControl/>
      </w:pPr>
    </w:p>
    <w:p w14:paraId="4FC2CBB1" w14:textId="77777777" w:rsidR="00792561" w:rsidRDefault="00792561" w:rsidP="00D20A1E">
      <w:pPr>
        <w:widowControl/>
      </w:pPr>
      <w:r>
        <w:t xml:space="preserve">FSANZ was unable to identify any additional human studies demonstrating the absorption of added vitamins and minerals from soy-, cereal-, or nut- and seed-based beverages. </w:t>
      </w:r>
    </w:p>
    <w:p w14:paraId="7F0D2B93" w14:textId="2F7436B7" w:rsidR="00792561" w:rsidRDefault="00AF4FCB" w:rsidP="00D20A1E">
      <w:pPr>
        <w:pStyle w:val="Heading2"/>
      </w:pPr>
      <w:bookmarkStart w:id="119" w:name="_Toc427672183"/>
      <w:bookmarkStart w:id="120" w:name="_Toc427678249"/>
      <w:r>
        <w:t>7.8</w:t>
      </w:r>
      <w:r>
        <w:tab/>
      </w:r>
      <w:r w:rsidR="00792561">
        <w:t xml:space="preserve">Conclusions regarding </w:t>
      </w:r>
      <w:r w:rsidR="00792561" w:rsidRPr="00075BB7">
        <w:t xml:space="preserve">the </w:t>
      </w:r>
      <w:r w:rsidR="0006675C" w:rsidRPr="00075BB7">
        <w:t>absorption</w:t>
      </w:r>
      <w:r w:rsidR="00792561">
        <w:t xml:space="preserve"> of added vitamins and minerals to plant-based milk substitutes</w:t>
      </w:r>
      <w:bookmarkEnd w:id="119"/>
      <w:bookmarkEnd w:id="120"/>
    </w:p>
    <w:p w14:paraId="374DA448" w14:textId="77777777" w:rsidR="00792561" w:rsidRDefault="00792561" w:rsidP="00D20A1E">
      <w:pPr>
        <w:keepNext/>
        <w:keepLines/>
        <w:widowControl/>
      </w:pPr>
      <w:r>
        <w:t>The conclusion of this assessment is that there are unlikely to be any constituents present in nut- or seed-based beverages that will impact appreciably on the absorption of added vitamins and minerals. A number of anti-nutritive substances may be present in plant-derived foods but only phytate and oxalate are known to interfere with the minerals that are proposed to be added to nut- and seed-based beverages. Of the proposed added nutrients, phytate and oxalate are known to inhibit the absorption of calcium, zinc, and magnesium but only when consumed in higher amounts than found in nut- and seed-based beverages.</w:t>
      </w:r>
    </w:p>
    <w:p w14:paraId="38A43DFE" w14:textId="77777777" w:rsidR="00792561" w:rsidRDefault="00792561" w:rsidP="00D20A1E">
      <w:pPr>
        <w:widowControl/>
      </w:pPr>
    </w:p>
    <w:p w14:paraId="0FEAF8F7" w14:textId="77777777" w:rsidR="00792561" w:rsidRDefault="00792561" w:rsidP="00D20A1E">
      <w:pPr>
        <w:widowControl/>
      </w:pPr>
      <w:r>
        <w:t>Of the nuts and seeds considered in this assessment, almonds were determined to contain the highest concentrations of phytate and oxalate (</w:t>
      </w:r>
      <w:r>
        <w:fldChar w:fldCharType="begin"/>
      </w:r>
      <w:r>
        <w:instrText xml:space="preserve"> REF _Ref417473195 \h </w:instrText>
      </w:r>
      <w:r>
        <w:fldChar w:fldCharType="separate"/>
      </w:r>
      <w:r w:rsidR="00047581">
        <w:t xml:space="preserve">Table </w:t>
      </w:r>
      <w:r w:rsidR="00047581">
        <w:rPr>
          <w:noProof/>
        </w:rPr>
        <w:t>7</w:t>
      </w:r>
      <w:r>
        <w:fldChar w:fldCharType="end"/>
      </w:r>
      <w:r>
        <w:t xml:space="preserve">). Using the phytate concentration in almonds (1,138 mg/100 g almonds), the potential phytate content of an almond-based beverage was estimated to be considerably less than that present in commonly consumed foods such as high fibre breakfast cereal. The estimated phytate intakes were much less than the intake reported for people in Iran consuming a high phytate food (wholemeal unleavened bread) in which zinc and calcium absorption metabolism was negatively affected (Reinhold 1971). </w:t>
      </w:r>
      <w:r w:rsidRPr="00503DBD">
        <w:t>Therefore</w:t>
      </w:r>
      <w:r>
        <w:t>,</w:t>
      </w:r>
      <w:r w:rsidRPr="00503DBD">
        <w:t xml:space="preserve"> phytate inta</w:t>
      </w:r>
      <w:r>
        <w:t xml:space="preserve">kes from almond-based beverages, as an illustration of </w:t>
      </w:r>
      <w:r w:rsidRPr="00503DBD">
        <w:t>a worst-case scenario</w:t>
      </w:r>
      <w:r>
        <w:t xml:space="preserve"> for nut- and seed-based beverages,</w:t>
      </w:r>
      <w:r w:rsidRPr="00503DBD">
        <w:t xml:space="preserve"> </w:t>
      </w:r>
      <w:r>
        <w:t>are unlikely</w:t>
      </w:r>
      <w:r w:rsidRPr="00503DBD">
        <w:t xml:space="preserve"> </w:t>
      </w:r>
      <w:r>
        <w:t xml:space="preserve">to cause </w:t>
      </w:r>
      <w:r w:rsidRPr="00503DBD">
        <w:t>negative nutritional effects</w:t>
      </w:r>
      <w:r>
        <w:t>. Similarly, oxalate was also considered to have a minimal impact on calcium bioavailability. The estimated oxalate content in an almond-based beverage is much less than the amount that would be required to bind to the added calcium and substantially reduce absorption.</w:t>
      </w:r>
    </w:p>
    <w:p w14:paraId="445DDE57" w14:textId="77777777" w:rsidR="00792561" w:rsidRDefault="00792561" w:rsidP="00D20A1E">
      <w:pPr>
        <w:widowControl/>
      </w:pPr>
    </w:p>
    <w:p w14:paraId="60279BCD" w14:textId="49E2D3A6" w:rsidR="00792561" w:rsidRDefault="00792561" w:rsidP="00D20A1E">
      <w:pPr>
        <w:widowControl/>
        <w:shd w:val="clear" w:color="auto" w:fill="FFFFFF" w:themeFill="background1"/>
      </w:pPr>
      <w:r>
        <w:t xml:space="preserve">Beverages derived from plant-based sources such as nuts and seeds, cereal grains (oats and rice) or legumes (soy) are produced through of series of steps that includes dehulling, </w:t>
      </w:r>
      <w:r w:rsidRPr="004E6FAB">
        <w:t>filtration and heat treatment (see Section</w:t>
      </w:r>
      <w:r w:rsidR="004E6FAB" w:rsidRPr="004E6FAB">
        <w:t xml:space="preserve"> </w:t>
      </w:r>
      <w:r w:rsidR="004E6FAB" w:rsidRPr="004E6FAB">
        <w:fldChar w:fldCharType="begin"/>
      </w:r>
      <w:r w:rsidR="004E6FAB" w:rsidRPr="004E6FAB">
        <w:instrText xml:space="preserve"> REF _Ref417476359 \r \h </w:instrText>
      </w:r>
      <w:r w:rsidR="004E6FAB">
        <w:instrText xml:space="preserve"> \* MERGEFORMAT </w:instrText>
      </w:r>
      <w:r w:rsidR="004E6FAB" w:rsidRPr="004E6FAB">
        <w:fldChar w:fldCharType="separate"/>
      </w:r>
      <w:r w:rsidR="00047581">
        <w:t>6.1</w:t>
      </w:r>
      <w:r w:rsidR="004E6FAB" w:rsidRPr="004E6FAB">
        <w:fldChar w:fldCharType="end"/>
      </w:r>
      <w:r w:rsidRPr="004E6FAB">
        <w:t>). Cereal grains and legumes contain various</w:t>
      </w:r>
      <w:r w:rsidRPr="006B2784">
        <w:t xml:space="preserve"> </w:t>
      </w:r>
      <w:r>
        <w:t xml:space="preserve">types of ANF but most of these (up 95%) are removed during the production process </w:t>
      </w:r>
      <w:r w:rsidRPr="0004259A">
        <w:t xml:space="preserve">(Raes </w:t>
      </w:r>
      <w:r w:rsidRPr="0004259A">
        <w:rPr>
          <w:i/>
        </w:rPr>
        <w:t>et al.</w:t>
      </w:r>
      <w:r w:rsidRPr="0004259A">
        <w:t xml:space="preserve"> 2014)</w:t>
      </w:r>
      <w:r>
        <w:t>. It is likely that ANF present in nuts and seeds will be removed to the same extent and so the calculations presented have overestimated the quantity of these ANFs in the beverages</w:t>
      </w:r>
      <w:r w:rsidRPr="001E4219">
        <w:t>.</w:t>
      </w:r>
      <w:r>
        <w:t xml:space="preserve"> </w:t>
      </w:r>
      <w:r w:rsidRPr="001E4219">
        <w:t>In addition, nutrient absorption is largely influenced by interactions with other food components during digestion or the nutritional status of the consumer.</w:t>
      </w:r>
    </w:p>
    <w:p w14:paraId="20641A6C" w14:textId="0E5E464C" w:rsidR="006B2784" w:rsidRDefault="00AF4FCB" w:rsidP="00D20A1E">
      <w:pPr>
        <w:pStyle w:val="Heading1"/>
        <w:keepLines/>
        <w:widowControl/>
      </w:pPr>
      <w:bookmarkStart w:id="121" w:name="_Ref417370870"/>
      <w:bookmarkStart w:id="122" w:name="_Toc416699602"/>
      <w:bookmarkStart w:id="123" w:name="_Toc416699603"/>
      <w:bookmarkStart w:id="124" w:name="_Ref421802008"/>
      <w:bookmarkStart w:id="125" w:name="_Toc427672184"/>
      <w:bookmarkStart w:id="126" w:name="_Toc427678250"/>
      <w:bookmarkEnd w:id="121"/>
      <w:bookmarkEnd w:id="122"/>
      <w:bookmarkEnd w:id="123"/>
      <w:r>
        <w:lastRenderedPageBreak/>
        <w:t>8</w:t>
      </w:r>
      <w:r>
        <w:tab/>
      </w:r>
      <w:r w:rsidR="00CE6284">
        <w:t>Comparison of e</w:t>
      </w:r>
      <w:r w:rsidR="006B2784">
        <w:t>stimated dietary intake of nutrients</w:t>
      </w:r>
      <w:r w:rsidR="002A3AFE">
        <w:t xml:space="preserve"> </w:t>
      </w:r>
      <w:r w:rsidR="00CE6284">
        <w:t>across national nutrition surveys</w:t>
      </w:r>
      <w:bookmarkEnd w:id="124"/>
      <w:bookmarkEnd w:id="125"/>
      <w:bookmarkEnd w:id="126"/>
    </w:p>
    <w:p w14:paraId="03DD17F5" w14:textId="446F388C" w:rsidR="006B2784" w:rsidRDefault="007D689D" w:rsidP="00D20A1E">
      <w:pPr>
        <w:keepNext/>
        <w:keepLines/>
        <w:widowControl/>
      </w:pPr>
      <w:r>
        <w:t>As discussed in Section</w:t>
      </w:r>
      <w:r w:rsidR="002A3AFE">
        <w:t xml:space="preserve"> </w:t>
      </w:r>
      <w:r w:rsidR="002A3AFE">
        <w:fldChar w:fldCharType="begin"/>
      </w:r>
      <w:r w:rsidR="002A3AFE">
        <w:instrText xml:space="preserve"> REF _Ref423677718 \r \h </w:instrText>
      </w:r>
      <w:r w:rsidR="002A3AFE">
        <w:fldChar w:fldCharType="separate"/>
      </w:r>
      <w:r w:rsidR="00047581">
        <w:t>3.1</w:t>
      </w:r>
      <w:r w:rsidR="002A3AFE">
        <w:fldChar w:fldCharType="end"/>
      </w:r>
      <w:r>
        <w:t xml:space="preserve">, </w:t>
      </w:r>
      <w:r w:rsidR="00533CE6">
        <w:t>food consumption data are available from recent national nutr</w:t>
      </w:r>
      <w:r w:rsidR="00CE6284">
        <w:t>ition</w:t>
      </w:r>
      <w:r w:rsidR="00533CE6">
        <w:t xml:space="preserve"> surveys (</w:t>
      </w:r>
      <w:r w:rsidR="00064C03">
        <w:t>2002 NZCNS</w:t>
      </w:r>
      <w:r w:rsidR="00533CE6">
        <w:t xml:space="preserve">, 2007 </w:t>
      </w:r>
      <w:r w:rsidR="00533CE6" w:rsidRPr="00F223AD">
        <w:t>ANCNPAS</w:t>
      </w:r>
      <w:r w:rsidR="00533CE6">
        <w:t>,</w:t>
      </w:r>
      <w:r w:rsidR="00533CE6" w:rsidRPr="00F223AD">
        <w:t xml:space="preserve"> </w:t>
      </w:r>
      <w:r w:rsidR="00533CE6">
        <w:t xml:space="preserve">2008 NZANS and </w:t>
      </w:r>
      <w:r w:rsidR="00533CE6" w:rsidRPr="00F223AD">
        <w:t>2011-12 NNPAS</w:t>
      </w:r>
      <w:r w:rsidR="00533CE6">
        <w:t xml:space="preserve">). </w:t>
      </w:r>
      <w:r w:rsidR="00F223AD">
        <w:t>The A500 assessment used the 1995 AusNNS and 1997 NZNNS food consumption data</w:t>
      </w:r>
      <w:r w:rsidR="00533CE6">
        <w:t xml:space="preserve"> and</w:t>
      </w:r>
      <w:r w:rsidR="00D65110">
        <w:t>,</w:t>
      </w:r>
      <w:r w:rsidR="00533CE6">
        <w:t xml:space="preserve"> where relevant</w:t>
      </w:r>
      <w:r w:rsidR="00D65110">
        <w:t>,</w:t>
      </w:r>
      <w:r w:rsidR="00533CE6">
        <w:t xml:space="preserve"> it is included in the discussion below.</w:t>
      </w:r>
    </w:p>
    <w:p w14:paraId="53ECBFDC" w14:textId="487FB027" w:rsidR="006B2784" w:rsidRPr="00520B82" w:rsidRDefault="00AF4FCB" w:rsidP="00D20A1E">
      <w:pPr>
        <w:pStyle w:val="Heading2"/>
      </w:pPr>
      <w:bookmarkStart w:id="127" w:name="_Toc427672185"/>
      <w:bookmarkStart w:id="128" w:name="_Toc427678251"/>
      <w:r>
        <w:t>8.1</w:t>
      </w:r>
      <w:r>
        <w:tab/>
      </w:r>
      <w:r w:rsidR="006B2784" w:rsidRPr="00520B82">
        <w:t>Contribution of milk to nutrient intakes</w:t>
      </w:r>
      <w:bookmarkEnd w:id="127"/>
      <w:bookmarkEnd w:id="128"/>
    </w:p>
    <w:p w14:paraId="7282F64A" w14:textId="608A94A3" w:rsidR="003C6DFB" w:rsidRDefault="00513153" w:rsidP="00D20A1E">
      <w:pPr>
        <w:pStyle w:val="Heading3"/>
        <w:keepLines/>
        <w:widowControl/>
        <w:rPr>
          <w:noProof/>
        </w:rPr>
      </w:pPr>
      <w:bookmarkStart w:id="129" w:name="_Toc427672186"/>
      <w:bookmarkStart w:id="130" w:name="_Toc427678252"/>
      <w:r>
        <w:rPr>
          <w:noProof/>
        </w:rPr>
        <w:t>8.1.1</w:t>
      </w:r>
      <w:r>
        <w:rPr>
          <w:noProof/>
        </w:rPr>
        <w:tab/>
      </w:r>
      <w:r w:rsidR="003C6DFB">
        <w:rPr>
          <w:noProof/>
        </w:rPr>
        <w:t>Findings from the cereal-beverage assessment (</w:t>
      </w:r>
      <w:r w:rsidR="0061129E">
        <w:rPr>
          <w:noProof/>
        </w:rPr>
        <w:t>A</w:t>
      </w:r>
      <w:r w:rsidR="003C6DFB">
        <w:rPr>
          <w:noProof/>
        </w:rPr>
        <w:t>500</w:t>
      </w:r>
      <w:r w:rsidR="0061129E">
        <w:rPr>
          <w:noProof/>
        </w:rPr>
        <w:t xml:space="preserve"> (FSANZ </w:t>
      </w:r>
      <w:r w:rsidR="00070535">
        <w:rPr>
          <w:noProof/>
        </w:rPr>
        <w:t>2005b</w:t>
      </w:r>
      <w:r w:rsidR="0061129E">
        <w:rPr>
          <w:noProof/>
        </w:rPr>
        <w:t>)</w:t>
      </w:r>
      <w:r w:rsidR="003C6DFB">
        <w:rPr>
          <w:noProof/>
        </w:rPr>
        <w:t>)</w:t>
      </w:r>
      <w:bookmarkEnd w:id="129"/>
      <w:bookmarkEnd w:id="130"/>
    </w:p>
    <w:p w14:paraId="5AD35A5E" w14:textId="7670B665" w:rsidR="003C6DFB" w:rsidRDefault="003C6DFB" w:rsidP="00D20A1E">
      <w:pPr>
        <w:widowControl/>
        <w:rPr>
          <w:szCs w:val="20"/>
          <w:lang w:val="en-AU"/>
        </w:rPr>
      </w:pPr>
      <w:r>
        <w:rPr>
          <w:szCs w:val="20"/>
          <w:lang w:val="en-AU"/>
        </w:rPr>
        <w:t>M</w:t>
      </w:r>
      <w:r w:rsidRPr="00FE5E7A">
        <w:rPr>
          <w:szCs w:val="20"/>
          <w:lang w:val="en-AU"/>
        </w:rPr>
        <w:t>ilk</w:t>
      </w:r>
      <w:r w:rsidR="001E67B0">
        <w:rPr>
          <w:rStyle w:val="FootnoteReference"/>
          <w:szCs w:val="20"/>
          <w:lang w:val="en-AU"/>
        </w:rPr>
        <w:footnoteReference w:id="8"/>
      </w:r>
      <w:r w:rsidRPr="00FE5E7A">
        <w:rPr>
          <w:szCs w:val="20"/>
          <w:lang w:val="en-AU"/>
        </w:rPr>
        <w:t xml:space="preserve"> is a nutritious food and</w:t>
      </w:r>
      <w:r w:rsidR="00D65110">
        <w:rPr>
          <w:szCs w:val="20"/>
          <w:lang w:val="en-AU"/>
        </w:rPr>
        <w:t>,</w:t>
      </w:r>
      <w:r w:rsidRPr="00FE5E7A">
        <w:rPr>
          <w:szCs w:val="20"/>
          <w:lang w:val="en-AU"/>
        </w:rPr>
        <w:t xml:space="preserve"> </w:t>
      </w:r>
      <w:r w:rsidR="00D3490B">
        <w:rPr>
          <w:szCs w:val="20"/>
          <w:lang w:val="en-AU"/>
        </w:rPr>
        <w:t xml:space="preserve">in the </w:t>
      </w:r>
      <w:r w:rsidR="00CE6284">
        <w:rPr>
          <w:szCs w:val="20"/>
          <w:lang w:val="en-AU"/>
        </w:rPr>
        <w:t>A</w:t>
      </w:r>
      <w:r w:rsidR="00D3490B">
        <w:rPr>
          <w:szCs w:val="20"/>
          <w:lang w:val="en-AU"/>
        </w:rPr>
        <w:t>500 Assessment</w:t>
      </w:r>
      <w:r w:rsidR="00D65110">
        <w:rPr>
          <w:szCs w:val="20"/>
          <w:lang w:val="en-AU"/>
        </w:rPr>
        <w:t>,</w:t>
      </w:r>
      <w:r w:rsidR="00D3490B">
        <w:rPr>
          <w:szCs w:val="20"/>
          <w:lang w:val="en-AU"/>
        </w:rPr>
        <w:t xml:space="preserve"> was noted as an </w:t>
      </w:r>
      <w:r w:rsidRPr="00FE5E7A">
        <w:rPr>
          <w:szCs w:val="20"/>
          <w:lang w:val="en-AU"/>
        </w:rPr>
        <w:t>important contributor</w:t>
      </w:r>
      <w:r w:rsidR="00A556F3">
        <w:t xml:space="preserve"> </w:t>
      </w:r>
      <w:r w:rsidR="00D84540">
        <w:t>(</w:t>
      </w:r>
      <w:r w:rsidR="00D84540">
        <w:rPr>
          <w:rFonts w:cs="Arial"/>
        </w:rPr>
        <w:t>≥</w:t>
      </w:r>
      <w:r w:rsidR="00D84540">
        <w:t xml:space="preserve">20%) </w:t>
      </w:r>
      <w:r w:rsidRPr="00FE5E7A">
        <w:rPr>
          <w:szCs w:val="20"/>
          <w:lang w:val="en-AU"/>
        </w:rPr>
        <w:t>to the</w:t>
      </w:r>
      <w:r w:rsidR="00106652">
        <w:rPr>
          <w:szCs w:val="20"/>
          <w:lang w:val="en-AU"/>
        </w:rPr>
        <w:t xml:space="preserve"> total</w:t>
      </w:r>
      <w:r w:rsidRPr="00FE5E7A">
        <w:rPr>
          <w:szCs w:val="20"/>
          <w:lang w:val="en-AU"/>
        </w:rPr>
        <w:t xml:space="preserve"> </w:t>
      </w:r>
      <w:r w:rsidR="00D3490B">
        <w:rPr>
          <w:szCs w:val="20"/>
          <w:lang w:val="en-AU"/>
        </w:rPr>
        <w:t xml:space="preserve">estimated </w:t>
      </w:r>
      <w:r w:rsidRPr="00FE5E7A">
        <w:rPr>
          <w:szCs w:val="20"/>
          <w:lang w:val="en-AU"/>
        </w:rPr>
        <w:t>intakes</w:t>
      </w:r>
      <w:r w:rsidR="0061129E">
        <w:rPr>
          <w:szCs w:val="20"/>
          <w:lang w:val="en-AU"/>
        </w:rPr>
        <w:t xml:space="preserve"> of</w:t>
      </w:r>
      <w:r w:rsidRPr="00FE5E7A">
        <w:rPr>
          <w:szCs w:val="20"/>
          <w:lang w:val="en-AU"/>
        </w:rPr>
        <w:t xml:space="preserve"> many vitamins and minerals, particularly calcium, phosphorus, </w:t>
      </w:r>
      <w:r w:rsidR="00326E1B">
        <w:rPr>
          <w:szCs w:val="20"/>
          <w:lang w:val="en-AU"/>
        </w:rPr>
        <w:t>retinol equivalents</w:t>
      </w:r>
      <w:r w:rsidRPr="00FE5E7A">
        <w:rPr>
          <w:szCs w:val="20"/>
          <w:lang w:val="en-AU"/>
        </w:rPr>
        <w:t>, riboflavin, vitamins B</w:t>
      </w:r>
      <w:r w:rsidRPr="00FE5E7A">
        <w:rPr>
          <w:szCs w:val="20"/>
          <w:vertAlign w:val="subscript"/>
          <w:lang w:val="en-AU"/>
        </w:rPr>
        <w:t>6</w:t>
      </w:r>
      <w:r w:rsidRPr="00FE5E7A">
        <w:rPr>
          <w:szCs w:val="20"/>
          <w:lang w:val="en-AU"/>
        </w:rPr>
        <w:t xml:space="preserve"> and B</w:t>
      </w:r>
      <w:r w:rsidRPr="00FE5E7A">
        <w:rPr>
          <w:szCs w:val="20"/>
          <w:vertAlign w:val="subscript"/>
          <w:lang w:val="en-AU"/>
        </w:rPr>
        <w:t xml:space="preserve">12 </w:t>
      </w:r>
      <w:r w:rsidRPr="00FE5E7A">
        <w:rPr>
          <w:szCs w:val="20"/>
          <w:lang w:val="en-AU"/>
        </w:rPr>
        <w:t>and iodine; and particularly</w:t>
      </w:r>
      <w:r>
        <w:rPr>
          <w:szCs w:val="20"/>
          <w:lang w:val="en-AU"/>
        </w:rPr>
        <w:t xml:space="preserve"> for children 2</w:t>
      </w:r>
      <w:r w:rsidR="00A83C42">
        <w:rPr>
          <w:szCs w:val="20"/>
          <w:lang w:val="en-AU"/>
        </w:rPr>
        <w:t>–</w:t>
      </w:r>
      <w:r>
        <w:rPr>
          <w:szCs w:val="20"/>
          <w:lang w:val="en-AU"/>
        </w:rPr>
        <w:t>3 years of age.</w:t>
      </w:r>
      <w:r w:rsidR="00275934">
        <w:rPr>
          <w:szCs w:val="20"/>
          <w:lang w:val="en-AU"/>
        </w:rPr>
        <w:t xml:space="preserve"> Milk </w:t>
      </w:r>
      <w:r w:rsidR="00D3490B">
        <w:rPr>
          <w:szCs w:val="20"/>
          <w:lang w:val="en-AU"/>
        </w:rPr>
        <w:t>was</w:t>
      </w:r>
      <w:r w:rsidR="00275934">
        <w:rPr>
          <w:szCs w:val="20"/>
          <w:lang w:val="en-AU"/>
        </w:rPr>
        <w:t xml:space="preserve"> an important source of energy for Australian children (25% for children aged 2</w:t>
      </w:r>
      <w:r w:rsidR="00A83C42">
        <w:rPr>
          <w:szCs w:val="20"/>
          <w:lang w:val="en-AU"/>
        </w:rPr>
        <w:t>–</w:t>
      </w:r>
      <w:r w:rsidR="00275934">
        <w:rPr>
          <w:szCs w:val="20"/>
          <w:lang w:val="en-AU"/>
        </w:rPr>
        <w:t>3 years, 16% for children aged 8</w:t>
      </w:r>
      <w:r w:rsidR="00A83C42">
        <w:rPr>
          <w:szCs w:val="20"/>
          <w:lang w:val="en-AU"/>
        </w:rPr>
        <w:t>–</w:t>
      </w:r>
      <w:r w:rsidR="00275934">
        <w:rPr>
          <w:szCs w:val="20"/>
          <w:lang w:val="en-AU"/>
        </w:rPr>
        <w:t>11 years) and New Zealand children (6% for children aged 5</w:t>
      </w:r>
      <w:r w:rsidR="00A83C42">
        <w:rPr>
          <w:szCs w:val="20"/>
          <w:lang w:val="en-AU"/>
        </w:rPr>
        <w:t>–</w:t>
      </w:r>
      <w:r w:rsidR="00275934">
        <w:rPr>
          <w:szCs w:val="20"/>
          <w:lang w:val="en-AU"/>
        </w:rPr>
        <w:t>15 years)</w:t>
      </w:r>
      <w:r w:rsidR="00C82B8E">
        <w:rPr>
          <w:rStyle w:val="FootnoteReference"/>
          <w:szCs w:val="20"/>
          <w:lang w:val="en-AU"/>
        </w:rPr>
        <w:footnoteReference w:id="9"/>
      </w:r>
      <w:r w:rsidR="00275934">
        <w:rPr>
          <w:szCs w:val="20"/>
          <w:lang w:val="en-AU"/>
        </w:rPr>
        <w:t>.</w:t>
      </w:r>
    </w:p>
    <w:p w14:paraId="613CF208" w14:textId="73583CD8" w:rsidR="003C6DFB" w:rsidRDefault="00513153" w:rsidP="00D20A1E">
      <w:pPr>
        <w:pStyle w:val="Heading3"/>
        <w:widowControl/>
        <w:rPr>
          <w:noProof/>
        </w:rPr>
      </w:pPr>
      <w:bookmarkStart w:id="131" w:name="_Ref422129603"/>
      <w:bookmarkStart w:id="132" w:name="_Toc427672187"/>
      <w:bookmarkStart w:id="133" w:name="_Toc427678253"/>
      <w:r>
        <w:rPr>
          <w:noProof/>
        </w:rPr>
        <w:t>8.1.2</w:t>
      </w:r>
      <w:r>
        <w:rPr>
          <w:noProof/>
        </w:rPr>
        <w:tab/>
      </w:r>
      <w:r w:rsidR="003C6DFB">
        <w:rPr>
          <w:noProof/>
        </w:rPr>
        <w:t>Findings from more recent Australian and New Zealand national nutrition surveys</w:t>
      </w:r>
      <w:bookmarkEnd w:id="131"/>
      <w:bookmarkEnd w:id="132"/>
      <w:bookmarkEnd w:id="133"/>
    </w:p>
    <w:p w14:paraId="72B673B9" w14:textId="095187C7" w:rsidR="00AF5FA2" w:rsidRDefault="0023423F" w:rsidP="00D20A1E">
      <w:pPr>
        <w:pStyle w:val="Heading4"/>
        <w:widowControl/>
      </w:pPr>
      <w:r>
        <w:t>8.1.2.1</w:t>
      </w:r>
      <w:r>
        <w:tab/>
      </w:r>
      <w:r w:rsidR="00AF5FA2">
        <w:t>Australian national nutrition surveys</w:t>
      </w:r>
    </w:p>
    <w:p w14:paraId="7A6A67C0" w14:textId="6A723852" w:rsidR="00BB4A00" w:rsidRDefault="006B2784" w:rsidP="00D20A1E">
      <w:pPr>
        <w:widowControl/>
      </w:pPr>
      <w:r>
        <w:t xml:space="preserve">In the 2007 ANCNPAS, milk contributed </w:t>
      </w:r>
      <w:r w:rsidR="00BB4A00">
        <w:t>6</w:t>
      </w:r>
      <w:r w:rsidR="00A83C42">
        <w:t>–</w:t>
      </w:r>
      <w:r>
        <w:t xml:space="preserve">14% of </w:t>
      </w:r>
      <w:r w:rsidR="00177B20">
        <w:t xml:space="preserve">the </w:t>
      </w:r>
      <w:r>
        <w:t>energy intake for children aged 2</w:t>
      </w:r>
      <w:r w:rsidR="00476F9F">
        <w:noBreakHyphen/>
      </w:r>
      <w:r w:rsidR="00BB4A00">
        <w:t>16 </w:t>
      </w:r>
      <w:r>
        <w:t>years.</w:t>
      </w:r>
      <w:r w:rsidR="00275934">
        <w:t xml:space="preserve"> </w:t>
      </w:r>
      <w:r w:rsidR="00D84540">
        <w:t xml:space="preserve">This is a smaller contribution than that reported for the </w:t>
      </w:r>
      <w:r w:rsidR="00D3490B">
        <w:t xml:space="preserve">same age groups in the </w:t>
      </w:r>
      <w:r w:rsidR="00D84540">
        <w:t xml:space="preserve">1995 AusNNS. </w:t>
      </w:r>
      <w:r w:rsidR="00D20304">
        <w:t>Milk contributed 8</w:t>
      </w:r>
      <w:r w:rsidR="00A83C42">
        <w:t>–</w:t>
      </w:r>
      <w:r w:rsidR="00D20304">
        <w:t>19% of the protein intake for children aged 2</w:t>
      </w:r>
      <w:r w:rsidR="00D20304">
        <w:noBreakHyphen/>
        <w:t>16 years in the 2007 ANCNPAS, a level similar to that in the 1995 AusNNS (1</w:t>
      </w:r>
      <w:r w:rsidR="00C9324E">
        <w:t>3</w:t>
      </w:r>
      <w:r w:rsidR="00D20304">
        <w:noBreakHyphen/>
        <w:t>22% for children aged 2</w:t>
      </w:r>
      <w:r w:rsidR="00D20304">
        <w:noBreakHyphen/>
      </w:r>
      <w:r w:rsidR="00C9324E">
        <w:t>1</w:t>
      </w:r>
      <w:r w:rsidR="00D20304">
        <w:t xml:space="preserve">4 years). </w:t>
      </w:r>
      <w:r w:rsidR="00703DC1">
        <w:t xml:space="preserve">In the 2007 ANCNPAS, milk </w:t>
      </w:r>
      <w:r w:rsidR="00275934">
        <w:t xml:space="preserve">was a major contributor </w:t>
      </w:r>
      <w:r w:rsidR="000613A6">
        <w:t>(</w:t>
      </w:r>
      <w:r w:rsidR="000613A6">
        <w:rPr>
          <w:rFonts w:cs="Arial"/>
        </w:rPr>
        <w:t>≥</w:t>
      </w:r>
      <w:r w:rsidR="00A556F3">
        <w:t>2</w:t>
      </w:r>
      <w:r w:rsidR="000613A6">
        <w:t xml:space="preserve">0%) </w:t>
      </w:r>
      <w:r w:rsidR="00275934">
        <w:t xml:space="preserve">to </w:t>
      </w:r>
      <w:r w:rsidR="00275934" w:rsidRPr="00A556F3">
        <w:t>calcium, iodine, phosphorus,</w:t>
      </w:r>
      <w:r w:rsidR="00275934">
        <w:t xml:space="preserve"> </w:t>
      </w:r>
      <w:r w:rsidR="00326E1B">
        <w:t>retinol equivalents</w:t>
      </w:r>
      <w:r w:rsidR="00275934">
        <w:t>, riboflavin and vitamin D intakes</w:t>
      </w:r>
      <w:r w:rsidR="00BB4A00">
        <w:t xml:space="preserve"> </w:t>
      </w:r>
      <w:r w:rsidR="00050BE9">
        <w:t xml:space="preserve">for one or more population groups assessed </w:t>
      </w:r>
      <w:r w:rsidR="00BB4A00">
        <w:t>(</w:t>
      </w:r>
      <w:r w:rsidR="00BB4A00">
        <w:rPr>
          <w:noProof/>
        </w:rPr>
        <w:fldChar w:fldCharType="begin"/>
      </w:r>
      <w:r w:rsidR="00BB4A00">
        <w:rPr>
          <w:noProof/>
        </w:rPr>
        <w:instrText xml:space="preserve"> REF _Ref417649119 \h </w:instrText>
      </w:r>
      <w:r w:rsidR="00BB4A00">
        <w:rPr>
          <w:noProof/>
        </w:rPr>
      </w:r>
      <w:r w:rsidR="00BB4A00">
        <w:rPr>
          <w:noProof/>
        </w:rPr>
        <w:fldChar w:fldCharType="separate"/>
      </w:r>
      <w:r w:rsidR="00047581">
        <w:t>Table A1.</w:t>
      </w:r>
      <w:r w:rsidR="00047581">
        <w:rPr>
          <w:noProof/>
        </w:rPr>
        <w:t>4</w:t>
      </w:r>
      <w:r w:rsidR="00BB4A00">
        <w:rPr>
          <w:noProof/>
        </w:rPr>
        <w:fldChar w:fldCharType="end"/>
      </w:r>
      <w:r w:rsidR="00BB4A00">
        <w:rPr>
          <w:noProof/>
        </w:rPr>
        <w:t xml:space="preserve"> in </w:t>
      </w:r>
      <w:r w:rsidR="00BB4A00">
        <w:rPr>
          <w:noProof/>
        </w:rPr>
        <w:fldChar w:fldCharType="begin"/>
      </w:r>
      <w:r w:rsidR="00BB4A00">
        <w:rPr>
          <w:noProof/>
        </w:rPr>
        <w:instrText xml:space="preserve"> REF _Ref417648450 \h </w:instrText>
      </w:r>
      <w:r w:rsidR="00BB4A00">
        <w:rPr>
          <w:noProof/>
        </w:rPr>
      </w:r>
      <w:r w:rsidR="00BB4A00">
        <w:rPr>
          <w:noProof/>
        </w:rPr>
        <w:fldChar w:fldCharType="separate"/>
      </w:r>
      <w:r w:rsidR="00047581">
        <w:t xml:space="preserve">Appendix </w:t>
      </w:r>
      <w:r w:rsidR="00047581">
        <w:rPr>
          <w:noProof/>
        </w:rPr>
        <w:t>1</w:t>
      </w:r>
      <w:r w:rsidR="00BB4A00">
        <w:rPr>
          <w:noProof/>
        </w:rPr>
        <w:fldChar w:fldCharType="end"/>
      </w:r>
      <w:r w:rsidR="00BB4A00">
        <w:rPr>
          <w:noProof/>
        </w:rPr>
        <w:t>)</w:t>
      </w:r>
      <w:r w:rsidR="00275934">
        <w:t>.</w:t>
      </w:r>
    </w:p>
    <w:p w14:paraId="2E187615" w14:textId="77777777" w:rsidR="00BB4A00" w:rsidRDefault="00BB4A00" w:rsidP="00D20A1E">
      <w:pPr>
        <w:widowControl/>
      </w:pPr>
    </w:p>
    <w:p w14:paraId="28C24E9C" w14:textId="22BCBA1E" w:rsidR="005077E9" w:rsidRDefault="00275934" w:rsidP="00D20A1E">
      <w:pPr>
        <w:widowControl/>
      </w:pPr>
      <w:r>
        <w:t xml:space="preserve">In the </w:t>
      </w:r>
      <w:r w:rsidR="00BF4F51">
        <w:t>2011-12 NNPAS</w:t>
      </w:r>
      <w:r w:rsidR="005077E9">
        <w:t xml:space="preserve"> </w:t>
      </w:r>
      <w:r w:rsidR="00B643E1">
        <w:t>(</w:t>
      </w:r>
      <w:r w:rsidR="00DB1DE6">
        <w:t>ABS</w:t>
      </w:r>
      <w:r w:rsidR="00B643E1">
        <w:t xml:space="preserve"> 2014</w:t>
      </w:r>
      <w:r w:rsidR="00934B60">
        <w:t>a</w:t>
      </w:r>
      <w:r w:rsidR="00B643E1">
        <w:t>)</w:t>
      </w:r>
      <w:r w:rsidR="005077E9">
        <w:t>,</w:t>
      </w:r>
      <w:r w:rsidR="00BF4F51">
        <w:t xml:space="preserve"> milk contributed </w:t>
      </w:r>
      <w:r w:rsidR="00BB4A00">
        <w:t>4</w:t>
      </w:r>
      <w:r w:rsidR="00A83C42">
        <w:t>–</w:t>
      </w:r>
      <w:r w:rsidR="00BF4F51">
        <w:t xml:space="preserve">13% of </w:t>
      </w:r>
      <w:r w:rsidR="00177B20">
        <w:t xml:space="preserve">the </w:t>
      </w:r>
      <w:r w:rsidR="00BB4A00">
        <w:t>energy intake for 2</w:t>
      </w:r>
      <w:r w:rsidR="00BB4A00">
        <w:noBreakHyphen/>
      </w:r>
      <w:r w:rsidR="00BF4F51">
        <w:t>18</w:t>
      </w:r>
      <w:r w:rsidR="00593AE6">
        <w:t> </w:t>
      </w:r>
      <w:r w:rsidR="00BF4F51">
        <w:t>year</w:t>
      </w:r>
      <w:r w:rsidR="00BB4A00">
        <w:t xml:space="preserve"> old children</w:t>
      </w:r>
      <w:r w:rsidR="00BF4F51">
        <w:t>.</w:t>
      </w:r>
      <w:r w:rsidR="00687DF0" w:rsidRPr="00687DF0">
        <w:t xml:space="preserve"> </w:t>
      </w:r>
      <w:r w:rsidR="00D84540">
        <w:t xml:space="preserve">This is a smaller contribution than that reported for the 1995 AusNNS but similar to the 2007 ANCNPAS. </w:t>
      </w:r>
      <w:r w:rsidR="001723FA">
        <w:t>M</w:t>
      </w:r>
      <w:r w:rsidR="00D20304">
        <w:t>ilk contributed 6</w:t>
      </w:r>
      <w:r w:rsidR="00A83C42">
        <w:t>–</w:t>
      </w:r>
      <w:r w:rsidR="00D20304">
        <w:t>18% of protein intakes in the 2011</w:t>
      </w:r>
      <w:r w:rsidR="00A83C42">
        <w:t>-</w:t>
      </w:r>
      <w:r w:rsidR="00D20304">
        <w:t>2</w:t>
      </w:r>
      <w:r w:rsidR="00A83C42">
        <w:t>01</w:t>
      </w:r>
      <w:r w:rsidR="00D20304">
        <w:t>2 NNPAS</w:t>
      </w:r>
      <w:r w:rsidR="00D65110">
        <w:t>, with</w:t>
      </w:r>
      <w:r w:rsidR="00D20304">
        <w:t xml:space="preserve"> a similar contribution </w:t>
      </w:r>
      <w:r w:rsidR="00D3490B">
        <w:t xml:space="preserve">being </w:t>
      </w:r>
      <w:r w:rsidR="00D20304">
        <w:t xml:space="preserve">seen in the 2007 ANCNPAS. </w:t>
      </w:r>
      <w:r w:rsidR="00D3490B">
        <w:t xml:space="preserve">In the 2011-12 NNPAS milk </w:t>
      </w:r>
      <w:r w:rsidR="00687DF0">
        <w:t>was a major contributor</w:t>
      </w:r>
      <w:r w:rsidR="00050BE9">
        <w:t xml:space="preserve"> (</w:t>
      </w:r>
      <w:r w:rsidR="00050BE9">
        <w:rPr>
          <w:rFonts w:cs="Arial"/>
        </w:rPr>
        <w:t>≥</w:t>
      </w:r>
      <w:r w:rsidR="00050BE9">
        <w:t>20%)</w:t>
      </w:r>
      <w:r w:rsidR="00687DF0">
        <w:t xml:space="preserve"> to calcium, iodine, phosphorus, </w:t>
      </w:r>
      <w:r w:rsidR="00326E1B">
        <w:t>retinol equivalents</w:t>
      </w:r>
      <w:r w:rsidR="00687DF0">
        <w:t>, riboflavin, vitamin B</w:t>
      </w:r>
      <w:r w:rsidR="00687DF0">
        <w:rPr>
          <w:vertAlign w:val="subscript"/>
        </w:rPr>
        <w:t>6</w:t>
      </w:r>
      <w:r w:rsidR="00687DF0">
        <w:t xml:space="preserve"> and vitamin B</w:t>
      </w:r>
      <w:r w:rsidR="00687DF0" w:rsidRPr="0061129E">
        <w:rPr>
          <w:vertAlign w:val="subscript"/>
        </w:rPr>
        <w:t>12</w:t>
      </w:r>
      <w:r w:rsidR="00687DF0">
        <w:t xml:space="preserve"> intakes</w:t>
      </w:r>
      <w:r w:rsidR="00BB4A00">
        <w:t xml:space="preserve"> </w:t>
      </w:r>
      <w:r w:rsidR="00050BE9">
        <w:t xml:space="preserve">for one or more population groups assessed </w:t>
      </w:r>
      <w:r w:rsidR="00BB4A00">
        <w:t>(</w:t>
      </w:r>
      <w:r w:rsidR="00BB4A00">
        <w:rPr>
          <w:noProof/>
        </w:rPr>
        <w:fldChar w:fldCharType="begin"/>
      </w:r>
      <w:r w:rsidR="00BB4A00">
        <w:rPr>
          <w:noProof/>
        </w:rPr>
        <w:instrText xml:space="preserve"> REF _Ref417649119 \h </w:instrText>
      </w:r>
      <w:r w:rsidR="00BB4A00">
        <w:rPr>
          <w:noProof/>
        </w:rPr>
      </w:r>
      <w:r w:rsidR="00BB4A00">
        <w:rPr>
          <w:noProof/>
        </w:rPr>
        <w:fldChar w:fldCharType="separate"/>
      </w:r>
      <w:r w:rsidR="00047581">
        <w:t>Table A1.</w:t>
      </w:r>
      <w:r w:rsidR="00047581">
        <w:rPr>
          <w:noProof/>
        </w:rPr>
        <w:t>4</w:t>
      </w:r>
      <w:r w:rsidR="00BB4A00">
        <w:rPr>
          <w:noProof/>
        </w:rPr>
        <w:fldChar w:fldCharType="end"/>
      </w:r>
      <w:r w:rsidR="00BB4A00">
        <w:rPr>
          <w:noProof/>
        </w:rPr>
        <w:t xml:space="preserve"> in </w:t>
      </w:r>
      <w:r w:rsidR="00BB4A00">
        <w:rPr>
          <w:noProof/>
        </w:rPr>
        <w:fldChar w:fldCharType="begin"/>
      </w:r>
      <w:r w:rsidR="00BB4A00">
        <w:rPr>
          <w:noProof/>
        </w:rPr>
        <w:instrText xml:space="preserve"> REF _Ref417648450 \h </w:instrText>
      </w:r>
      <w:r w:rsidR="00BB4A00">
        <w:rPr>
          <w:noProof/>
        </w:rPr>
      </w:r>
      <w:r w:rsidR="00BB4A00">
        <w:rPr>
          <w:noProof/>
        </w:rPr>
        <w:fldChar w:fldCharType="separate"/>
      </w:r>
      <w:r w:rsidR="00047581">
        <w:t xml:space="preserve">Appendix </w:t>
      </w:r>
      <w:r w:rsidR="00047581">
        <w:rPr>
          <w:noProof/>
        </w:rPr>
        <w:t>1</w:t>
      </w:r>
      <w:r w:rsidR="00BB4A00">
        <w:rPr>
          <w:noProof/>
        </w:rPr>
        <w:fldChar w:fldCharType="end"/>
      </w:r>
      <w:r w:rsidR="00BB4A00">
        <w:rPr>
          <w:noProof/>
        </w:rPr>
        <w:t>)</w:t>
      </w:r>
      <w:r w:rsidR="00687DF0">
        <w:t>.</w:t>
      </w:r>
    </w:p>
    <w:p w14:paraId="6CE82AC0" w14:textId="77777777" w:rsidR="00AF5FA2" w:rsidRDefault="00AF5FA2" w:rsidP="00D20A1E">
      <w:pPr>
        <w:widowControl/>
      </w:pPr>
    </w:p>
    <w:p w14:paraId="2BE9E9BC" w14:textId="77777777" w:rsidR="0023423F" w:rsidRDefault="00AF5FA2" w:rsidP="00D20A1E">
      <w:pPr>
        <w:widowControl/>
      </w:pPr>
      <w:r>
        <w:t>The contribution of milk to iodine intakes for respondents aged 2</w:t>
      </w:r>
      <w:r w:rsidR="00703DC1">
        <w:t> </w:t>
      </w:r>
      <w:r>
        <w:t xml:space="preserve">years and above was lower in the 2011-12 NNPAS (19%) compared with the 1995 AusNNS (68%). </w:t>
      </w:r>
      <w:r w:rsidR="00C35535">
        <w:t>It is also important to note that mandatory fortification of bread with iodine (</w:t>
      </w:r>
      <w:r w:rsidR="00ED6BE3">
        <w:t xml:space="preserve">by </w:t>
      </w:r>
      <w:r w:rsidR="00C35535">
        <w:t xml:space="preserve">the use of iodised salt) was introduced in </w:t>
      </w:r>
      <w:r w:rsidR="00E22436">
        <w:t>2009</w:t>
      </w:r>
      <w:r w:rsidR="00C35535">
        <w:t xml:space="preserve">, contributing to the reduction in the </w:t>
      </w:r>
      <w:r w:rsidR="00C143C0">
        <w:t xml:space="preserve">relative </w:t>
      </w:r>
      <w:r w:rsidR="00C35535">
        <w:t xml:space="preserve">contribution of milk to </w:t>
      </w:r>
      <w:r w:rsidR="00C143C0">
        <w:t xml:space="preserve">total </w:t>
      </w:r>
      <w:r w:rsidR="00C35535">
        <w:t xml:space="preserve">iodine intakes. </w:t>
      </w:r>
      <w:r w:rsidR="00E22436">
        <w:t xml:space="preserve">Different methodologies were also used to assess iodine intakes in the two surveys. </w:t>
      </w:r>
      <w:r>
        <w:t>The contribution of milk to calcium intakes was also lower in the 2011-12 NNPAS (21%) compared with the 1995 AusNNS (33%).</w:t>
      </w:r>
      <w:r w:rsidRPr="00AF5FA2">
        <w:t xml:space="preserve"> </w:t>
      </w:r>
      <w:r w:rsidR="0023423F">
        <w:br w:type="page"/>
      </w:r>
    </w:p>
    <w:p w14:paraId="76225B51" w14:textId="0317321B" w:rsidR="00AF5FA2" w:rsidRDefault="00AF5FA2" w:rsidP="00D20A1E">
      <w:pPr>
        <w:widowControl/>
      </w:pPr>
      <w:r>
        <w:lastRenderedPageBreak/>
        <w:t>The contribution of milk to riboflavin intakes was also lower in the 2011-12 NNPAS (16%) compared with the 1995 AusNNS (23%).</w:t>
      </w:r>
      <w:r w:rsidR="000E630B">
        <w:t xml:space="preserve"> These differences could be a result of differences in survey methodology or changes in food </w:t>
      </w:r>
      <w:r w:rsidR="00E22436">
        <w:t xml:space="preserve">consumption </w:t>
      </w:r>
      <w:r w:rsidR="000E630B">
        <w:t>over time, or both.</w:t>
      </w:r>
    </w:p>
    <w:p w14:paraId="778E901A" w14:textId="3781E795" w:rsidR="00AF5FA2" w:rsidRDefault="0023423F" w:rsidP="00D20A1E">
      <w:pPr>
        <w:pStyle w:val="Heading4"/>
        <w:widowControl/>
      </w:pPr>
      <w:r>
        <w:t>8.1.2.2</w:t>
      </w:r>
      <w:r>
        <w:tab/>
      </w:r>
      <w:r w:rsidR="00AF5FA2">
        <w:t>New Zealand national nutrition surveys</w:t>
      </w:r>
    </w:p>
    <w:p w14:paraId="1EE9B596" w14:textId="2092E2C0" w:rsidR="00D84540" w:rsidRDefault="00A14C40" w:rsidP="00D20A1E">
      <w:pPr>
        <w:widowControl/>
      </w:pPr>
      <w:r>
        <w:t>M</w:t>
      </w:r>
      <w:r w:rsidR="00687DF0" w:rsidRPr="004254AB">
        <w:t xml:space="preserve">ilk </w:t>
      </w:r>
      <w:r w:rsidR="00687DF0">
        <w:t xml:space="preserve">was a major contributor </w:t>
      </w:r>
      <w:r w:rsidR="00A556F3">
        <w:t xml:space="preserve">to </w:t>
      </w:r>
      <w:r w:rsidR="00687DF0">
        <w:t>calcium, iodine</w:t>
      </w:r>
      <w:r w:rsidR="00A556F3">
        <w:t xml:space="preserve"> and</w:t>
      </w:r>
      <w:r w:rsidR="00687DF0">
        <w:t xml:space="preserve"> riboflavin intakes</w:t>
      </w:r>
      <w:r w:rsidR="000E630B">
        <w:t xml:space="preserve"> for children aged 5</w:t>
      </w:r>
      <w:r w:rsidR="00CD1778">
        <w:noBreakHyphen/>
      </w:r>
      <w:r w:rsidR="000E630B">
        <w:t>14</w:t>
      </w:r>
      <w:r w:rsidR="00CD1778">
        <w:t> </w:t>
      </w:r>
      <w:r w:rsidR="000E630B">
        <w:t>years</w:t>
      </w:r>
      <w:r w:rsidR="00687DF0">
        <w:t xml:space="preserve"> </w:t>
      </w:r>
      <w:r>
        <w:t>i</w:t>
      </w:r>
      <w:r w:rsidRPr="004254AB">
        <w:t xml:space="preserve">n the </w:t>
      </w:r>
      <w:r w:rsidR="00064C03">
        <w:t>2002 NZCNS</w:t>
      </w:r>
      <w:r w:rsidR="002664F2">
        <w:t xml:space="preserve"> and for New Zealanders aged 15 years and above in the 1997 NZNNS.</w:t>
      </w:r>
      <w:r>
        <w:t xml:space="preserve"> </w:t>
      </w:r>
      <w:r w:rsidR="002664F2">
        <w:t xml:space="preserve">Milk was </w:t>
      </w:r>
      <w:r>
        <w:t xml:space="preserve">a major contributor to calcium and riboflavin intakes </w:t>
      </w:r>
      <w:r w:rsidR="00455E4A">
        <w:t>for the population aged 15</w:t>
      </w:r>
      <w:r w:rsidR="00CD1778">
        <w:t> </w:t>
      </w:r>
      <w:r w:rsidR="00455E4A">
        <w:t xml:space="preserve">years and above </w:t>
      </w:r>
      <w:r>
        <w:t>in the 2008</w:t>
      </w:r>
      <w:r w:rsidR="00455E4A">
        <w:t> </w:t>
      </w:r>
      <w:r>
        <w:t>NZANS</w:t>
      </w:r>
      <w:r w:rsidR="00D84540">
        <w:t xml:space="preserve"> </w:t>
      </w:r>
      <w:r w:rsidR="00687DF0">
        <w:t>(</w:t>
      </w:r>
      <w:r>
        <w:t xml:space="preserve">see </w:t>
      </w:r>
      <w:r w:rsidR="00FD4CCA">
        <w:fldChar w:fldCharType="begin"/>
      </w:r>
      <w:r w:rsidR="00FD4CCA">
        <w:instrText xml:space="preserve"> REF _Ref421190165 \h </w:instrText>
      </w:r>
      <w:r w:rsidR="00FD4CCA">
        <w:fldChar w:fldCharType="separate"/>
      </w:r>
      <w:r w:rsidR="00047581">
        <w:t>Table A1.</w:t>
      </w:r>
      <w:r w:rsidR="00047581">
        <w:rPr>
          <w:noProof/>
        </w:rPr>
        <w:t>5</w:t>
      </w:r>
      <w:r w:rsidR="00FD4CCA">
        <w:fldChar w:fldCharType="end"/>
      </w:r>
      <w:r w:rsidR="00FD4CCA">
        <w:t xml:space="preserve"> </w:t>
      </w:r>
      <w:r w:rsidR="00687DF0">
        <w:rPr>
          <w:noProof/>
        </w:rPr>
        <w:t xml:space="preserve">in </w:t>
      </w:r>
      <w:r w:rsidR="00687DF0">
        <w:rPr>
          <w:noProof/>
        </w:rPr>
        <w:fldChar w:fldCharType="begin"/>
      </w:r>
      <w:r w:rsidR="00687DF0">
        <w:rPr>
          <w:noProof/>
        </w:rPr>
        <w:instrText xml:space="preserve"> REF _Ref417648450 \h </w:instrText>
      </w:r>
      <w:r w:rsidR="00687DF0">
        <w:rPr>
          <w:noProof/>
        </w:rPr>
      </w:r>
      <w:r w:rsidR="00687DF0">
        <w:rPr>
          <w:noProof/>
        </w:rPr>
        <w:fldChar w:fldCharType="separate"/>
      </w:r>
      <w:r w:rsidR="00047581">
        <w:t xml:space="preserve">Appendix </w:t>
      </w:r>
      <w:r w:rsidR="00047581">
        <w:rPr>
          <w:noProof/>
        </w:rPr>
        <w:t>1</w:t>
      </w:r>
      <w:r w:rsidR="00687DF0">
        <w:rPr>
          <w:noProof/>
        </w:rPr>
        <w:fldChar w:fldCharType="end"/>
      </w:r>
      <w:r w:rsidR="00687DF0">
        <w:rPr>
          <w:noProof/>
        </w:rPr>
        <w:t>)</w:t>
      </w:r>
      <w:r w:rsidR="00687DF0" w:rsidRPr="004254AB">
        <w:t>.</w:t>
      </w:r>
    </w:p>
    <w:p w14:paraId="0DA190EC" w14:textId="77777777" w:rsidR="00D84540" w:rsidRDefault="00D84540" w:rsidP="00D20A1E">
      <w:pPr>
        <w:widowControl/>
      </w:pPr>
    </w:p>
    <w:p w14:paraId="301D16E4" w14:textId="144DDBD2" w:rsidR="00687DF0" w:rsidRDefault="00D84540" w:rsidP="00D20A1E">
      <w:pPr>
        <w:widowControl/>
      </w:pPr>
      <w:r>
        <w:t xml:space="preserve">The contribution of milk to iodine intakes </w:t>
      </w:r>
      <w:r w:rsidR="00AF5FA2">
        <w:t xml:space="preserve">for respondents aged 15 years and above </w:t>
      </w:r>
      <w:r>
        <w:t>was lower in the 2008 NZANS (17%) compared with the 1997 NZNNS (</w:t>
      </w:r>
      <w:r w:rsidR="002664F2">
        <w:t>31</w:t>
      </w:r>
      <w:r>
        <w:t>%)</w:t>
      </w:r>
      <w:r w:rsidR="00AD6712">
        <w:rPr>
          <w:rStyle w:val="FootnoteReference"/>
        </w:rPr>
        <w:footnoteReference w:id="10"/>
      </w:r>
      <w:r w:rsidR="00586D02">
        <w:t>.</w:t>
      </w:r>
      <w:r w:rsidR="003A4CBA">
        <w:t xml:space="preserve"> </w:t>
      </w:r>
      <w:r w:rsidR="00E35148">
        <w:t xml:space="preserve">As for </w:t>
      </w:r>
      <w:r w:rsidR="00586D02">
        <w:t>Australia,</w:t>
      </w:r>
      <w:r w:rsidR="00E35148">
        <w:t xml:space="preserve"> </w:t>
      </w:r>
      <w:r w:rsidR="003A4CBA">
        <w:t xml:space="preserve">the mandatory fortification of bread with iodised salt </w:t>
      </w:r>
      <w:r w:rsidR="00E35148">
        <w:t xml:space="preserve">was introduced </w:t>
      </w:r>
      <w:r w:rsidR="003A4CBA">
        <w:t xml:space="preserve">in </w:t>
      </w:r>
      <w:r w:rsidR="00E35148">
        <w:t>2009, contributing to the reduction in the relative contribution of milk to total iodine intakes</w:t>
      </w:r>
      <w:r>
        <w:t xml:space="preserve">. The contribution of milk to calcium intakes was also lower </w:t>
      </w:r>
      <w:r w:rsidR="00AF5FA2">
        <w:t>in the 2008 NZANS (28%) compared with the 1997 NZNNS (3</w:t>
      </w:r>
      <w:r w:rsidR="002664F2">
        <w:t>8</w:t>
      </w:r>
      <w:r w:rsidR="00AF5FA2">
        <w:t>%). Similar results were found for the Australian surveys.</w:t>
      </w:r>
      <w:r w:rsidR="00455E4A">
        <w:t xml:space="preserve"> Again, these differences could be a result of differences in survey methodology or changes in food </w:t>
      </w:r>
      <w:r w:rsidR="00E35148">
        <w:t xml:space="preserve">consumption </w:t>
      </w:r>
      <w:r w:rsidR="00455E4A">
        <w:t>over time, or both.</w:t>
      </w:r>
    </w:p>
    <w:p w14:paraId="4EAFE942" w14:textId="30E86BDF" w:rsidR="006B2784" w:rsidRPr="00F33A79" w:rsidRDefault="00AF4FCB" w:rsidP="00D20A1E">
      <w:pPr>
        <w:pStyle w:val="Heading2"/>
      </w:pPr>
      <w:bookmarkStart w:id="134" w:name="_Toc108318476"/>
      <w:bookmarkStart w:id="135" w:name="_Toc108334627"/>
      <w:bookmarkStart w:id="136" w:name="_Toc117578538"/>
      <w:bookmarkStart w:id="137" w:name="_Toc117579248"/>
      <w:bookmarkStart w:id="138" w:name="_Toc117581574"/>
      <w:bookmarkStart w:id="139" w:name="_Toc118025009"/>
      <w:bookmarkStart w:id="140" w:name="_Toc118173625"/>
      <w:bookmarkStart w:id="141" w:name="_Toc118181172"/>
      <w:bookmarkStart w:id="142" w:name="_Toc118524389"/>
      <w:bookmarkStart w:id="143" w:name="_Ref421178326"/>
      <w:bookmarkStart w:id="144" w:name="_Ref421178338"/>
      <w:bookmarkStart w:id="145" w:name="_Ref421178351"/>
      <w:bookmarkStart w:id="146" w:name="_Toc427672188"/>
      <w:bookmarkStart w:id="147" w:name="_Toc427678254"/>
      <w:r>
        <w:t>8.2</w:t>
      </w:r>
      <w:r>
        <w:tab/>
      </w:r>
      <w:r w:rsidR="00455E4A">
        <w:t>Comparison of mean n</w:t>
      </w:r>
      <w:r w:rsidR="00664749" w:rsidRPr="00F33A79">
        <w:t>utrient intake</w:t>
      </w:r>
      <w:r w:rsidR="00455E4A">
        <w:t xml:space="preserve">s between the general population and </w:t>
      </w:r>
      <w:r w:rsidR="00664749" w:rsidRPr="00F33A79">
        <w:t>non-dairy consumers</w:t>
      </w:r>
      <w:bookmarkEnd w:id="134"/>
      <w:bookmarkEnd w:id="135"/>
      <w:bookmarkEnd w:id="136"/>
      <w:bookmarkEnd w:id="137"/>
      <w:bookmarkEnd w:id="138"/>
      <w:bookmarkEnd w:id="139"/>
      <w:bookmarkEnd w:id="140"/>
      <w:bookmarkEnd w:id="141"/>
      <w:bookmarkEnd w:id="142"/>
      <w:r w:rsidR="00664749">
        <w:t xml:space="preserve">, </w:t>
      </w:r>
      <w:r w:rsidR="00CD1778">
        <w:t>based on the</w:t>
      </w:r>
      <w:r w:rsidR="00664749">
        <w:t xml:space="preserve"> </w:t>
      </w:r>
      <w:r w:rsidR="006B2784">
        <w:t>A500 assessment</w:t>
      </w:r>
      <w:r w:rsidR="00BB4A00">
        <w:t xml:space="preserve"> (FSANZ 200</w:t>
      </w:r>
      <w:r w:rsidR="00A73D12">
        <w:t>5</w:t>
      </w:r>
      <w:r w:rsidR="00BB4A00">
        <w:t>b)</w:t>
      </w:r>
      <w:bookmarkEnd w:id="143"/>
      <w:bookmarkEnd w:id="144"/>
      <w:bookmarkEnd w:id="145"/>
      <w:bookmarkEnd w:id="146"/>
      <w:bookmarkEnd w:id="147"/>
    </w:p>
    <w:p w14:paraId="7C65A036" w14:textId="41F815DA" w:rsidR="00853988" w:rsidRDefault="00513153" w:rsidP="00D20A1E">
      <w:pPr>
        <w:pStyle w:val="Heading3"/>
        <w:keepLines/>
        <w:widowControl/>
      </w:pPr>
      <w:bookmarkStart w:id="148" w:name="_Ref421178372"/>
      <w:bookmarkStart w:id="149" w:name="_Ref421178382"/>
      <w:bookmarkStart w:id="150" w:name="_Toc427672189"/>
      <w:bookmarkStart w:id="151" w:name="_Toc427678255"/>
      <w:r>
        <w:t>8.2.1</w:t>
      </w:r>
      <w:r>
        <w:tab/>
      </w:r>
      <w:r w:rsidR="003A4CBA">
        <w:t>V</w:t>
      </w:r>
      <w:r w:rsidR="00853988">
        <w:t>itamin and mineral intakes</w:t>
      </w:r>
      <w:bookmarkEnd w:id="148"/>
      <w:bookmarkEnd w:id="149"/>
      <w:bookmarkEnd w:id="150"/>
      <w:bookmarkEnd w:id="151"/>
    </w:p>
    <w:p w14:paraId="61C03353" w14:textId="3CF7EEC0" w:rsidR="00853988" w:rsidRPr="000613A6" w:rsidRDefault="0023423F" w:rsidP="00D20A1E">
      <w:pPr>
        <w:pStyle w:val="Heading4"/>
        <w:keepLines/>
        <w:widowControl/>
        <w:rPr>
          <w:lang w:eastAsia="en-AU"/>
        </w:rPr>
      </w:pPr>
      <w:bookmarkStart w:id="152" w:name="_Ref420331166"/>
      <w:r>
        <w:rPr>
          <w:lang w:eastAsia="en-AU"/>
        </w:rPr>
        <w:t>8.2.1.1</w:t>
      </w:r>
      <w:r>
        <w:rPr>
          <w:lang w:eastAsia="en-AU"/>
        </w:rPr>
        <w:tab/>
      </w:r>
      <w:r w:rsidR="00853988">
        <w:rPr>
          <w:lang w:eastAsia="en-AU"/>
        </w:rPr>
        <w:t>Vitamin and mineral dietary intake assessments for non-dairy consumers</w:t>
      </w:r>
      <w:r w:rsidR="003A4CBA">
        <w:rPr>
          <w:lang w:eastAsia="en-AU"/>
        </w:rPr>
        <w:t>,</w:t>
      </w:r>
      <w:r w:rsidR="00853988">
        <w:rPr>
          <w:lang w:eastAsia="en-AU"/>
        </w:rPr>
        <w:t xml:space="preserve"> </w:t>
      </w:r>
      <w:r w:rsidR="000A54D9">
        <w:rPr>
          <w:lang w:eastAsia="en-AU"/>
        </w:rPr>
        <w:t xml:space="preserve">based on the </w:t>
      </w:r>
      <w:r w:rsidR="00853988">
        <w:rPr>
          <w:lang w:eastAsia="en-AU"/>
        </w:rPr>
        <w:t>cereal-based beverages assessment (A500)</w:t>
      </w:r>
      <w:bookmarkEnd w:id="152"/>
    </w:p>
    <w:p w14:paraId="6563BDF6" w14:textId="7074F9FA" w:rsidR="00275E61" w:rsidRPr="000A54D9" w:rsidRDefault="00275E61" w:rsidP="00D20A1E">
      <w:pPr>
        <w:widowControl/>
        <w:rPr>
          <w:lang w:val="en-US"/>
        </w:rPr>
      </w:pPr>
      <w:r>
        <w:rPr>
          <w:lang w:val="en-US"/>
        </w:rPr>
        <w:t>In A500, mean vitamin and mineral intakes were estimated for Australians aged 2</w:t>
      </w:r>
      <w:r>
        <w:rPr>
          <w:lang w:val="en-US"/>
        </w:rPr>
        <w:noBreakHyphen/>
        <w:t>4 years, 5</w:t>
      </w:r>
      <w:r>
        <w:rPr>
          <w:lang w:val="en-US"/>
        </w:rPr>
        <w:noBreakHyphen/>
        <w:t>14 years, 15 years and above and 2 years and above.</w:t>
      </w:r>
      <w:r w:rsidRPr="00275E61">
        <w:rPr>
          <w:lang w:val="en-US"/>
        </w:rPr>
        <w:t xml:space="preserve"> </w:t>
      </w:r>
      <w:r>
        <w:rPr>
          <w:lang w:val="en-US"/>
        </w:rPr>
        <w:t>Mean intakes were also estimated for New Zealanders aged 15 years and above (</w:t>
      </w:r>
      <w:r w:rsidRPr="00237123">
        <w:rPr>
          <w:szCs w:val="22"/>
          <w:lang w:val="en-US"/>
        </w:rPr>
        <w:t xml:space="preserve">see </w:t>
      </w:r>
      <w:r>
        <w:rPr>
          <w:szCs w:val="22"/>
          <w:lang w:val="en-US"/>
        </w:rPr>
        <w:fldChar w:fldCharType="begin"/>
      </w:r>
      <w:r>
        <w:rPr>
          <w:szCs w:val="22"/>
          <w:lang w:val="en-US"/>
        </w:rPr>
        <w:instrText xml:space="preserve"> REF _Ref420331744 \h </w:instrText>
      </w:r>
      <w:r>
        <w:rPr>
          <w:szCs w:val="22"/>
          <w:lang w:val="en-US"/>
        </w:rPr>
      </w:r>
      <w:r>
        <w:rPr>
          <w:szCs w:val="22"/>
          <w:lang w:val="en-US"/>
        </w:rPr>
        <w:fldChar w:fldCharType="separate"/>
      </w:r>
      <w:r w:rsidR="00047581">
        <w:t>Table A1.</w:t>
      </w:r>
      <w:r w:rsidR="00047581">
        <w:rPr>
          <w:noProof/>
        </w:rPr>
        <w:t>6</w:t>
      </w:r>
      <w:r>
        <w:rPr>
          <w:szCs w:val="22"/>
          <w:lang w:val="en-US"/>
        </w:rPr>
        <w:fldChar w:fldCharType="end"/>
      </w:r>
      <w:r>
        <w:rPr>
          <w:szCs w:val="22"/>
          <w:lang w:val="en-US"/>
        </w:rPr>
        <w:t xml:space="preserve"> in </w:t>
      </w:r>
      <w:r>
        <w:rPr>
          <w:noProof/>
        </w:rPr>
        <w:fldChar w:fldCharType="begin"/>
      </w:r>
      <w:r>
        <w:rPr>
          <w:noProof/>
        </w:rPr>
        <w:instrText xml:space="preserve"> REF _Ref417648450 \h </w:instrText>
      </w:r>
      <w:r>
        <w:rPr>
          <w:noProof/>
        </w:rPr>
      </w:r>
      <w:r>
        <w:rPr>
          <w:noProof/>
        </w:rPr>
        <w:fldChar w:fldCharType="separate"/>
      </w:r>
      <w:r w:rsidR="00047581">
        <w:t xml:space="preserve">Appendix </w:t>
      </w:r>
      <w:r w:rsidR="00047581">
        <w:rPr>
          <w:noProof/>
        </w:rPr>
        <w:t>1</w:t>
      </w:r>
      <w:r>
        <w:rPr>
          <w:noProof/>
        </w:rPr>
        <w:fldChar w:fldCharType="end"/>
      </w:r>
      <w:r w:rsidRPr="00237123">
        <w:rPr>
          <w:szCs w:val="22"/>
          <w:lang w:val="en-US"/>
        </w:rPr>
        <w:t>)</w:t>
      </w:r>
      <w:r>
        <w:rPr>
          <w:lang w:val="en-US"/>
        </w:rPr>
        <w:t>.</w:t>
      </w:r>
    </w:p>
    <w:p w14:paraId="3E7B6C45" w14:textId="77777777" w:rsidR="00275E61" w:rsidRDefault="00275E61" w:rsidP="00D20A1E">
      <w:pPr>
        <w:widowControl/>
        <w:rPr>
          <w:szCs w:val="22"/>
          <w:lang w:val="en-US"/>
        </w:rPr>
      </w:pPr>
    </w:p>
    <w:p w14:paraId="7F5E1EC4" w14:textId="5546BA1E" w:rsidR="00275E61" w:rsidRPr="000A54D9" w:rsidRDefault="00455E4A" w:rsidP="00D20A1E">
      <w:pPr>
        <w:widowControl/>
        <w:rPr>
          <w:lang w:val="en-US"/>
        </w:rPr>
      </w:pPr>
      <w:r>
        <w:rPr>
          <w:szCs w:val="22"/>
          <w:lang w:val="en-US"/>
        </w:rPr>
        <w:t xml:space="preserve">The dietary </w:t>
      </w:r>
      <w:r w:rsidR="000A54D9">
        <w:rPr>
          <w:szCs w:val="22"/>
          <w:lang w:val="en-US"/>
        </w:rPr>
        <w:t xml:space="preserve">intake </w:t>
      </w:r>
      <w:r>
        <w:rPr>
          <w:szCs w:val="22"/>
          <w:lang w:val="en-US"/>
        </w:rPr>
        <w:t>assessment for A500 found that t</w:t>
      </w:r>
      <w:r w:rsidR="00853988" w:rsidRPr="00237123">
        <w:rPr>
          <w:szCs w:val="22"/>
          <w:lang w:val="en-US"/>
        </w:rPr>
        <w:t xml:space="preserve">he mean intakes of calcium, </w:t>
      </w:r>
      <w:r w:rsidR="00FD61DF" w:rsidRPr="004E5557">
        <w:rPr>
          <w:szCs w:val="22"/>
          <w:lang w:val="en-US"/>
        </w:rPr>
        <w:t xml:space="preserve">naturally </w:t>
      </w:r>
      <w:r w:rsidR="00FD61DF" w:rsidRPr="00BE299C">
        <w:rPr>
          <w:szCs w:val="22"/>
          <w:lang w:val="en-US"/>
        </w:rPr>
        <w:t>occurring folates</w:t>
      </w:r>
      <w:r w:rsidR="00D47E75">
        <w:rPr>
          <w:szCs w:val="22"/>
          <w:lang w:val="en-US"/>
        </w:rPr>
        <w:t xml:space="preserve">, </w:t>
      </w:r>
      <w:r w:rsidR="00853988" w:rsidRPr="00BE299C">
        <w:rPr>
          <w:szCs w:val="22"/>
          <w:lang w:val="en-US"/>
        </w:rPr>
        <w:t xml:space="preserve">magnesium, phosphorus, zinc, </w:t>
      </w:r>
      <w:r w:rsidR="00326E1B">
        <w:rPr>
          <w:szCs w:val="22"/>
          <w:lang w:val="en-US"/>
        </w:rPr>
        <w:t>retinol equivalents</w:t>
      </w:r>
      <w:r w:rsidR="00B31406" w:rsidRPr="00BE299C">
        <w:rPr>
          <w:szCs w:val="22"/>
          <w:lang w:val="en-US"/>
        </w:rPr>
        <w:t xml:space="preserve">, </w:t>
      </w:r>
      <w:r w:rsidR="00853988" w:rsidRPr="00BE299C">
        <w:rPr>
          <w:szCs w:val="22"/>
          <w:lang w:val="en-US"/>
        </w:rPr>
        <w:t>riboflavin,</w:t>
      </w:r>
      <w:r w:rsidR="00853988" w:rsidRPr="00237123">
        <w:rPr>
          <w:szCs w:val="22"/>
          <w:lang w:val="en-US"/>
        </w:rPr>
        <w:t xml:space="preserve"> thiamin, vitamin</w:t>
      </w:r>
      <w:r w:rsidR="00B31406" w:rsidRPr="00237123">
        <w:rPr>
          <w:szCs w:val="22"/>
          <w:lang w:val="en-US"/>
        </w:rPr>
        <w:t>s</w:t>
      </w:r>
      <w:r w:rsidR="00853988" w:rsidRPr="00237123">
        <w:rPr>
          <w:szCs w:val="22"/>
          <w:lang w:val="en-US"/>
        </w:rPr>
        <w:t xml:space="preserve"> B</w:t>
      </w:r>
      <w:r w:rsidR="00853988" w:rsidRPr="00237123">
        <w:rPr>
          <w:szCs w:val="22"/>
          <w:vertAlign w:val="subscript"/>
          <w:lang w:val="en-US"/>
        </w:rPr>
        <w:t>6</w:t>
      </w:r>
      <w:r w:rsidR="00853988" w:rsidRPr="00237123">
        <w:rPr>
          <w:szCs w:val="22"/>
          <w:lang w:val="en-US"/>
        </w:rPr>
        <w:t>, B</w:t>
      </w:r>
      <w:r w:rsidR="00853988" w:rsidRPr="00237123">
        <w:rPr>
          <w:szCs w:val="22"/>
          <w:vertAlign w:val="subscript"/>
          <w:lang w:val="en-US"/>
        </w:rPr>
        <w:t>12</w:t>
      </w:r>
      <w:r w:rsidR="00853988" w:rsidRPr="00237123">
        <w:rPr>
          <w:szCs w:val="22"/>
          <w:lang w:val="en-US"/>
        </w:rPr>
        <w:t xml:space="preserve"> and D </w:t>
      </w:r>
      <w:r>
        <w:rPr>
          <w:szCs w:val="22"/>
          <w:lang w:val="en-US"/>
        </w:rPr>
        <w:t>were</w:t>
      </w:r>
      <w:r w:rsidRPr="00237123">
        <w:rPr>
          <w:szCs w:val="22"/>
          <w:lang w:val="en-US"/>
        </w:rPr>
        <w:t xml:space="preserve"> </w:t>
      </w:r>
      <w:r w:rsidR="00853988" w:rsidRPr="00237123">
        <w:rPr>
          <w:szCs w:val="22"/>
          <w:lang w:val="en-US"/>
        </w:rPr>
        <w:t>lower for non-dairy consumers compared to the general population</w:t>
      </w:r>
      <w:r w:rsidR="007F2DF3">
        <w:rPr>
          <w:szCs w:val="22"/>
          <w:lang w:val="en-US"/>
        </w:rPr>
        <w:t>.</w:t>
      </w:r>
      <w:r w:rsidR="00275E61" w:rsidRPr="00275E61">
        <w:rPr>
          <w:lang w:val="en-US"/>
        </w:rPr>
        <w:t xml:space="preserve"> </w:t>
      </w:r>
      <w:r w:rsidR="00275E61">
        <w:rPr>
          <w:lang w:val="en-US"/>
        </w:rPr>
        <w:t xml:space="preserve">Due to the low number of Australian non-dairy consumers aged 2-4 years, the difference in nutrient intakes between the general population and non-dairy consumers for this age group </w:t>
      </w:r>
      <w:r w:rsidR="00275E61" w:rsidRPr="00B968E4">
        <w:rPr>
          <w:lang w:val="en-US"/>
        </w:rPr>
        <w:t>should be interpreted as a guide</w:t>
      </w:r>
      <w:r w:rsidR="00275E61">
        <w:rPr>
          <w:lang w:val="en-US"/>
        </w:rPr>
        <w:t xml:space="preserve"> only. All vitamin and mineral intakes were lower for non-dairy consumers aged 2-4 years compared to the general population, with calcium, riboflavin and </w:t>
      </w:r>
      <w:r w:rsidR="00326E1B">
        <w:rPr>
          <w:lang w:val="en-US"/>
        </w:rPr>
        <w:t>retinol equivalents</w:t>
      </w:r>
      <w:r w:rsidR="00275E61">
        <w:rPr>
          <w:lang w:val="en-US"/>
        </w:rPr>
        <w:t xml:space="preserve"> showing the greatest difference </w:t>
      </w:r>
      <w:r w:rsidR="00275E61" w:rsidRPr="00237123">
        <w:rPr>
          <w:szCs w:val="22"/>
          <w:lang w:val="en-US"/>
        </w:rPr>
        <w:t xml:space="preserve">(see </w:t>
      </w:r>
      <w:r w:rsidR="00275E61">
        <w:rPr>
          <w:szCs w:val="22"/>
          <w:lang w:val="en-US"/>
        </w:rPr>
        <w:fldChar w:fldCharType="begin"/>
      </w:r>
      <w:r w:rsidR="00275E61">
        <w:rPr>
          <w:szCs w:val="22"/>
          <w:lang w:val="en-US"/>
        </w:rPr>
        <w:instrText xml:space="preserve"> REF _Ref420331744 \h </w:instrText>
      </w:r>
      <w:r w:rsidR="00275E61">
        <w:rPr>
          <w:szCs w:val="22"/>
          <w:lang w:val="en-US"/>
        </w:rPr>
      </w:r>
      <w:r w:rsidR="00275E61">
        <w:rPr>
          <w:szCs w:val="22"/>
          <w:lang w:val="en-US"/>
        </w:rPr>
        <w:fldChar w:fldCharType="separate"/>
      </w:r>
      <w:r w:rsidR="00047581">
        <w:t>Table A1.</w:t>
      </w:r>
      <w:r w:rsidR="00047581">
        <w:rPr>
          <w:noProof/>
        </w:rPr>
        <w:t>6</w:t>
      </w:r>
      <w:r w:rsidR="00275E61">
        <w:rPr>
          <w:szCs w:val="22"/>
          <w:lang w:val="en-US"/>
        </w:rPr>
        <w:fldChar w:fldCharType="end"/>
      </w:r>
      <w:r w:rsidR="00275E61">
        <w:rPr>
          <w:szCs w:val="22"/>
          <w:lang w:val="en-US"/>
        </w:rPr>
        <w:t xml:space="preserve"> in </w:t>
      </w:r>
      <w:r w:rsidR="00275E61">
        <w:rPr>
          <w:noProof/>
        </w:rPr>
        <w:fldChar w:fldCharType="begin"/>
      </w:r>
      <w:r w:rsidR="00275E61">
        <w:rPr>
          <w:noProof/>
        </w:rPr>
        <w:instrText xml:space="preserve"> REF _Ref417648450 \h </w:instrText>
      </w:r>
      <w:r w:rsidR="00275E61">
        <w:rPr>
          <w:noProof/>
        </w:rPr>
      </w:r>
      <w:r w:rsidR="00275E61">
        <w:rPr>
          <w:noProof/>
        </w:rPr>
        <w:fldChar w:fldCharType="separate"/>
      </w:r>
      <w:r w:rsidR="00047581">
        <w:t xml:space="preserve">Appendix </w:t>
      </w:r>
      <w:r w:rsidR="00047581">
        <w:rPr>
          <w:noProof/>
        </w:rPr>
        <w:t>1</w:t>
      </w:r>
      <w:r w:rsidR="00275E61">
        <w:rPr>
          <w:noProof/>
        </w:rPr>
        <w:fldChar w:fldCharType="end"/>
      </w:r>
      <w:r w:rsidR="00275E61" w:rsidRPr="00237123">
        <w:rPr>
          <w:szCs w:val="22"/>
          <w:lang w:val="en-US"/>
        </w:rPr>
        <w:t>)</w:t>
      </w:r>
      <w:r w:rsidR="00275E61">
        <w:rPr>
          <w:lang w:val="en-US"/>
        </w:rPr>
        <w:t>.</w:t>
      </w:r>
    </w:p>
    <w:p w14:paraId="4B092CE1" w14:textId="797D399E" w:rsidR="005A356B" w:rsidRDefault="005A356B" w:rsidP="00D20A1E">
      <w:pPr>
        <w:widowControl/>
        <w:rPr>
          <w:szCs w:val="22"/>
          <w:lang w:val="en-US"/>
        </w:rPr>
      </w:pPr>
    </w:p>
    <w:p w14:paraId="5ABC3996" w14:textId="78E1D9A4" w:rsidR="00275E61" w:rsidRDefault="00275E61" w:rsidP="00D20A1E">
      <w:pPr>
        <w:widowControl/>
        <w:rPr>
          <w:szCs w:val="22"/>
          <w:lang w:val="en-US"/>
        </w:rPr>
      </w:pPr>
      <w:r>
        <w:rPr>
          <w:szCs w:val="22"/>
          <w:lang w:val="en-US"/>
        </w:rPr>
        <w:fldChar w:fldCharType="begin"/>
      </w:r>
      <w:r>
        <w:rPr>
          <w:szCs w:val="22"/>
          <w:lang w:val="en-US"/>
        </w:rPr>
        <w:instrText xml:space="preserve"> REF _Ref420656555 \h </w:instrText>
      </w:r>
      <w:r>
        <w:rPr>
          <w:szCs w:val="22"/>
          <w:lang w:val="en-US"/>
        </w:rPr>
      </w:r>
      <w:r>
        <w:rPr>
          <w:szCs w:val="22"/>
          <w:lang w:val="en-US"/>
        </w:rPr>
        <w:fldChar w:fldCharType="separate"/>
      </w:r>
      <w:r w:rsidR="00047581">
        <w:t xml:space="preserve">Table </w:t>
      </w:r>
      <w:r w:rsidR="00047581">
        <w:rPr>
          <w:noProof/>
        </w:rPr>
        <w:t>8</w:t>
      </w:r>
      <w:r>
        <w:rPr>
          <w:szCs w:val="22"/>
          <w:lang w:val="en-US"/>
        </w:rPr>
        <w:fldChar w:fldCharType="end"/>
      </w:r>
      <w:r>
        <w:rPr>
          <w:szCs w:val="22"/>
          <w:lang w:val="en-US"/>
        </w:rPr>
        <w:t xml:space="preserve"> provides a summary of the difference in mean nutrient intakes for the Australian and New Zealand populations assessed, excluding Australian children aged 2-4 years. It indicates that the difference in mean nutrient intakes for non-dairy consumers compared to the general population was similar between the two countries</w:t>
      </w:r>
      <w:r w:rsidRPr="00237123">
        <w:rPr>
          <w:szCs w:val="22"/>
          <w:lang w:val="en-US"/>
        </w:rPr>
        <w:t>.</w:t>
      </w:r>
    </w:p>
    <w:p w14:paraId="777F2F3A" w14:textId="77777777" w:rsidR="0023423F" w:rsidRDefault="0023423F" w:rsidP="00D20A1E">
      <w:pPr>
        <w:pStyle w:val="Heading4"/>
        <w:keepNext w:val="0"/>
        <w:widowControl/>
        <w:rPr>
          <w:lang w:eastAsia="en-AU"/>
        </w:rPr>
      </w:pPr>
      <w:bookmarkStart w:id="153" w:name="_Ref426442910"/>
      <w:r>
        <w:rPr>
          <w:lang w:eastAsia="en-AU"/>
        </w:rPr>
        <w:br w:type="page"/>
      </w:r>
    </w:p>
    <w:p w14:paraId="4BBCB63E" w14:textId="203DA211" w:rsidR="00206636" w:rsidRDefault="0023423F" w:rsidP="00D20A1E">
      <w:pPr>
        <w:pStyle w:val="Heading4"/>
        <w:keepNext w:val="0"/>
        <w:widowControl/>
        <w:rPr>
          <w:noProof/>
        </w:rPr>
      </w:pPr>
      <w:r>
        <w:rPr>
          <w:lang w:eastAsia="en-AU"/>
        </w:rPr>
        <w:lastRenderedPageBreak/>
        <w:t>8.2.1.2</w:t>
      </w:r>
      <w:r>
        <w:rPr>
          <w:lang w:eastAsia="en-AU"/>
        </w:rPr>
        <w:tab/>
      </w:r>
      <w:r w:rsidR="00206636">
        <w:rPr>
          <w:lang w:eastAsia="en-AU"/>
        </w:rPr>
        <w:t xml:space="preserve">Vitamin and mineral </w:t>
      </w:r>
      <w:r w:rsidR="00206636">
        <w:rPr>
          <w:noProof/>
        </w:rPr>
        <w:t>intakes for the general population, using the more recent Australian and New Zealand national nutrition surveys</w:t>
      </w:r>
      <w:bookmarkEnd w:id="153"/>
    </w:p>
    <w:p w14:paraId="21A83B52" w14:textId="77777777" w:rsidR="00206636" w:rsidRDefault="00206636" w:rsidP="00D20A1E">
      <w:pPr>
        <w:pStyle w:val="Heading5"/>
        <w:keepNext w:val="0"/>
        <w:widowControl/>
      </w:pPr>
      <w:r>
        <w:t>Australia</w:t>
      </w:r>
    </w:p>
    <w:p w14:paraId="4DF8879D" w14:textId="77777777" w:rsidR="00206636" w:rsidRPr="00383392" w:rsidRDefault="00206636" w:rsidP="00D20A1E">
      <w:pPr>
        <w:widowControl/>
      </w:pPr>
      <w:r w:rsidRPr="00536E90">
        <w:t xml:space="preserve">For the general population of Australians aged 2 years and above and for the majority of nutrients considered in A500, mean nutrient intakes from the more recent 2011-12 NNPAS were similar to those from the 1995 AusNNS, as estimated in the assessment of cereal-based beverages (A500) (refer to </w:t>
      </w:r>
      <w:r w:rsidRPr="00536E90">
        <w:fldChar w:fldCharType="begin"/>
      </w:r>
      <w:r w:rsidRPr="00536E90">
        <w:instrText xml:space="preserve"> REF _Ref420331854 \h  \* MERGEFORMAT </w:instrText>
      </w:r>
      <w:r w:rsidRPr="00536E90">
        <w:fldChar w:fldCharType="separate"/>
      </w:r>
      <w:r w:rsidR="00047581">
        <w:t>Table A1.7</w:t>
      </w:r>
      <w:r w:rsidRPr="00536E90">
        <w:fldChar w:fldCharType="end"/>
      </w:r>
      <w:r w:rsidRPr="00536E90">
        <w:t xml:space="preserve"> in </w:t>
      </w:r>
      <w:r w:rsidRPr="00536E90">
        <w:rPr>
          <w:noProof/>
        </w:rPr>
        <w:fldChar w:fldCharType="begin"/>
      </w:r>
      <w:r w:rsidRPr="00536E90">
        <w:rPr>
          <w:noProof/>
        </w:rPr>
        <w:instrText xml:space="preserve"> REF _Ref417648450 \h  \* MERGEFORMAT </w:instrText>
      </w:r>
      <w:r w:rsidRPr="00536E90">
        <w:rPr>
          <w:noProof/>
        </w:rPr>
      </w:r>
      <w:r w:rsidRPr="00536E90">
        <w:rPr>
          <w:noProof/>
        </w:rPr>
        <w:fldChar w:fldCharType="separate"/>
      </w:r>
      <w:r w:rsidR="00047581">
        <w:t xml:space="preserve">Appendix </w:t>
      </w:r>
      <w:r w:rsidR="00047581">
        <w:rPr>
          <w:noProof/>
        </w:rPr>
        <w:t>1</w:t>
      </w:r>
      <w:r w:rsidRPr="00536E90">
        <w:rPr>
          <w:noProof/>
        </w:rPr>
        <w:fldChar w:fldCharType="end"/>
      </w:r>
      <w:r w:rsidRPr="00536E90">
        <w:t xml:space="preserve">). However, iodine intakes were approximately 69% higher in the 2011-12 NNPAS, </w:t>
      </w:r>
      <w:r>
        <w:t>likely</w:t>
      </w:r>
      <w:r w:rsidRPr="00536E90">
        <w:t xml:space="preserve"> due to the introduction of mandatory iodine fortification of bread in 200</w:t>
      </w:r>
      <w:r>
        <w:t>9</w:t>
      </w:r>
      <w:r w:rsidRPr="00536E90">
        <w:t>.</w:t>
      </w:r>
      <w:r>
        <w:t xml:space="preserve"> </w:t>
      </w:r>
      <w:r w:rsidRPr="00536E90">
        <w:t>Mean intakes of total folates (naturally occurring folates plus folic acid) and folic acid in the 2011-12 NNPAS were also higher, most likely due to the introduction of mandatory folic acid fortification of bread-making flour in Australia in 200</w:t>
      </w:r>
      <w:r>
        <w:t>9</w:t>
      </w:r>
      <w:r w:rsidRPr="00536E90">
        <w:t xml:space="preserve">. </w:t>
      </w:r>
      <w:r>
        <w:t>Retinol equivalents</w:t>
      </w:r>
      <w:r w:rsidRPr="00536E90">
        <w:t xml:space="preserve"> intakes were approximately 27% lower in the 2011-12 NNPAS compared to the 1995 AusNNS.</w:t>
      </w:r>
    </w:p>
    <w:p w14:paraId="6A0C45B3" w14:textId="77777777" w:rsidR="00275E61" w:rsidRDefault="00275E61" w:rsidP="00D20A1E">
      <w:pPr>
        <w:widowControl/>
        <w:rPr>
          <w:szCs w:val="22"/>
          <w:lang w:val="en-US"/>
        </w:rPr>
      </w:pPr>
    </w:p>
    <w:p w14:paraId="61D3CD6F" w14:textId="21159EBF" w:rsidR="00CD1778" w:rsidRDefault="00CD1778" w:rsidP="00D20A1E">
      <w:pPr>
        <w:pStyle w:val="FSTableTitle"/>
        <w:keepNext/>
        <w:keepLines/>
        <w:widowControl/>
      </w:pPr>
      <w:bookmarkStart w:id="154" w:name="_Ref420656555"/>
      <w:r>
        <w:t xml:space="preserve">Table </w:t>
      </w:r>
      <w:fldSimple w:instr=" SEQ Table \* ARABIC ">
        <w:r w:rsidR="00047581">
          <w:rPr>
            <w:noProof/>
          </w:rPr>
          <w:t>8</w:t>
        </w:r>
      </w:fldSimple>
      <w:bookmarkEnd w:id="154"/>
      <w:r>
        <w:t xml:space="preserve">: Comparison </w:t>
      </w:r>
      <w:r w:rsidR="00BE299C">
        <w:t xml:space="preserve">between the </w:t>
      </w:r>
      <w:r>
        <w:t xml:space="preserve">vitamin and mineral intakes of non-dairy consumers </w:t>
      </w:r>
      <w:r w:rsidR="00BE299C">
        <w:t xml:space="preserve">and </w:t>
      </w:r>
      <w:r>
        <w:t>the general population</w:t>
      </w:r>
    </w:p>
    <w:p w14:paraId="656B170C" w14:textId="77777777" w:rsidR="00513153" w:rsidRPr="00513153" w:rsidRDefault="00513153" w:rsidP="00513153"/>
    <w:tbl>
      <w:tblPr>
        <w:tblStyle w:val="TableGrid"/>
        <w:tblW w:w="0" w:type="auto"/>
        <w:tblLook w:val="04A0" w:firstRow="1" w:lastRow="0" w:firstColumn="1" w:lastColumn="0" w:noHBand="0" w:noVBand="1"/>
      </w:tblPr>
      <w:tblGrid>
        <w:gridCol w:w="3175"/>
        <w:gridCol w:w="2310"/>
        <w:gridCol w:w="2311"/>
      </w:tblGrid>
      <w:tr w:rsidR="000A54D9" w14:paraId="3FBC37F4" w14:textId="77777777" w:rsidTr="007F2DF3">
        <w:tc>
          <w:tcPr>
            <w:tcW w:w="3175" w:type="dxa"/>
            <w:vMerge w:val="restart"/>
          </w:tcPr>
          <w:p w14:paraId="5D11E242" w14:textId="31DC208E" w:rsidR="000A54D9" w:rsidRPr="0023423F" w:rsidRDefault="000A54D9" w:rsidP="00D20A1E">
            <w:pPr>
              <w:keepNext/>
              <w:keepLines/>
              <w:widowControl/>
              <w:spacing w:before="40" w:after="40"/>
              <w:rPr>
                <w:b/>
                <w:sz w:val="20"/>
                <w:szCs w:val="22"/>
                <w:lang w:val="en-US"/>
              </w:rPr>
            </w:pPr>
            <w:r w:rsidRPr="0023423F">
              <w:rPr>
                <w:b/>
                <w:sz w:val="20"/>
                <w:szCs w:val="22"/>
                <w:lang w:val="en-US"/>
              </w:rPr>
              <w:t>Vitamin/ Mineral</w:t>
            </w:r>
          </w:p>
        </w:tc>
        <w:tc>
          <w:tcPr>
            <w:tcW w:w="4621" w:type="dxa"/>
            <w:gridSpan w:val="2"/>
          </w:tcPr>
          <w:p w14:paraId="3AC5578B" w14:textId="77138E5B" w:rsidR="000A54D9" w:rsidRPr="0023423F" w:rsidRDefault="000A54D9" w:rsidP="00D20A1E">
            <w:pPr>
              <w:keepNext/>
              <w:keepLines/>
              <w:widowControl/>
              <w:spacing w:before="40" w:after="40"/>
              <w:jc w:val="center"/>
              <w:rPr>
                <w:b/>
                <w:sz w:val="20"/>
                <w:szCs w:val="22"/>
                <w:lang w:val="en-US"/>
              </w:rPr>
            </w:pPr>
            <w:r w:rsidRPr="0023423F">
              <w:rPr>
                <w:b/>
                <w:sz w:val="20"/>
                <w:szCs w:val="22"/>
                <w:lang w:val="en-US"/>
              </w:rPr>
              <w:t>Approximate difference in mean nutrient intakes for ‘non-dairy’ consumers compared to the general population</w:t>
            </w:r>
          </w:p>
        </w:tc>
      </w:tr>
      <w:tr w:rsidR="000A54D9" w14:paraId="7EFBA6CD" w14:textId="77777777" w:rsidTr="007F2DF3">
        <w:tc>
          <w:tcPr>
            <w:tcW w:w="3175" w:type="dxa"/>
            <w:vMerge/>
          </w:tcPr>
          <w:p w14:paraId="1C957269" w14:textId="1B75A709" w:rsidR="000A54D9" w:rsidRPr="0023423F" w:rsidRDefault="000A54D9" w:rsidP="00D20A1E">
            <w:pPr>
              <w:keepNext/>
              <w:keepLines/>
              <w:widowControl/>
              <w:spacing w:before="40" w:after="40"/>
              <w:rPr>
                <w:sz w:val="20"/>
                <w:szCs w:val="22"/>
                <w:lang w:val="en-US"/>
              </w:rPr>
            </w:pPr>
          </w:p>
        </w:tc>
        <w:tc>
          <w:tcPr>
            <w:tcW w:w="2310" w:type="dxa"/>
          </w:tcPr>
          <w:p w14:paraId="2C52EC81" w14:textId="7C93EC91" w:rsidR="000A54D9" w:rsidRPr="0023423F" w:rsidRDefault="000A54D9" w:rsidP="00D20A1E">
            <w:pPr>
              <w:keepNext/>
              <w:keepLines/>
              <w:widowControl/>
              <w:spacing w:before="40" w:after="40"/>
              <w:jc w:val="center"/>
              <w:rPr>
                <w:b/>
                <w:sz w:val="20"/>
                <w:szCs w:val="22"/>
                <w:lang w:val="en-US"/>
              </w:rPr>
            </w:pPr>
            <w:r w:rsidRPr="0023423F">
              <w:rPr>
                <w:b/>
                <w:sz w:val="20"/>
                <w:szCs w:val="22"/>
                <w:lang w:val="en-US"/>
              </w:rPr>
              <w:t>1995 AusNNS</w:t>
            </w:r>
            <w:r w:rsidR="006E68E8" w:rsidRPr="0023423F">
              <w:rPr>
                <w:b/>
                <w:sz w:val="20"/>
                <w:szCs w:val="22"/>
                <w:vertAlign w:val="superscript"/>
                <w:lang w:val="en-US"/>
              </w:rPr>
              <w:sym w:font="Wingdings 3" w:char="F073"/>
            </w:r>
          </w:p>
        </w:tc>
        <w:tc>
          <w:tcPr>
            <w:tcW w:w="2311" w:type="dxa"/>
          </w:tcPr>
          <w:p w14:paraId="0447D9D9" w14:textId="7C0130A0" w:rsidR="000A54D9" w:rsidRPr="0023423F" w:rsidRDefault="000A54D9" w:rsidP="00D20A1E">
            <w:pPr>
              <w:keepNext/>
              <w:keepLines/>
              <w:widowControl/>
              <w:spacing w:before="40" w:after="40"/>
              <w:jc w:val="center"/>
              <w:rPr>
                <w:b/>
                <w:sz w:val="20"/>
                <w:szCs w:val="22"/>
                <w:lang w:val="en-US"/>
              </w:rPr>
            </w:pPr>
            <w:r w:rsidRPr="0023423F">
              <w:rPr>
                <w:b/>
                <w:sz w:val="20"/>
                <w:szCs w:val="22"/>
                <w:lang w:val="en-US"/>
              </w:rPr>
              <w:t>1997 NZNNS</w:t>
            </w:r>
            <w:r w:rsidRPr="0023423F">
              <w:rPr>
                <w:b/>
                <w:sz w:val="20"/>
                <w:szCs w:val="22"/>
                <w:vertAlign w:val="superscript"/>
                <w:lang w:val="en-US"/>
              </w:rPr>
              <w:sym w:font="Wingdings 2" w:char="F0BF"/>
            </w:r>
          </w:p>
        </w:tc>
      </w:tr>
      <w:tr w:rsidR="00840866" w14:paraId="1DC94EAE" w14:textId="77777777" w:rsidTr="007F2DF3">
        <w:tc>
          <w:tcPr>
            <w:tcW w:w="3175" w:type="dxa"/>
          </w:tcPr>
          <w:p w14:paraId="173AF37F" w14:textId="1DF5A5D0" w:rsidR="00840866" w:rsidRPr="0023423F" w:rsidRDefault="00840866" w:rsidP="00D20A1E">
            <w:pPr>
              <w:keepNext/>
              <w:keepLines/>
              <w:widowControl/>
              <w:spacing w:before="40" w:after="40"/>
              <w:rPr>
                <w:sz w:val="20"/>
                <w:szCs w:val="22"/>
                <w:lang w:val="en-US"/>
              </w:rPr>
            </w:pPr>
            <w:r w:rsidRPr="0023423F">
              <w:rPr>
                <w:sz w:val="20"/>
                <w:szCs w:val="22"/>
                <w:lang w:val="en-US"/>
              </w:rPr>
              <w:t xml:space="preserve">Calcium </w:t>
            </w:r>
          </w:p>
        </w:tc>
        <w:tc>
          <w:tcPr>
            <w:tcW w:w="2310" w:type="dxa"/>
          </w:tcPr>
          <w:p w14:paraId="4B9C0DB4" w14:textId="58F92182" w:rsidR="00840866" w:rsidRPr="0023423F" w:rsidRDefault="00E67BB5" w:rsidP="00D20A1E">
            <w:pPr>
              <w:keepNext/>
              <w:keepLines/>
              <w:widowControl/>
              <w:tabs>
                <w:tab w:val="decimal" w:pos="567"/>
              </w:tabs>
              <w:spacing w:before="40" w:after="40"/>
              <w:rPr>
                <w:sz w:val="20"/>
                <w:szCs w:val="22"/>
                <w:lang w:val="en-US"/>
              </w:rPr>
            </w:pPr>
            <w:r w:rsidRPr="0023423F">
              <w:rPr>
                <w:sz w:val="20"/>
                <w:szCs w:val="22"/>
                <w:lang w:val="en-US"/>
              </w:rPr>
              <w:t>59</w:t>
            </w:r>
            <w:r w:rsidR="00840866" w:rsidRPr="0023423F">
              <w:rPr>
                <w:sz w:val="20"/>
                <w:szCs w:val="22"/>
                <w:lang w:val="en-US"/>
              </w:rPr>
              <w:noBreakHyphen/>
            </w:r>
            <w:r w:rsidRPr="0023423F">
              <w:rPr>
                <w:sz w:val="20"/>
                <w:szCs w:val="22"/>
                <w:lang w:val="en-US"/>
              </w:rPr>
              <w:t>66</w:t>
            </w:r>
            <w:r w:rsidR="000A54D9" w:rsidRPr="0023423F">
              <w:rPr>
                <w:sz w:val="20"/>
                <w:szCs w:val="22"/>
                <w:lang w:val="en-US"/>
              </w:rPr>
              <w:t>% lower</w:t>
            </w:r>
          </w:p>
        </w:tc>
        <w:tc>
          <w:tcPr>
            <w:tcW w:w="2311" w:type="dxa"/>
          </w:tcPr>
          <w:p w14:paraId="3CC67F91" w14:textId="6F5CAC20" w:rsidR="00840866" w:rsidRPr="0023423F" w:rsidRDefault="00E67BB5" w:rsidP="00D20A1E">
            <w:pPr>
              <w:keepNext/>
              <w:keepLines/>
              <w:widowControl/>
              <w:spacing w:before="40" w:after="40"/>
              <w:jc w:val="center"/>
              <w:rPr>
                <w:sz w:val="20"/>
                <w:szCs w:val="22"/>
                <w:lang w:val="en-US"/>
              </w:rPr>
            </w:pPr>
            <w:r w:rsidRPr="0023423F">
              <w:rPr>
                <w:sz w:val="20"/>
                <w:szCs w:val="22"/>
                <w:lang w:val="en-US"/>
              </w:rPr>
              <w:t>58</w:t>
            </w:r>
            <w:r w:rsidR="000A54D9" w:rsidRPr="0023423F">
              <w:rPr>
                <w:sz w:val="20"/>
                <w:szCs w:val="22"/>
                <w:lang w:val="en-US"/>
              </w:rPr>
              <w:t>% lower</w:t>
            </w:r>
          </w:p>
        </w:tc>
      </w:tr>
      <w:tr w:rsidR="007F2DF3" w14:paraId="30F1F488" w14:textId="77777777" w:rsidTr="007F2DF3">
        <w:tc>
          <w:tcPr>
            <w:tcW w:w="3175" w:type="dxa"/>
          </w:tcPr>
          <w:p w14:paraId="281A5391" w14:textId="7ECB13C8" w:rsidR="007F2DF3" w:rsidRPr="0023423F" w:rsidRDefault="007F2DF3" w:rsidP="00D20A1E">
            <w:pPr>
              <w:keepNext/>
              <w:keepLines/>
              <w:widowControl/>
              <w:spacing w:before="40" w:after="40"/>
              <w:rPr>
                <w:sz w:val="20"/>
                <w:szCs w:val="22"/>
                <w:lang w:val="en-US"/>
              </w:rPr>
            </w:pPr>
            <w:r w:rsidRPr="0023423F">
              <w:rPr>
                <w:sz w:val="20"/>
                <w:szCs w:val="22"/>
                <w:lang w:val="en-US"/>
              </w:rPr>
              <w:t>Folates (naturally occurring)</w:t>
            </w:r>
          </w:p>
        </w:tc>
        <w:tc>
          <w:tcPr>
            <w:tcW w:w="2310" w:type="dxa"/>
          </w:tcPr>
          <w:p w14:paraId="1504BC31" w14:textId="292F1C10" w:rsidR="007F2DF3" w:rsidRPr="0023423F" w:rsidRDefault="0030749A" w:rsidP="00D20A1E">
            <w:pPr>
              <w:keepNext/>
              <w:keepLines/>
              <w:widowControl/>
              <w:spacing w:before="40" w:after="40"/>
              <w:jc w:val="center"/>
              <w:rPr>
                <w:sz w:val="20"/>
                <w:szCs w:val="22"/>
                <w:lang w:val="en-US"/>
              </w:rPr>
            </w:pPr>
            <w:r w:rsidRPr="0023423F">
              <w:rPr>
                <w:sz w:val="20"/>
                <w:szCs w:val="22"/>
                <w:lang w:val="en-US"/>
              </w:rPr>
              <w:t>Not available</w:t>
            </w:r>
          </w:p>
        </w:tc>
        <w:tc>
          <w:tcPr>
            <w:tcW w:w="2311" w:type="dxa"/>
          </w:tcPr>
          <w:p w14:paraId="71B46775" w14:textId="42E735BD" w:rsidR="007F2DF3" w:rsidRPr="0023423F" w:rsidRDefault="007F2DF3" w:rsidP="00D20A1E">
            <w:pPr>
              <w:keepNext/>
              <w:keepLines/>
              <w:widowControl/>
              <w:spacing w:before="40" w:after="40"/>
              <w:jc w:val="center"/>
              <w:rPr>
                <w:sz w:val="20"/>
                <w:szCs w:val="22"/>
                <w:lang w:val="en-US"/>
              </w:rPr>
            </w:pPr>
            <w:r w:rsidRPr="0023423F">
              <w:rPr>
                <w:sz w:val="20"/>
                <w:szCs w:val="22"/>
                <w:lang w:val="en-US"/>
              </w:rPr>
              <w:t>2</w:t>
            </w:r>
            <w:r w:rsidR="00E67BB5" w:rsidRPr="0023423F">
              <w:rPr>
                <w:sz w:val="20"/>
                <w:szCs w:val="22"/>
                <w:lang w:val="en-US"/>
              </w:rPr>
              <w:t>3</w:t>
            </w:r>
            <w:r w:rsidR="000A54D9" w:rsidRPr="0023423F">
              <w:rPr>
                <w:sz w:val="20"/>
                <w:szCs w:val="22"/>
                <w:lang w:val="en-US"/>
              </w:rPr>
              <w:t>% lower</w:t>
            </w:r>
          </w:p>
        </w:tc>
      </w:tr>
      <w:tr w:rsidR="00840866" w14:paraId="1EA99B30" w14:textId="77777777" w:rsidTr="007F2DF3">
        <w:tc>
          <w:tcPr>
            <w:tcW w:w="3175" w:type="dxa"/>
          </w:tcPr>
          <w:p w14:paraId="4EDC1E7C" w14:textId="3A9CA3CB" w:rsidR="00840866" w:rsidRPr="0023423F" w:rsidRDefault="00840866" w:rsidP="00D20A1E">
            <w:pPr>
              <w:keepNext/>
              <w:keepLines/>
              <w:widowControl/>
              <w:spacing w:before="40" w:after="40"/>
              <w:rPr>
                <w:sz w:val="20"/>
                <w:szCs w:val="22"/>
                <w:lang w:val="en-US"/>
              </w:rPr>
            </w:pPr>
            <w:r w:rsidRPr="0023423F">
              <w:rPr>
                <w:sz w:val="20"/>
                <w:szCs w:val="22"/>
                <w:lang w:val="en-US"/>
              </w:rPr>
              <w:t>Iodine</w:t>
            </w:r>
          </w:p>
        </w:tc>
        <w:tc>
          <w:tcPr>
            <w:tcW w:w="2310" w:type="dxa"/>
          </w:tcPr>
          <w:p w14:paraId="6D8A5A81" w14:textId="68C3FA82" w:rsidR="00840866" w:rsidRPr="0023423F" w:rsidRDefault="00D47E75" w:rsidP="00D20A1E">
            <w:pPr>
              <w:keepNext/>
              <w:keepLines/>
              <w:widowControl/>
              <w:spacing w:before="40" w:after="40"/>
              <w:jc w:val="center"/>
              <w:rPr>
                <w:sz w:val="20"/>
                <w:szCs w:val="22"/>
                <w:lang w:val="en-US"/>
              </w:rPr>
            </w:pPr>
            <w:r w:rsidRPr="0023423F">
              <w:rPr>
                <w:sz w:val="20"/>
                <w:szCs w:val="22"/>
                <w:lang w:val="en-US"/>
              </w:rPr>
              <w:t>Not available</w:t>
            </w:r>
          </w:p>
        </w:tc>
        <w:tc>
          <w:tcPr>
            <w:tcW w:w="2311" w:type="dxa"/>
          </w:tcPr>
          <w:p w14:paraId="6FBEF06F" w14:textId="3E0518FF" w:rsidR="00840866" w:rsidRPr="0023423F" w:rsidRDefault="00D47E75" w:rsidP="00D20A1E">
            <w:pPr>
              <w:keepNext/>
              <w:keepLines/>
              <w:widowControl/>
              <w:spacing w:before="40" w:after="40"/>
              <w:jc w:val="center"/>
              <w:rPr>
                <w:sz w:val="20"/>
                <w:szCs w:val="22"/>
                <w:lang w:val="en-US"/>
              </w:rPr>
            </w:pPr>
            <w:r w:rsidRPr="0023423F">
              <w:rPr>
                <w:sz w:val="20"/>
                <w:szCs w:val="22"/>
                <w:lang w:val="en-US"/>
              </w:rPr>
              <w:t>Not available</w:t>
            </w:r>
          </w:p>
        </w:tc>
      </w:tr>
      <w:tr w:rsidR="00840866" w14:paraId="5E8D6EF9" w14:textId="77777777" w:rsidTr="007F2DF3">
        <w:tc>
          <w:tcPr>
            <w:tcW w:w="3175" w:type="dxa"/>
          </w:tcPr>
          <w:p w14:paraId="6BB35375" w14:textId="2A8F2DA2" w:rsidR="00840866" w:rsidRPr="0023423F" w:rsidRDefault="00840866" w:rsidP="00D20A1E">
            <w:pPr>
              <w:keepNext/>
              <w:keepLines/>
              <w:widowControl/>
              <w:spacing w:before="40" w:after="40"/>
              <w:rPr>
                <w:sz w:val="20"/>
                <w:szCs w:val="22"/>
                <w:lang w:val="en-US"/>
              </w:rPr>
            </w:pPr>
            <w:r w:rsidRPr="0023423F">
              <w:rPr>
                <w:sz w:val="20"/>
                <w:szCs w:val="22"/>
                <w:lang w:val="en-US"/>
              </w:rPr>
              <w:t>Magnesium</w:t>
            </w:r>
          </w:p>
        </w:tc>
        <w:tc>
          <w:tcPr>
            <w:tcW w:w="2310" w:type="dxa"/>
          </w:tcPr>
          <w:p w14:paraId="5995933B" w14:textId="7794B182" w:rsidR="00840866" w:rsidRPr="0023423F" w:rsidRDefault="00840866" w:rsidP="00D20A1E">
            <w:pPr>
              <w:keepNext/>
              <w:keepLines/>
              <w:widowControl/>
              <w:tabs>
                <w:tab w:val="decimal" w:pos="567"/>
              </w:tabs>
              <w:spacing w:before="40" w:after="40"/>
              <w:rPr>
                <w:sz w:val="20"/>
                <w:szCs w:val="22"/>
                <w:lang w:val="en-US"/>
              </w:rPr>
            </w:pPr>
            <w:r w:rsidRPr="0023423F">
              <w:rPr>
                <w:sz w:val="20"/>
                <w:szCs w:val="22"/>
                <w:lang w:val="en-US"/>
              </w:rPr>
              <w:t>20</w:t>
            </w:r>
            <w:r w:rsidRPr="0023423F">
              <w:rPr>
                <w:sz w:val="20"/>
                <w:szCs w:val="22"/>
                <w:lang w:val="en-US"/>
              </w:rPr>
              <w:noBreakHyphen/>
              <w:t>2</w:t>
            </w:r>
            <w:r w:rsidR="00E67BB5" w:rsidRPr="0023423F">
              <w:rPr>
                <w:sz w:val="20"/>
                <w:szCs w:val="22"/>
                <w:lang w:val="en-US"/>
              </w:rPr>
              <w:t>7</w:t>
            </w:r>
            <w:r w:rsidR="000A54D9" w:rsidRPr="0023423F">
              <w:rPr>
                <w:sz w:val="20"/>
                <w:szCs w:val="22"/>
                <w:lang w:val="en-US"/>
              </w:rPr>
              <w:t>% lower</w:t>
            </w:r>
          </w:p>
        </w:tc>
        <w:tc>
          <w:tcPr>
            <w:tcW w:w="2311" w:type="dxa"/>
          </w:tcPr>
          <w:p w14:paraId="5A3E35A5" w14:textId="1E6ABEB1" w:rsidR="00840866" w:rsidRPr="0023423F" w:rsidRDefault="007F2DF3" w:rsidP="00D20A1E">
            <w:pPr>
              <w:keepNext/>
              <w:keepLines/>
              <w:widowControl/>
              <w:spacing w:before="40" w:after="40"/>
              <w:jc w:val="center"/>
              <w:rPr>
                <w:sz w:val="20"/>
                <w:szCs w:val="22"/>
                <w:lang w:val="en-US"/>
              </w:rPr>
            </w:pPr>
            <w:r w:rsidRPr="0023423F">
              <w:rPr>
                <w:sz w:val="20"/>
                <w:szCs w:val="22"/>
                <w:lang w:val="en-US"/>
              </w:rPr>
              <w:t>2</w:t>
            </w:r>
            <w:r w:rsidR="00E67BB5" w:rsidRPr="0023423F">
              <w:rPr>
                <w:sz w:val="20"/>
                <w:szCs w:val="22"/>
                <w:lang w:val="en-US"/>
              </w:rPr>
              <w:t>1</w:t>
            </w:r>
            <w:r w:rsidR="000A54D9" w:rsidRPr="0023423F">
              <w:rPr>
                <w:sz w:val="20"/>
                <w:szCs w:val="22"/>
                <w:lang w:val="en-US"/>
              </w:rPr>
              <w:t>% lower</w:t>
            </w:r>
          </w:p>
        </w:tc>
      </w:tr>
      <w:tr w:rsidR="00840866" w14:paraId="21CCF8E6" w14:textId="77777777" w:rsidTr="007F2DF3">
        <w:tc>
          <w:tcPr>
            <w:tcW w:w="3175" w:type="dxa"/>
          </w:tcPr>
          <w:p w14:paraId="72E73473" w14:textId="2AFED8DF" w:rsidR="00840866" w:rsidRPr="0023423F" w:rsidRDefault="00840866" w:rsidP="00D20A1E">
            <w:pPr>
              <w:keepNext/>
              <w:keepLines/>
              <w:widowControl/>
              <w:spacing w:before="40" w:after="40"/>
              <w:rPr>
                <w:sz w:val="20"/>
                <w:szCs w:val="22"/>
                <w:lang w:val="en-US"/>
              </w:rPr>
            </w:pPr>
            <w:r w:rsidRPr="0023423F">
              <w:rPr>
                <w:sz w:val="20"/>
                <w:szCs w:val="22"/>
                <w:lang w:val="en-US"/>
              </w:rPr>
              <w:t>Phosphorus</w:t>
            </w:r>
          </w:p>
        </w:tc>
        <w:tc>
          <w:tcPr>
            <w:tcW w:w="2310" w:type="dxa"/>
          </w:tcPr>
          <w:p w14:paraId="2AD4127F" w14:textId="26853320" w:rsidR="00840866" w:rsidRPr="0023423F" w:rsidRDefault="00840866" w:rsidP="00D20A1E">
            <w:pPr>
              <w:keepNext/>
              <w:keepLines/>
              <w:widowControl/>
              <w:tabs>
                <w:tab w:val="decimal" w:pos="567"/>
              </w:tabs>
              <w:spacing w:before="40" w:after="40"/>
              <w:rPr>
                <w:sz w:val="20"/>
                <w:szCs w:val="22"/>
                <w:lang w:val="en-US"/>
              </w:rPr>
            </w:pPr>
            <w:r w:rsidRPr="0023423F">
              <w:rPr>
                <w:sz w:val="20"/>
                <w:szCs w:val="22"/>
                <w:lang w:val="en-US"/>
              </w:rPr>
              <w:t>2</w:t>
            </w:r>
            <w:r w:rsidR="00E67BB5" w:rsidRPr="0023423F">
              <w:rPr>
                <w:sz w:val="20"/>
                <w:szCs w:val="22"/>
                <w:lang w:val="en-US"/>
              </w:rPr>
              <w:t>7</w:t>
            </w:r>
            <w:r w:rsidRPr="0023423F">
              <w:rPr>
                <w:sz w:val="20"/>
                <w:szCs w:val="22"/>
                <w:lang w:val="en-US"/>
              </w:rPr>
              <w:noBreakHyphen/>
              <w:t>3</w:t>
            </w:r>
            <w:r w:rsidR="00E67BB5" w:rsidRPr="0023423F">
              <w:rPr>
                <w:sz w:val="20"/>
                <w:szCs w:val="22"/>
                <w:lang w:val="en-US"/>
              </w:rPr>
              <w:t>7</w:t>
            </w:r>
            <w:r w:rsidR="000A54D9" w:rsidRPr="0023423F">
              <w:rPr>
                <w:sz w:val="20"/>
                <w:szCs w:val="22"/>
                <w:lang w:val="en-US"/>
              </w:rPr>
              <w:t>% lower</w:t>
            </w:r>
          </w:p>
        </w:tc>
        <w:tc>
          <w:tcPr>
            <w:tcW w:w="2311" w:type="dxa"/>
          </w:tcPr>
          <w:p w14:paraId="24D64936" w14:textId="5F070F8A" w:rsidR="00840866" w:rsidRPr="0023423F" w:rsidRDefault="007F2DF3" w:rsidP="00D20A1E">
            <w:pPr>
              <w:keepNext/>
              <w:keepLines/>
              <w:widowControl/>
              <w:spacing w:before="40" w:after="40"/>
              <w:jc w:val="center"/>
              <w:rPr>
                <w:sz w:val="20"/>
                <w:szCs w:val="22"/>
                <w:lang w:val="en-US"/>
              </w:rPr>
            </w:pPr>
            <w:r w:rsidRPr="0023423F">
              <w:rPr>
                <w:sz w:val="20"/>
                <w:szCs w:val="22"/>
                <w:lang w:val="en-US"/>
              </w:rPr>
              <w:t>3</w:t>
            </w:r>
            <w:r w:rsidR="00E67BB5" w:rsidRPr="0023423F">
              <w:rPr>
                <w:sz w:val="20"/>
                <w:szCs w:val="22"/>
                <w:lang w:val="en-US"/>
              </w:rPr>
              <w:t>1</w:t>
            </w:r>
            <w:r w:rsidR="000A54D9" w:rsidRPr="0023423F">
              <w:rPr>
                <w:sz w:val="20"/>
                <w:szCs w:val="22"/>
                <w:lang w:val="en-US"/>
              </w:rPr>
              <w:t>% lower</w:t>
            </w:r>
          </w:p>
        </w:tc>
      </w:tr>
      <w:tr w:rsidR="00840866" w14:paraId="056FC299" w14:textId="77777777" w:rsidTr="007F2DF3">
        <w:tc>
          <w:tcPr>
            <w:tcW w:w="3175" w:type="dxa"/>
          </w:tcPr>
          <w:p w14:paraId="4F754966" w14:textId="155EE798" w:rsidR="00840866" w:rsidRPr="0023423F" w:rsidRDefault="00326E1B" w:rsidP="00D20A1E">
            <w:pPr>
              <w:keepNext/>
              <w:keepLines/>
              <w:widowControl/>
              <w:spacing w:before="40" w:after="40"/>
              <w:rPr>
                <w:sz w:val="20"/>
                <w:szCs w:val="22"/>
                <w:lang w:val="en-US"/>
              </w:rPr>
            </w:pPr>
            <w:r w:rsidRPr="0023423F">
              <w:rPr>
                <w:sz w:val="20"/>
                <w:szCs w:val="22"/>
                <w:lang w:val="en-US"/>
              </w:rPr>
              <w:t>Retinol equivalents</w:t>
            </w:r>
          </w:p>
        </w:tc>
        <w:tc>
          <w:tcPr>
            <w:tcW w:w="2310" w:type="dxa"/>
          </w:tcPr>
          <w:p w14:paraId="618DB095" w14:textId="0BEEC06C" w:rsidR="00840866" w:rsidRPr="0023423F" w:rsidRDefault="00E67BB5" w:rsidP="00D20A1E">
            <w:pPr>
              <w:keepNext/>
              <w:keepLines/>
              <w:widowControl/>
              <w:tabs>
                <w:tab w:val="decimal" w:pos="567"/>
              </w:tabs>
              <w:spacing w:before="40" w:after="40"/>
              <w:rPr>
                <w:sz w:val="20"/>
                <w:szCs w:val="22"/>
                <w:lang w:val="en-US"/>
              </w:rPr>
            </w:pPr>
            <w:r w:rsidRPr="0023423F">
              <w:rPr>
                <w:sz w:val="20"/>
                <w:szCs w:val="22"/>
                <w:lang w:val="en-US"/>
              </w:rPr>
              <w:t>6</w:t>
            </w:r>
            <w:r w:rsidR="00BE299C" w:rsidRPr="0023423F">
              <w:rPr>
                <w:sz w:val="20"/>
                <w:szCs w:val="22"/>
                <w:lang w:val="en-US"/>
              </w:rPr>
              <w:noBreakHyphen/>
            </w:r>
            <w:r w:rsidR="00840866" w:rsidRPr="0023423F">
              <w:rPr>
                <w:sz w:val="20"/>
                <w:szCs w:val="22"/>
                <w:lang w:val="en-US"/>
              </w:rPr>
              <w:t>4</w:t>
            </w:r>
            <w:r w:rsidRPr="0023423F">
              <w:rPr>
                <w:sz w:val="20"/>
                <w:szCs w:val="22"/>
                <w:lang w:val="en-US"/>
              </w:rPr>
              <w:t>2</w:t>
            </w:r>
            <w:r w:rsidR="000A54D9" w:rsidRPr="0023423F">
              <w:rPr>
                <w:sz w:val="20"/>
                <w:szCs w:val="22"/>
                <w:lang w:val="en-US"/>
              </w:rPr>
              <w:t>% lower</w:t>
            </w:r>
          </w:p>
        </w:tc>
        <w:tc>
          <w:tcPr>
            <w:tcW w:w="2311" w:type="dxa"/>
          </w:tcPr>
          <w:p w14:paraId="13BC3EDD" w14:textId="6158A149" w:rsidR="00840866" w:rsidRPr="0023423F" w:rsidRDefault="007F2DF3" w:rsidP="00D20A1E">
            <w:pPr>
              <w:keepNext/>
              <w:keepLines/>
              <w:widowControl/>
              <w:spacing w:before="40" w:after="40"/>
              <w:jc w:val="center"/>
              <w:rPr>
                <w:sz w:val="20"/>
                <w:szCs w:val="22"/>
                <w:lang w:val="en-US"/>
              </w:rPr>
            </w:pPr>
            <w:r w:rsidRPr="0023423F">
              <w:rPr>
                <w:sz w:val="20"/>
                <w:szCs w:val="22"/>
                <w:lang w:val="en-US"/>
              </w:rPr>
              <w:t>3</w:t>
            </w:r>
            <w:r w:rsidR="00E67BB5" w:rsidRPr="0023423F">
              <w:rPr>
                <w:sz w:val="20"/>
                <w:szCs w:val="22"/>
                <w:lang w:val="en-US"/>
              </w:rPr>
              <w:t>1</w:t>
            </w:r>
            <w:r w:rsidR="000A54D9" w:rsidRPr="0023423F">
              <w:rPr>
                <w:sz w:val="20"/>
                <w:szCs w:val="22"/>
                <w:lang w:val="en-US"/>
              </w:rPr>
              <w:t>% lower</w:t>
            </w:r>
          </w:p>
        </w:tc>
      </w:tr>
      <w:tr w:rsidR="00840866" w14:paraId="717FB3FD" w14:textId="77777777" w:rsidTr="007F2DF3">
        <w:tc>
          <w:tcPr>
            <w:tcW w:w="3175" w:type="dxa"/>
          </w:tcPr>
          <w:p w14:paraId="2B891A76" w14:textId="44D68E7A" w:rsidR="00840866" w:rsidRPr="0023423F" w:rsidRDefault="00840866" w:rsidP="00D20A1E">
            <w:pPr>
              <w:keepNext/>
              <w:keepLines/>
              <w:widowControl/>
              <w:spacing w:before="40" w:after="40"/>
              <w:rPr>
                <w:sz w:val="20"/>
                <w:szCs w:val="22"/>
                <w:lang w:val="en-US"/>
              </w:rPr>
            </w:pPr>
            <w:r w:rsidRPr="0023423F">
              <w:rPr>
                <w:sz w:val="20"/>
                <w:szCs w:val="22"/>
                <w:lang w:val="en-US"/>
              </w:rPr>
              <w:t>Riboflavin</w:t>
            </w:r>
          </w:p>
        </w:tc>
        <w:tc>
          <w:tcPr>
            <w:tcW w:w="2310" w:type="dxa"/>
          </w:tcPr>
          <w:p w14:paraId="45C8E128" w14:textId="3C985C0A" w:rsidR="00840866" w:rsidRPr="0023423F" w:rsidRDefault="00840866" w:rsidP="00D20A1E">
            <w:pPr>
              <w:keepNext/>
              <w:keepLines/>
              <w:widowControl/>
              <w:tabs>
                <w:tab w:val="decimal" w:pos="567"/>
              </w:tabs>
              <w:spacing w:before="40" w:after="40"/>
              <w:rPr>
                <w:sz w:val="20"/>
                <w:szCs w:val="22"/>
                <w:lang w:val="en-US"/>
              </w:rPr>
            </w:pPr>
            <w:r w:rsidRPr="0023423F">
              <w:rPr>
                <w:sz w:val="20"/>
                <w:szCs w:val="22"/>
                <w:lang w:val="en-US"/>
              </w:rPr>
              <w:t>35</w:t>
            </w:r>
            <w:r w:rsidRPr="0023423F">
              <w:rPr>
                <w:sz w:val="20"/>
                <w:szCs w:val="22"/>
                <w:lang w:val="en-US"/>
              </w:rPr>
              <w:noBreakHyphen/>
              <w:t>55</w:t>
            </w:r>
            <w:r w:rsidR="000A54D9" w:rsidRPr="0023423F">
              <w:rPr>
                <w:sz w:val="20"/>
                <w:szCs w:val="22"/>
                <w:lang w:val="en-US"/>
              </w:rPr>
              <w:t>% lower</w:t>
            </w:r>
          </w:p>
        </w:tc>
        <w:tc>
          <w:tcPr>
            <w:tcW w:w="2311" w:type="dxa"/>
          </w:tcPr>
          <w:p w14:paraId="46728F87" w14:textId="20305440" w:rsidR="00840866" w:rsidRPr="0023423F" w:rsidRDefault="007F2DF3" w:rsidP="00D20A1E">
            <w:pPr>
              <w:keepNext/>
              <w:keepLines/>
              <w:widowControl/>
              <w:spacing w:before="40" w:after="40"/>
              <w:jc w:val="center"/>
              <w:rPr>
                <w:sz w:val="20"/>
                <w:szCs w:val="22"/>
                <w:lang w:val="en-US"/>
              </w:rPr>
            </w:pPr>
            <w:r w:rsidRPr="0023423F">
              <w:rPr>
                <w:sz w:val="20"/>
                <w:szCs w:val="22"/>
                <w:lang w:val="en-US"/>
              </w:rPr>
              <w:t>4</w:t>
            </w:r>
            <w:r w:rsidR="00E67BB5" w:rsidRPr="0023423F">
              <w:rPr>
                <w:sz w:val="20"/>
                <w:szCs w:val="22"/>
                <w:lang w:val="en-US"/>
              </w:rPr>
              <w:t>4</w:t>
            </w:r>
            <w:r w:rsidR="000A54D9" w:rsidRPr="0023423F">
              <w:rPr>
                <w:sz w:val="20"/>
                <w:szCs w:val="22"/>
                <w:lang w:val="en-US"/>
              </w:rPr>
              <w:t>% lower</w:t>
            </w:r>
          </w:p>
        </w:tc>
      </w:tr>
      <w:tr w:rsidR="00840866" w14:paraId="05280F33" w14:textId="77777777" w:rsidTr="007F2DF3">
        <w:tc>
          <w:tcPr>
            <w:tcW w:w="3175" w:type="dxa"/>
          </w:tcPr>
          <w:p w14:paraId="4B28EEA4" w14:textId="77F3B162" w:rsidR="00840866" w:rsidRPr="0023423F" w:rsidRDefault="00840866" w:rsidP="00D20A1E">
            <w:pPr>
              <w:keepNext/>
              <w:keepLines/>
              <w:widowControl/>
              <w:spacing w:before="40" w:after="40"/>
              <w:rPr>
                <w:sz w:val="20"/>
                <w:szCs w:val="22"/>
                <w:lang w:val="en-US"/>
              </w:rPr>
            </w:pPr>
            <w:r w:rsidRPr="0023423F">
              <w:rPr>
                <w:sz w:val="20"/>
                <w:szCs w:val="22"/>
                <w:lang w:val="en-US"/>
              </w:rPr>
              <w:t>Thiamin</w:t>
            </w:r>
          </w:p>
        </w:tc>
        <w:tc>
          <w:tcPr>
            <w:tcW w:w="2310" w:type="dxa"/>
          </w:tcPr>
          <w:p w14:paraId="7C57DB79" w14:textId="02082826" w:rsidR="00840866" w:rsidRPr="0023423F" w:rsidRDefault="007F2DF3" w:rsidP="00D20A1E">
            <w:pPr>
              <w:keepNext/>
              <w:keepLines/>
              <w:widowControl/>
              <w:tabs>
                <w:tab w:val="decimal" w:pos="567"/>
              </w:tabs>
              <w:spacing w:before="40" w:after="40"/>
              <w:rPr>
                <w:sz w:val="20"/>
                <w:szCs w:val="22"/>
                <w:lang w:val="en-US"/>
              </w:rPr>
            </w:pPr>
            <w:r w:rsidRPr="0023423F">
              <w:rPr>
                <w:sz w:val="20"/>
                <w:szCs w:val="22"/>
                <w:lang w:val="en-US"/>
              </w:rPr>
              <w:t>1</w:t>
            </w:r>
            <w:r w:rsidR="00E67BB5" w:rsidRPr="0023423F">
              <w:rPr>
                <w:sz w:val="20"/>
                <w:szCs w:val="22"/>
                <w:lang w:val="en-US"/>
              </w:rPr>
              <w:t>3</w:t>
            </w:r>
            <w:r w:rsidRPr="0023423F">
              <w:rPr>
                <w:sz w:val="20"/>
                <w:szCs w:val="22"/>
                <w:lang w:val="en-US"/>
              </w:rPr>
              <w:noBreakHyphen/>
            </w:r>
            <w:r w:rsidR="00E67BB5" w:rsidRPr="0023423F">
              <w:rPr>
                <w:sz w:val="20"/>
                <w:szCs w:val="22"/>
                <w:lang w:val="en-US"/>
              </w:rPr>
              <w:t>29</w:t>
            </w:r>
            <w:r w:rsidR="000A54D9" w:rsidRPr="0023423F">
              <w:rPr>
                <w:sz w:val="20"/>
                <w:szCs w:val="22"/>
                <w:lang w:val="en-US"/>
              </w:rPr>
              <w:t>% lower</w:t>
            </w:r>
          </w:p>
        </w:tc>
        <w:tc>
          <w:tcPr>
            <w:tcW w:w="2311" w:type="dxa"/>
          </w:tcPr>
          <w:p w14:paraId="518B9F40" w14:textId="228E2B01" w:rsidR="00840866" w:rsidRPr="0023423F" w:rsidRDefault="00E67BB5" w:rsidP="00D20A1E">
            <w:pPr>
              <w:keepNext/>
              <w:keepLines/>
              <w:widowControl/>
              <w:spacing w:before="40" w:after="40"/>
              <w:jc w:val="center"/>
              <w:rPr>
                <w:sz w:val="20"/>
                <w:szCs w:val="22"/>
                <w:lang w:val="en-US"/>
              </w:rPr>
            </w:pPr>
            <w:r w:rsidRPr="0023423F">
              <w:rPr>
                <w:sz w:val="20"/>
                <w:szCs w:val="22"/>
                <w:lang w:val="en-US"/>
              </w:rPr>
              <w:t>29</w:t>
            </w:r>
            <w:r w:rsidR="000A54D9" w:rsidRPr="0023423F">
              <w:rPr>
                <w:sz w:val="20"/>
                <w:szCs w:val="22"/>
                <w:lang w:val="en-US"/>
              </w:rPr>
              <w:t>% lower</w:t>
            </w:r>
          </w:p>
        </w:tc>
      </w:tr>
      <w:tr w:rsidR="00840866" w14:paraId="0E21AB63" w14:textId="77777777" w:rsidTr="007F2DF3">
        <w:tc>
          <w:tcPr>
            <w:tcW w:w="3175" w:type="dxa"/>
          </w:tcPr>
          <w:p w14:paraId="6F543930" w14:textId="2E0141AC" w:rsidR="00840866" w:rsidRPr="0023423F" w:rsidRDefault="00840866" w:rsidP="00D20A1E">
            <w:pPr>
              <w:keepNext/>
              <w:keepLines/>
              <w:widowControl/>
              <w:spacing w:before="40" w:after="40"/>
              <w:rPr>
                <w:sz w:val="20"/>
                <w:szCs w:val="22"/>
                <w:lang w:val="en-US"/>
              </w:rPr>
            </w:pPr>
            <w:r w:rsidRPr="0023423F">
              <w:rPr>
                <w:sz w:val="20"/>
                <w:szCs w:val="22"/>
                <w:lang w:val="en-US"/>
              </w:rPr>
              <w:t>Vitamin B</w:t>
            </w:r>
            <w:r w:rsidRPr="0023423F">
              <w:rPr>
                <w:sz w:val="20"/>
                <w:szCs w:val="22"/>
                <w:vertAlign w:val="subscript"/>
                <w:lang w:val="en-US"/>
              </w:rPr>
              <w:t>6</w:t>
            </w:r>
          </w:p>
        </w:tc>
        <w:tc>
          <w:tcPr>
            <w:tcW w:w="2310" w:type="dxa"/>
          </w:tcPr>
          <w:p w14:paraId="0D22E61E" w14:textId="43148919" w:rsidR="00840866" w:rsidRPr="0023423F" w:rsidRDefault="00E67BB5" w:rsidP="00D20A1E">
            <w:pPr>
              <w:keepNext/>
              <w:keepLines/>
              <w:widowControl/>
              <w:tabs>
                <w:tab w:val="decimal" w:pos="567"/>
              </w:tabs>
              <w:spacing w:before="40" w:after="40"/>
              <w:rPr>
                <w:sz w:val="20"/>
                <w:szCs w:val="22"/>
                <w:lang w:val="en-US"/>
              </w:rPr>
            </w:pPr>
            <w:r w:rsidRPr="0023423F">
              <w:rPr>
                <w:rFonts w:cs="Arial"/>
                <w:sz w:val="20"/>
                <w:szCs w:val="22"/>
              </w:rPr>
              <w:t>19</w:t>
            </w:r>
            <w:r w:rsidR="007F2DF3" w:rsidRPr="0023423F">
              <w:rPr>
                <w:rFonts w:cs="Arial"/>
                <w:sz w:val="20"/>
                <w:szCs w:val="22"/>
              </w:rPr>
              <w:noBreakHyphen/>
              <w:t>40</w:t>
            </w:r>
            <w:r w:rsidR="000A54D9" w:rsidRPr="0023423F">
              <w:rPr>
                <w:sz w:val="20"/>
                <w:szCs w:val="22"/>
                <w:lang w:val="en-US"/>
              </w:rPr>
              <w:t>% lower</w:t>
            </w:r>
          </w:p>
        </w:tc>
        <w:tc>
          <w:tcPr>
            <w:tcW w:w="2311" w:type="dxa"/>
          </w:tcPr>
          <w:p w14:paraId="0EE2D429" w14:textId="05DC65B8" w:rsidR="00840866" w:rsidRPr="0023423F" w:rsidRDefault="007F2DF3" w:rsidP="00D20A1E">
            <w:pPr>
              <w:keepNext/>
              <w:keepLines/>
              <w:widowControl/>
              <w:spacing w:before="40" w:after="40"/>
              <w:jc w:val="center"/>
              <w:rPr>
                <w:sz w:val="20"/>
                <w:szCs w:val="22"/>
                <w:lang w:val="en-US"/>
              </w:rPr>
            </w:pPr>
            <w:r w:rsidRPr="0023423F">
              <w:rPr>
                <w:sz w:val="20"/>
                <w:szCs w:val="22"/>
                <w:lang w:val="en-US"/>
              </w:rPr>
              <w:t>2</w:t>
            </w:r>
            <w:r w:rsidR="00E67BB5" w:rsidRPr="0023423F">
              <w:rPr>
                <w:sz w:val="20"/>
                <w:szCs w:val="22"/>
                <w:lang w:val="en-US"/>
              </w:rPr>
              <w:t>1</w:t>
            </w:r>
            <w:r w:rsidR="000A54D9" w:rsidRPr="0023423F">
              <w:rPr>
                <w:sz w:val="20"/>
                <w:szCs w:val="22"/>
                <w:lang w:val="en-US"/>
              </w:rPr>
              <w:t>% lower</w:t>
            </w:r>
          </w:p>
        </w:tc>
      </w:tr>
      <w:tr w:rsidR="00840866" w14:paraId="1C60745B" w14:textId="77777777" w:rsidTr="007F2DF3">
        <w:tc>
          <w:tcPr>
            <w:tcW w:w="3175" w:type="dxa"/>
          </w:tcPr>
          <w:p w14:paraId="0411E90F" w14:textId="3D873A16" w:rsidR="00840866" w:rsidRPr="0023423F" w:rsidRDefault="00840866" w:rsidP="00D20A1E">
            <w:pPr>
              <w:keepNext/>
              <w:keepLines/>
              <w:widowControl/>
              <w:spacing w:before="40" w:after="40"/>
              <w:rPr>
                <w:sz w:val="20"/>
                <w:szCs w:val="22"/>
                <w:lang w:val="en-US"/>
              </w:rPr>
            </w:pPr>
            <w:r w:rsidRPr="0023423F">
              <w:rPr>
                <w:sz w:val="20"/>
                <w:szCs w:val="22"/>
                <w:lang w:val="en-US"/>
              </w:rPr>
              <w:t>Vitamin B</w:t>
            </w:r>
            <w:r w:rsidRPr="0023423F">
              <w:rPr>
                <w:sz w:val="20"/>
                <w:szCs w:val="22"/>
                <w:vertAlign w:val="subscript"/>
                <w:lang w:val="en-US"/>
              </w:rPr>
              <w:t>12</w:t>
            </w:r>
          </w:p>
        </w:tc>
        <w:tc>
          <w:tcPr>
            <w:tcW w:w="2310" w:type="dxa"/>
          </w:tcPr>
          <w:p w14:paraId="3E269B4C" w14:textId="7336EAF4" w:rsidR="00840866" w:rsidRPr="0023423F" w:rsidRDefault="00E67BB5" w:rsidP="00D20A1E">
            <w:pPr>
              <w:keepNext/>
              <w:keepLines/>
              <w:widowControl/>
              <w:tabs>
                <w:tab w:val="decimal" w:pos="567"/>
              </w:tabs>
              <w:spacing w:before="40" w:after="40"/>
              <w:rPr>
                <w:sz w:val="20"/>
                <w:szCs w:val="22"/>
                <w:lang w:val="en-US"/>
              </w:rPr>
            </w:pPr>
            <w:r w:rsidRPr="0023423F">
              <w:rPr>
                <w:rFonts w:cs="Arial"/>
                <w:sz w:val="20"/>
                <w:szCs w:val="22"/>
              </w:rPr>
              <w:t>2</w:t>
            </w:r>
            <w:r w:rsidR="007F2DF3" w:rsidRPr="0023423F">
              <w:rPr>
                <w:rFonts w:cs="Arial"/>
                <w:sz w:val="20"/>
                <w:szCs w:val="22"/>
              </w:rPr>
              <w:noBreakHyphen/>
              <w:t>35</w:t>
            </w:r>
            <w:r w:rsidR="000A54D9" w:rsidRPr="0023423F">
              <w:rPr>
                <w:sz w:val="20"/>
                <w:szCs w:val="22"/>
                <w:lang w:val="en-US"/>
              </w:rPr>
              <w:t>% lower</w:t>
            </w:r>
          </w:p>
        </w:tc>
        <w:tc>
          <w:tcPr>
            <w:tcW w:w="2311" w:type="dxa"/>
          </w:tcPr>
          <w:p w14:paraId="6A208AF3" w14:textId="1CE08BCD" w:rsidR="00840866" w:rsidRPr="0023423F" w:rsidRDefault="007F2DF3" w:rsidP="00D20A1E">
            <w:pPr>
              <w:keepNext/>
              <w:keepLines/>
              <w:widowControl/>
              <w:spacing w:before="40" w:after="40"/>
              <w:jc w:val="center"/>
              <w:rPr>
                <w:sz w:val="20"/>
                <w:szCs w:val="22"/>
                <w:lang w:val="en-US"/>
              </w:rPr>
            </w:pPr>
            <w:r w:rsidRPr="0023423F">
              <w:rPr>
                <w:sz w:val="20"/>
                <w:szCs w:val="22"/>
                <w:lang w:val="en-US"/>
              </w:rPr>
              <w:t>2</w:t>
            </w:r>
            <w:r w:rsidR="00E67BB5" w:rsidRPr="0023423F">
              <w:rPr>
                <w:sz w:val="20"/>
                <w:szCs w:val="22"/>
                <w:lang w:val="en-US"/>
              </w:rPr>
              <w:t>3</w:t>
            </w:r>
            <w:r w:rsidR="000A54D9" w:rsidRPr="0023423F">
              <w:rPr>
                <w:sz w:val="20"/>
                <w:szCs w:val="22"/>
                <w:lang w:val="en-US"/>
              </w:rPr>
              <w:t>% lower</w:t>
            </w:r>
          </w:p>
        </w:tc>
      </w:tr>
      <w:tr w:rsidR="00840866" w14:paraId="5F096F6C" w14:textId="77777777" w:rsidTr="007F2DF3">
        <w:tc>
          <w:tcPr>
            <w:tcW w:w="3175" w:type="dxa"/>
          </w:tcPr>
          <w:p w14:paraId="6BE4B1EE" w14:textId="07CC2AF3" w:rsidR="00840866" w:rsidRPr="0023423F" w:rsidRDefault="00840866" w:rsidP="00D20A1E">
            <w:pPr>
              <w:keepNext/>
              <w:keepLines/>
              <w:widowControl/>
              <w:spacing w:before="40" w:after="40"/>
              <w:rPr>
                <w:sz w:val="20"/>
                <w:szCs w:val="22"/>
                <w:lang w:val="en-US"/>
              </w:rPr>
            </w:pPr>
            <w:r w:rsidRPr="0023423F">
              <w:rPr>
                <w:sz w:val="20"/>
                <w:szCs w:val="22"/>
                <w:lang w:val="en-US"/>
              </w:rPr>
              <w:t>Vitamin D</w:t>
            </w:r>
          </w:p>
        </w:tc>
        <w:tc>
          <w:tcPr>
            <w:tcW w:w="2310" w:type="dxa"/>
          </w:tcPr>
          <w:p w14:paraId="3F8AED2C" w14:textId="29FE548F" w:rsidR="00840866" w:rsidRPr="0023423F" w:rsidRDefault="007F2DF3" w:rsidP="00D20A1E">
            <w:pPr>
              <w:keepNext/>
              <w:keepLines/>
              <w:widowControl/>
              <w:tabs>
                <w:tab w:val="decimal" w:pos="567"/>
              </w:tabs>
              <w:spacing w:before="40" w:after="40"/>
              <w:rPr>
                <w:sz w:val="20"/>
                <w:szCs w:val="22"/>
                <w:lang w:val="en-US"/>
              </w:rPr>
            </w:pPr>
            <w:r w:rsidRPr="0023423F">
              <w:rPr>
                <w:rFonts w:cs="Arial"/>
                <w:sz w:val="20"/>
                <w:szCs w:val="22"/>
              </w:rPr>
              <w:t>1</w:t>
            </w:r>
            <w:r w:rsidR="00E67BB5" w:rsidRPr="0023423F">
              <w:rPr>
                <w:rFonts w:cs="Arial"/>
                <w:sz w:val="20"/>
                <w:szCs w:val="22"/>
              </w:rPr>
              <w:t>6</w:t>
            </w:r>
            <w:r w:rsidRPr="0023423F">
              <w:rPr>
                <w:rFonts w:cs="Arial"/>
                <w:sz w:val="20"/>
                <w:szCs w:val="22"/>
              </w:rPr>
              <w:noBreakHyphen/>
            </w:r>
            <w:r w:rsidR="00E67BB5" w:rsidRPr="0023423F">
              <w:rPr>
                <w:rFonts w:cs="Arial"/>
                <w:sz w:val="20"/>
                <w:szCs w:val="22"/>
              </w:rPr>
              <w:t>28</w:t>
            </w:r>
            <w:r w:rsidR="000A54D9" w:rsidRPr="0023423F">
              <w:rPr>
                <w:sz w:val="20"/>
                <w:szCs w:val="22"/>
                <w:lang w:val="en-US"/>
              </w:rPr>
              <w:t>% lower</w:t>
            </w:r>
          </w:p>
        </w:tc>
        <w:tc>
          <w:tcPr>
            <w:tcW w:w="2311" w:type="dxa"/>
          </w:tcPr>
          <w:p w14:paraId="4FB9989C" w14:textId="1CFECD24" w:rsidR="00840866" w:rsidRPr="0023423F" w:rsidRDefault="007F2DF3" w:rsidP="00D20A1E">
            <w:pPr>
              <w:keepNext/>
              <w:keepLines/>
              <w:widowControl/>
              <w:spacing w:before="40" w:after="40"/>
              <w:jc w:val="center"/>
              <w:rPr>
                <w:sz w:val="20"/>
                <w:szCs w:val="22"/>
                <w:lang w:val="en-US"/>
              </w:rPr>
            </w:pPr>
            <w:r w:rsidRPr="0023423F">
              <w:rPr>
                <w:sz w:val="20"/>
                <w:szCs w:val="22"/>
                <w:lang w:val="en-US"/>
              </w:rPr>
              <w:t>1</w:t>
            </w:r>
            <w:r w:rsidR="00E67BB5" w:rsidRPr="0023423F">
              <w:rPr>
                <w:sz w:val="20"/>
                <w:szCs w:val="22"/>
                <w:lang w:val="en-US"/>
              </w:rPr>
              <w:t>3</w:t>
            </w:r>
            <w:r w:rsidR="000A54D9" w:rsidRPr="0023423F">
              <w:rPr>
                <w:sz w:val="20"/>
                <w:szCs w:val="22"/>
                <w:lang w:val="en-US"/>
              </w:rPr>
              <w:t>% lower</w:t>
            </w:r>
          </w:p>
        </w:tc>
      </w:tr>
      <w:tr w:rsidR="00840866" w14:paraId="09E2CF3A" w14:textId="77777777" w:rsidTr="007F2DF3">
        <w:tc>
          <w:tcPr>
            <w:tcW w:w="3175" w:type="dxa"/>
          </w:tcPr>
          <w:p w14:paraId="4DC3F791" w14:textId="1247FCFA" w:rsidR="00840866" w:rsidRPr="0023423F" w:rsidRDefault="000A54D9" w:rsidP="00D20A1E">
            <w:pPr>
              <w:keepNext/>
              <w:keepLines/>
              <w:widowControl/>
              <w:spacing w:before="40" w:after="40"/>
              <w:rPr>
                <w:sz w:val="20"/>
                <w:szCs w:val="22"/>
                <w:lang w:val="en-US"/>
              </w:rPr>
            </w:pPr>
            <w:r w:rsidRPr="0023423F">
              <w:rPr>
                <w:sz w:val="20"/>
                <w:szCs w:val="22"/>
                <w:lang w:val="en-US"/>
              </w:rPr>
              <w:t>Z</w:t>
            </w:r>
            <w:r w:rsidR="00840866" w:rsidRPr="0023423F">
              <w:rPr>
                <w:sz w:val="20"/>
                <w:szCs w:val="22"/>
                <w:lang w:val="en-US"/>
              </w:rPr>
              <w:t>inc</w:t>
            </w:r>
          </w:p>
        </w:tc>
        <w:tc>
          <w:tcPr>
            <w:tcW w:w="2310" w:type="dxa"/>
          </w:tcPr>
          <w:p w14:paraId="71FD45EC" w14:textId="15E8F934" w:rsidR="00840866" w:rsidRPr="0023423F" w:rsidRDefault="007F2DF3" w:rsidP="00D20A1E">
            <w:pPr>
              <w:keepNext/>
              <w:keepLines/>
              <w:widowControl/>
              <w:tabs>
                <w:tab w:val="decimal" w:pos="567"/>
              </w:tabs>
              <w:spacing w:before="40" w:after="40"/>
              <w:rPr>
                <w:sz w:val="20"/>
                <w:szCs w:val="22"/>
                <w:lang w:val="en-US"/>
              </w:rPr>
            </w:pPr>
            <w:r w:rsidRPr="0023423F">
              <w:rPr>
                <w:rFonts w:cs="Arial"/>
                <w:sz w:val="20"/>
                <w:szCs w:val="22"/>
              </w:rPr>
              <w:t>1</w:t>
            </w:r>
            <w:r w:rsidR="00E67BB5" w:rsidRPr="0023423F">
              <w:rPr>
                <w:rFonts w:cs="Arial"/>
                <w:sz w:val="20"/>
                <w:szCs w:val="22"/>
              </w:rPr>
              <w:t>4</w:t>
            </w:r>
            <w:r w:rsidRPr="0023423F">
              <w:rPr>
                <w:rFonts w:cs="Arial"/>
                <w:sz w:val="20"/>
                <w:szCs w:val="22"/>
              </w:rPr>
              <w:noBreakHyphen/>
              <w:t>2</w:t>
            </w:r>
            <w:r w:rsidR="00E67BB5" w:rsidRPr="0023423F">
              <w:rPr>
                <w:rFonts w:cs="Arial"/>
                <w:sz w:val="20"/>
                <w:szCs w:val="22"/>
              </w:rPr>
              <w:t>4</w:t>
            </w:r>
            <w:r w:rsidR="000A54D9" w:rsidRPr="0023423F">
              <w:rPr>
                <w:sz w:val="20"/>
                <w:szCs w:val="22"/>
                <w:lang w:val="en-US"/>
              </w:rPr>
              <w:t>% lower</w:t>
            </w:r>
          </w:p>
        </w:tc>
        <w:tc>
          <w:tcPr>
            <w:tcW w:w="2311" w:type="dxa"/>
          </w:tcPr>
          <w:p w14:paraId="1C705D2E" w14:textId="77434BD8" w:rsidR="00840866" w:rsidRPr="0023423F" w:rsidRDefault="00E67BB5" w:rsidP="00D20A1E">
            <w:pPr>
              <w:keepNext/>
              <w:keepLines/>
              <w:widowControl/>
              <w:spacing w:before="40" w:after="40"/>
              <w:jc w:val="center"/>
              <w:rPr>
                <w:sz w:val="20"/>
                <w:szCs w:val="22"/>
                <w:lang w:val="en-US"/>
              </w:rPr>
            </w:pPr>
            <w:r w:rsidRPr="0023423F">
              <w:rPr>
                <w:sz w:val="20"/>
                <w:szCs w:val="22"/>
                <w:lang w:val="en-US"/>
              </w:rPr>
              <w:t>18</w:t>
            </w:r>
            <w:r w:rsidR="000A54D9" w:rsidRPr="0023423F">
              <w:rPr>
                <w:sz w:val="20"/>
                <w:szCs w:val="22"/>
                <w:lang w:val="en-US"/>
              </w:rPr>
              <w:t>% lower</w:t>
            </w:r>
          </w:p>
        </w:tc>
      </w:tr>
    </w:tbl>
    <w:p w14:paraId="65C7AF97" w14:textId="1C61C17D" w:rsidR="002C166F" w:rsidRDefault="006E68E8" w:rsidP="00D20A1E">
      <w:pPr>
        <w:keepNext/>
        <w:keepLines/>
        <w:widowControl/>
        <w:rPr>
          <w:sz w:val="18"/>
          <w:szCs w:val="18"/>
          <w:lang w:val="en-US"/>
        </w:rPr>
      </w:pPr>
      <w:r w:rsidRPr="006E68E8">
        <w:rPr>
          <w:b/>
          <w:szCs w:val="22"/>
          <w:vertAlign w:val="superscript"/>
          <w:lang w:val="en-US"/>
        </w:rPr>
        <w:sym w:font="Wingdings 3" w:char="F073"/>
      </w:r>
      <w:r w:rsidR="00FD61DF" w:rsidRPr="000A54D9">
        <w:rPr>
          <w:sz w:val="18"/>
          <w:szCs w:val="18"/>
          <w:lang w:val="en-US"/>
        </w:rPr>
        <w:t xml:space="preserve"> </w:t>
      </w:r>
      <w:r w:rsidR="002C166F">
        <w:rPr>
          <w:sz w:val="18"/>
          <w:szCs w:val="18"/>
          <w:lang w:val="en-US"/>
        </w:rPr>
        <w:t>The lower end of the range is for Australians aged 15 years and above; the higher end of the range is for Australians aged 5</w:t>
      </w:r>
      <w:r w:rsidR="00A83C42">
        <w:rPr>
          <w:sz w:val="18"/>
          <w:szCs w:val="18"/>
          <w:lang w:val="en-US"/>
        </w:rPr>
        <w:t>–</w:t>
      </w:r>
      <w:r w:rsidR="002C166F">
        <w:rPr>
          <w:sz w:val="18"/>
          <w:szCs w:val="18"/>
          <w:lang w:val="en-US"/>
        </w:rPr>
        <w:t>14 years. The percentage difference for Australians aged 2 years and above is within the range.</w:t>
      </w:r>
    </w:p>
    <w:p w14:paraId="078B3D50" w14:textId="20EF2403" w:rsidR="00B968E4" w:rsidRPr="000A54D9" w:rsidRDefault="000A54D9" w:rsidP="00D20A1E">
      <w:pPr>
        <w:keepNext/>
        <w:keepLines/>
        <w:widowControl/>
        <w:rPr>
          <w:lang w:val="en-US"/>
        </w:rPr>
      </w:pPr>
      <w:r w:rsidRPr="000A54D9">
        <w:rPr>
          <w:sz w:val="18"/>
          <w:szCs w:val="18"/>
          <w:vertAlign w:val="superscript"/>
          <w:lang w:val="en-US"/>
        </w:rPr>
        <w:sym w:font="Wingdings 2" w:char="F0BF"/>
      </w:r>
      <w:r w:rsidRPr="000A54D9">
        <w:rPr>
          <w:sz w:val="18"/>
          <w:szCs w:val="18"/>
          <w:lang w:val="en-US"/>
        </w:rPr>
        <w:t xml:space="preserve"> For New Zealanders aged 15 years and above.</w:t>
      </w:r>
    </w:p>
    <w:p w14:paraId="2CDB763E" w14:textId="5737299E" w:rsidR="008E5CF4" w:rsidRDefault="008E5CF4" w:rsidP="00D20A1E">
      <w:pPr>
        <w:pStyle w:val="Heading5"/>
        <w:keepNext w:val="0"/>
        <w:widowControl/>
      </w:pPr>
      <w:r>
        <w:t xml:space="preserve">New </w:t>
      </w:r>
      <w:r w:rsidRPr="008E5CF4">
        <w:t>Zealand</w:t>
      </w:r>
    </w:p>
    <w:p w14:paraId="5B323BF7" w14:textId="7F8BA69F" w:rsidR="00383392" w:rsidRPr="00536E90" w:rsidRDefault="00FD61DF" w:rsidP="00D20A1E">
      <w:pPr>
        <w:widowControl/>
      </w:pPr>
      <w:r w:rsidRPr="00536E90">
        <w:t xml:space="preserve">For </w:t>
      </w:r>
      <w:r w:rsidR="00383392" w:rsidRPr="00536E90">
        <w:t>New Zealanders aged 15 years and above</w:t>
      </w:r>
      <w:r w:rsidRPr="00536E90">
        <w:t xml:space="preserve">, mean intakes of magnesium, </w:t>
      </w:r>
      <w:r w:rsidR="00536E90" w:rsidRPr="00536E90">
        <w:t xml:space="preserve">naturally occurring folates, </w:t>
      </w:r>
      <w:r w:rsidRPr="00536E90">
        <w:t>phosphorus, riboflavin, thiamin, vitamin B</w:t>
      </w:r>
      <w:r w:rsidRPr="00536E90">
        <w:rPr>
          <w:vertAlign w:val="subscript"/>
        </w:rPr>
        <w:t>12</w:t>
      </w:r>
      <w:r w:rsidRPr="00536E90">
        <w:t xml:space="preserve"> and zinc</w:t>
      </w:r>
      <w:r w:rsidR="00383392" w:rsidRPr="00536E90">
        <w:t xml:space="preserve"> </w:t>
      </w:r>
      <w:r w:rsidRPr="00536E90">
        <w:t xml:space="preserve">from the more recent </w:t>
      </w:r>
      <w:r w:rsidR="00F9621E">
        <w:t>2008 NZANS</w:t>
      </w:r>
      <w:r w:rsidR="00383392" w:rsidRPr="00536E90">
        <w:t xml:space="preserve"> </w:t>
      </w:r>
      <w:r w:rsidRPr="00536E90">
        <w:t xml:space="preserve">were similar to those from </w:t>
      </w:r>
      <w:r w:rsidR="00383392" w:rsidRPr="00536E90">
        <w:t>the 1997 NZNNS</w:t>
      </w:r>
      <w:r w:rsidRPr="00536E90">
        <w:t>, as estimated</w:t>
      </w:r>
      <w:r w:rsidR="00383392" w:rsidRPr="00536E90">
        <w:t xml:space="preserve"> in the assessment of cereal-based beverages (A500) (refer to </w:t>
      </w:r>
      <w:r w:rsidR="00FA3023" w:rsidRPr="00536E90">
        <w:fldChar w:fldCharType="begin"/>
      </w:r>
      <w:r w:rsidR="00FA3023" w:rsidRPr="00536E90">
        <w:instrText xml:space="preserve"> REF _Ref420332044 \h </w:instrText>
      </w:r>
      <w:r w:rsidR="00FD77DE" w:rsidRPr="00536E90">
        <w:instrText xml:space="preserve"> \* MERGEFORMAT </w:instrText>
      </w:r>
      <w:r w:rsidR="00FA3023" w:rsidRPr="00536E90">
        <w:fldChar w:fldCharType="separate"/>
      </w:r>
      <w:r w:rsidR="00047581">
        <w:t>Table A1.8</w:t>
      </w:r>
      <w:r w:rsidR="00FA3023" w:rsidRPr="00536E90">
        <w:fldChar w:fldCharType="end"/>
      </w:r>
      <w:r w:rsidR="00FA3023" w:rsidRPr="00536E90">
        <w:t xml:space="preserve"> in </w:t>
      </w:r>
      <w:r w:rsidR="00FA3023" w:rsidRPr="00536E90">
        <w:rPr>
          <w:noProof/>
        </w:rPr>
        <w:fldChar w:fldCharType="begin"/>
      </w:r>
      <w:r w:rsidR="00FA3023" w:rsidRPr="00536E90">
        <w:rPr>
          <w:noProof/>
        </w:rPr>
        <w:instrText xml:space="preserve"> REF _Ref417648450 \h </w:instrText>
      </w:r>
      <w:r w:rsidR="00FD77DE" w:rsidRPr="00536E90">
        <w:rPr>
          <w:noProof/>
        </w:rPr>
        <w:instrText xml:space="preserve"> \* MERGEFORMAT </w:instrText>
      </w:r>
      <w:r w:rsidR="00FA3023" w:rsidRPr="00536E90">
        <w:rPr>
          <w:noProof/>
        </w:rPr>
      </w:r>
      <w:r w:rsidR="00FA3023" w:rsidRPr="00536E90">
        <w:rPr>
          <w:noProof/>
        </w:rPr>
        <w:fldChar w:fldCharType="separate"/>
      </w:r>
      <w:r w:rsidR="00047581">
        <w:t xml:space="preserve">Appendix </w:t>
      </w:r>
      <w:r w:rsidR="00047581">
        <w:rPr>
          <w:noProof/>
        </w:rPr>
        <w:t>1</w:t>
      </w:r>
      <w:r w:rsidR="00FA3023" w:rsidRPr="00536E90">
        <w:rPr>
          <w:noProof/>
        </w:rPr>
        <w:fldChar w:fldCharType="end"/>
      </w:r>
      <w:r w:rsidR="00383392" w:rsidRPr="00536E90">
        <w:t>).</w:t>
      </w:r>
    </w:p>
    <w:p w14:paraId="6A8091FA" w14:textId="77777777" w:rsidR="00383392" w:rsidRPr="00536E90" w:rsidRDefault="00383392" w:rsidP="00D20A1E">
      <w:pPr>
        <w:widowControl/>
      </w:pPr>
    </w:p>
    <w:p w14:paraId="3B8C1A32" w14:textId="08652A30" w:rsidR="008E5CF4" w:rsidRPr="00536E90" w:rsidRDefault="00383392" w:rsidP="00D20A1E">
      <w:pPr>
        <w:widowControl/>
      </w:pPr>
      <w:r w:rsidRPr="00536E90">
        <w:t>Calcium intakes were approximately 10% higher in the 2008</w:t>
      </w:r>
      <w:r w:rsidR="008E5CF4" w:rsidRPr="00536E90">
        <w:t xml:space="preserve"> NZANS compared to the 1997 NZNNS</w:t>
      </w:r>
      <w:r w:rsidR="00536E90" w:rsidRPr="00536E90">
        <w:t>, with</w:t>
      </w:r>
      <w:r w:rsidR="004E5557" w:rsidRPr="00536E90">
        <w:t xml:space="preserve"> </w:t>
      </w:r>
      <w:r w:rsidR="00A83C42" w:rsidRPr="00536E90">
        <w:t xml:space="preserve">vitamin </w:t>
      </w:r>
      <w:r w:rsidR="008E5CF4" w:rsidRPr="00536E90">
        <w:t>B</w:t>
      </w:r>
      <w:r w:rsidR="008E5CF4" w:rsidRPr="00536E90">
        <w:rPr>
          <w:vertAlign w:val="subscript"/>
        </w:rPr>
        <w:t>6</w:t>
      </w:r>
      <w:r w:rsidR="008E5CF4" w:rsidRPr="00536E90">
        <w:t xml:space="preserve"> intakes </w:t>
      </w:r>
      <w:r w:rsidR="00536E90" w:rsidRPr="00536E90">
        <w:t xml:space="preserve">being </w:t>
      </w:r>
      <w:r w:rsidR="008E5CF4" w:rsidRPr="00536E90">
        <w:t>approximately 50% higher in the 2008 NZANS and vitamin D intakes approximately 100% higher.</w:t>
      </w:r>
      <w:r w:rsidR="00AD6712">
        <w:t xml:space="preserve"> Some of these differences could be due to differences in the methods of nutrient analysis.</w:t>
      </w:r>
    </w:p>
    <w:p w14:paraId="217F86E6" w14:textId="4A62F6A6" w:rsidR="0023423F" w:rsidRDefault="0023423F" w:rsidP="00D20A1E">
      <w:pPr>
        <w:widowControl/>
        <w:rPr>
          <w:highlight w:val="magenta"/>
        </w:rPr>
      </w:pPr>
      <w:r>
        <w:rPr>
          <w:highlight w:val="magenta"/>
        </w:rPr>
        <w:br w:type="page"/>
      </w:r>
    </w:p>
    <w:p w14:paraId="66E96ED9" w14:textId="312DB84F" w:rsidR="008E5CF4" w:rsidRDefault="008E5CF4" w:rsidP="00D20A1E">
      <w:pPr>
        <w:widowControl/>
      </w:pPr>
      <w:r w:rsidRPr="00536E90">
        <w:lastRenderedPageBreak/>
        <w:t xml:space="preserve">Iodine intakes were approximately </w:t>
      </w:r>
      <w:r w:rsidR="00536E90" w:rsidRPr="00536E90">
        <w:t>14</w:t>
      </w:r>
      <w:r w:rsidRPr="00536E90">
        <w:t>% lower in the 2008 NZANS</w:t>
      </w:r>
      <w:r w:rsidR="00F9621E">
        <w:t xml:space="preserve"> than in the 1997 NZNNS, noting</w:t>
      </w:r>
      <w:r w:rsidR="00F9621E" w:rsidRPr="00536E90">
        <w:t xml:space="preserve"> </w:t>
      </w:r>
      <w:r w:rsidR="00F9621E">
        <w:t>t</w:t>
      </w:r>
      <w:r w:rsidR="00F9621E" w:rsidRPr="00536E90">
        <w:t xml:space="preserve">he </w:t>
      </w:r>
      <w:r w:rsidRPr="00536E90">
        <w:t xml:space="preserve">2008 NZANS was conducted </w:t>
      </w:r>
      <w:r w:rsidR="00F9621E">
        <w:t>prior to</w:t>
      </w:r>
      <w:r w:rsidRPr="00536E90">
        <w:t xml:space="preserve"> the introduction of mandatory iodine fortification</w:t>
      </w:r>
      <w:r w:rsidR="00536E90" w:rsidRPr="00536E90">
        <w:t xml:space="preserve"> </w:t>
      </w:r>
      <w:r w:rsidR="00F9621E">
        <w:t>of</w:t>
      </w:r>
      <w:r w:rsidR="00F9621E" w:rsidRPr="00536E90">
        <w:t xml:space="preserve"> </w:t>
      </w:r>
      <w:r w:rsidR="00536E90" w:rsidRPr="00536E90">
        <w:t>salt used to make</w:t>
      </w:r>
      <w:r w:rsidRPr="00536E90">
        <w:t xml:space="preserve"> bread. </w:t>
      </w:r>
      <w:r w:rsidR="00326E1B">
        <w:t>Retinol equivalents</w:t>
      </w:r>
      <w:r w:rsidRPr="00536E90">
        <w:t xml:space="preserve"> intakes were approximately 20% lower in the 2008 NZANS compared to the 1997 NZNNS. This is similar to that seen in the 1995 AusNNS and 2011-12 NNPAS comparison.</w:t>
      </w:r>
    </w:p>
    <w:p w14:paraId="30116101" w14:textId="08F7881C" w:rsidR="000D5096" w:rsidRDefault="0023423F" w:rsidP="00D20A1E">
      <w:pPr>
        <w:pStyle w:val="Heading4"/>
        <w:widowControl/>
        <w:rPr>
          <w:noProof/>
        </w:rPr>
      </w:pPr>
      <w:r>
        <w:rPr>
          <w:lang w:eastAsia="en-AU"/>
        </w:rPr>
        <w:t>8.2.1.3</w:t>
      </w:r>
      <w:r>
        <w:rPr>
          <w:lang w:eastAsia="en-AU"/>
        </w:rPr>
        <w:tab/>
      </w:r>
      <w:r w:rsidR="000D5096">
        <w:rPr>
          <w:lang w:eastAsia="en-AU"/>
        </w:rPr>
        <w:t>Summary</w:t>
      </w:r>
    </w:p>
    <w:p w14:paraId="0872B156" w14:textId="4F12D59E" w:rsidR="001D50C7" w:rsidRDefault="000D5096" w:rsidP="00D20A1E">
      <w:pPr>
        <w:widowControl/>
      </w:pPr>
      <w:r>
        <w:t xml:space="preserve">In general, the </w:t>
      </w:r>
      <w:r w:rsidR="00FD4A5E">
        <w:t>contribution of milk to</w:t>
      </w:r>
      <w:r w:rsidR="001A5579">
        <w:t xml:space="preserve"> vitamin</w:t>
      </w:r>
      <w:r w:rsidR="00410C1B">
        <w:t xml:space="preserve"> and </w:t>
      </w:r>
      <w:r w:rsidR="001A5579">
        <w:t>mineral intakes</w:t>
      </w:r>
      <w:r w:rsidR="00FD4A5E">
        <w:t xml:space="preserve"> and </w:t>
      </w:r>
      <w:r w:rsidR="001A5579">
        <w:t xml:space="preserve">the </w:t>
      </w:r>
      <w:r w:rsidR="00FD4A5E">
        <w:t xml:space="preserve">mean </w:t>
      </w:r>
      <w:r>
        <w:t>vitamin</w:t>
      </w:r>
      <w:r w:rsidR="00410C1B">
        <w:t xml:space="preserve"> and </w:t>
      </w:r>
      <w:r>
        <w:t xml:space="preserve">mineral intakes from the more recent Australian and New Zealand national nutrition surveys </w:t>
      </w:r>
      <w:r w:rsidR="00CD6108">
        <w:t>w</w:t>
      </w:r>
      <w:r w:rsidR="00586D02">
        <w:t>ere</w:t>
      </w:r>
      <w:r w:rsidR="00CD6108">
        <w:t xml:space="preserve"> </w:t>
      </w:r>
      <w:r>
        <w:t xml:space="preserve">similar to those from the </w:t>
      </w:r>
      <w:r w:rsidR="00FD4A5E">
        <w:t xml:space="preserve">older 1995 AusNNS and 1997 NZNNS, as estimated in the </w:t>
      </w:r>
      <w:r>
        <w:t xml:space="preserve">assessment of cereal-based beverages (A500). </w:t>
      </w:r>
      <w:r w:rsidR="00A563AE">
        <w:t>In addition, mean intakes for a range of vitamin</w:t>
      </w:r>
      <w:r w:rsidR="00410C1B">
        <w:t xml:space="preserve"> and </w:t>
      </w:r>
      <w:r w:rsidR="00A563AE">
        <w:t>minerals were similar between 1995</w:t>
      </w:r>
      <w:r w:rsidR="001A5579">
        <w:t>/</w:t>
      </w:r>
      <w:r w:rsidR="00A563AE">
        <w:t xml:space="preserve">1997, as </w:t>
      </w:r>
      <w:r w:rsidR="001D50C7">
        <w:t>described</w:t>
      </w:r>
      <w:r w:rsidR="00A563AE">
        <w:t xml:space="preserve"> in A500, compared with estimates of mean intake from more recent nutrition surveys</w:t>
      </w:r>
      <w:r w:rsidR="00CD6108">
        <w:t xml:space="preserve">, </w:t>
      </w:r>
      <w:r w:rsidR="00CD6108" w:rsidRPr="00410C1B">
        <w:t>except for iodine and dietary folate equivalents owing to fortification initiatives in the intervening period</w:t>
      </w:r>
      <w:r w:rsidR="00A563AE" w:rsidRPr="00410C1B">
        <w:t xml:space="preserve">. </w:t>
      </w:r>
      <w:r w:rsidR="001D50C7" w:rsidRPr="00410C1B">
        <w:t xml:space="preserve">Therefore the results </w:t>
      </w:r>
      <w:r w:rsidR="00361FC0" w:rsidRPr="00410C1B">
        <w:t xml:space="preserve">shown in A500 </w:t>
      </w:r>
      <w:r w:rsidR="00CD6108">
        <w:t>for assessing the differences in nutrient intakes between non-dairy consumers and the general population were</w:t>
      </w:r>
      <w:r w:rsidR="00CD6108" w:rsidRPr="00410C1B">
        <w:t xml:space="preserve"> </w:t>
      </w:r>
      <w:r w:rsidR="00B87D4D" w:rsidRPr="00410C1B">
        <w:t xml:space="preserve">still </w:t>
      </w:r>
      <w:r w:rsidR="00CD6108">
        <w:t>considered r</w:t>
      </w:r>
      <w:r w:rsidR="00CD6108" w:rsidRPr="00410C1B">
        <w:t xml:space="preserve">elevant </w:t>
      </w:r>
      <w:r w:rsidR="00B87D4D" w:rsidRPr="00410C1B">
        <w:t>for assessing</w:t>
      </w:r>
      <w:r w:rsidR="00361FC0" w:rsidRPr="00410C1B">
        <w:t xml:space="preserve"> the current Application</w:t>
      </w:r>
      <w:r w:rsidR="00586D02">
        <w:t>. Therefore</w:t>
      </w:r>
      <w:r w:rsidR="00361FC0" w:rsidRPr="00410C1B">
        <w:t xml:space="preserve">, </w:t>
      </w:r>
      <w:r w:rsidR="00586D02">
        <w:t>these</w:t>
      </w:r>
      <w:r w:rsidR="00CD6108">
        <w:t xml:space="preserve"> comparisons were not repeated for the newer surveys.</w:t>
      </w:r>
    </w:p>
    <w:p w14:paraId="1FD0603B" w14:textId="77777777" w:rsidR="001D50C7" w:rsidRDefault="001D50C7" w:rsidP="00D20A1E">
      <w:pPr>
        <w:widowControl/>
      </w:pPr>
    </w:p>
    <w:p w14:paraId="6B8BB5C1" w14:textId="436C7F77" w:rsidR="00BA1426" w:rsidRDefault="003E672C" w:rsidP="00D20A1E">
      <w:pPr>
        <w:widowControl/>
      </w:pPr>
      <w:r>
        <w:t xml:space="preserve">Unfortified </w:t>
      </w:r>
      <w:r w:rsidR="006C2FB7">
        <w:t xml:space="preserve">nut- </w:t>
      </w:r>
      <w:r w:rsidRPr="00CA7851">
        <w:t>and seed-based beverages are a poor source of vitamins and minerals</w:t>
      </w:r>
      <w:r>
        <w:t>. T</w:t>
      </w:r>
      <w:r w:rsidR="00D73355">
        <w:t xml:space="preserve">herefore, the conclusions from dietary vitamin/mineral intake assessments for </w:t>
      </w:r>
      <w:r w:rsidR="00361FC0">
        <w:t xml:space="preserve">unfortified </w:t>
      </w:r>
      <w:r w:rsidR="00D73355">
        <w:t>cereal-based beverages (A500)</w:t>
      </w:r>
      <w:r w:rsidR="00FD4A5E">
        <w:t>, that non-dairy consumers are likely to have reduced nutrient intakes for a range of nutrients</w:t>
      </w:r>
      <w:r w:rsidR="00D73355">
        <w:t xml:space="preserve"> </w:t>
      </w:r>
      <w:r w:rsidR="00FD4A5E">
        <w:t>compared to the general population (</w:t>
      </w:r>
      <w:r w:rsidR="00BE299C">
        <w:t xml:space="preserve">see </w:t>
      </w:r>
      <w:r w:rsidR="000D5096">
        <w:t xml:space="preserve">Section </w:t>
      </w:r>
      <w:r w:rsidR="000D5096">
        <w:fldChar w:fldCharType="begin"/>
      </w:r>
      <w:r w:rsidR="000D5096">
        <w:instrText xml:space="preserve"> REF _Ref420331166 \r \p \h </w:instrText>
      </w:r>
      <w:r w:rsidR="000D5096">
        <w:fldChar w:fldCharType="separate"/>
      </w:r>
      <w:r w:rsidR="00047581">
        <w:t>8.2.1.1 above</w:t>
      </w:r>
      <w:r w:rsidR="000D5096">
        <w:fldChar w:fldCharType="end"/>
      </w:r>
      <w:r w:rsidR="00FD4A5E">
        <w:t>)</w:t>
      </w:r>
      <w:r w:rsidR="00CF3F52">
        <w:t>,</w:t>
      </w:r>
      <w:r w:rsidR="000D5096">
        <w:t xml:space="preserve"> </w:t>
      </w:r>
      <w:r w:rsidR="00E35EE1">
        <w:t xml:space="preserve">may </w:t>
      </w:r>
      <w:r w:rsidR="00FD4A5E">
        <w:t xml:space="preserve">apply </w:t>
      </w:r>
      <w:r>
        <w:t xml:space="preserve">to </w:t>
      </w:r>
      <w:r w:rsidR="00FD4A5E">
        <w:t>non-dairy consumers who choose to consume unfortified</w:t>
      </w:r>
      <w:r w:rsidR="00D73355">
        <w:t xml:space="preserve"> </w:t>
      </w:r>
      <w:r w:rsidR="006C2FB7">
        <w:t xml:space="preserve">nut- </w:t>
      </w:r>
      <w:r w:rsidR="00D73355">
        <w:t>and seed-based beverages</w:t>
      </w:r>
      <w:r w:rsidR="00FD4A5E">
        <w:t xml:space="preserve"> as a </w:t>
      </w:r>
      <w:r w:rsidR="00E35EE1">
        <w:t xml:space="preserve">complete </w:t>
      </w:r>
      <w:r w:rsidR="00FD4A5E">
        <w:t>milk replacement</w:t>
      </w:r>
      <w:r w:rsidR="00D73355">
        <w:t>.</w:t>
      </w:r>
    </w:p>
    <w:p w14:paraId="5E511DF2" w14:textId="224C1552" w:rsidR="00B31406" w:rsidRDefault="00513153" w:rsidP="00D20A1E">
      <w:pPr>
        <w:pStyle w:val="Heading3"/>
        <w:widowControl/>
      </w:pPr>
      <w:bookmarkStart w:id="155" w:name="_Toc427672190"/>
      <w:bookmarkStart w:id="156" w:name="_Toc427678256"/>
      <w:r>
        <w:t>8.</w:t>
      </w:r>
      <w:r w:rsidR="0023423F">
        <w:t>2</w:t>
      </w:r>
      <w:r>
        <w:t>.3</w:t>
      </w:r>
      <w:r>
        <w:tab/>
      </w:r>
      <w:r w:rsidR="00E93A8F">
        <w:t>P</w:t>
      </w:r>
      <w:r w:rsidR="00B31406">
        <w:t>rotein intakes</w:t>
      </w:r>
      <w:bookmarkEnd w:id="155"/>
      <w:bookmarkEnd w:id="156"/>
    </w:p>
    <w:p w14:paraId="68F6BFAA" w14:textId="279BD6C5" w:rsidR="00B31406" w:rsidRPr="000613A6" w:rsidRDefault="0023423F" w:rsidP="00D20A1E">
      <w:pPr>
        <w:pStyle w:val="Heading4"/>
        <w:widowControl/>
        <w:rPr>
          <w:lang w:eastAsia="en-AU"/>
        </w:rPr>
      </w:pPr>
      <w:r>
        <w:rPr>
          <w:lang w:eastAsia="en-AU"/>
        </w:rPr>
        <w:t>8.2.3.1</w:t>
      </w:r>
      <w:r>
        <w:rPr>
          <w:lang w:eastAsia="en-AU"/>
        </w:rPr>
        <w:tab/>
      </w:r>
      <w:r w:rsidR="00B31406">
        <w:rPr>
          <w:lang w:eastAsia="en-AU"/>
        </w:rPr>
        <w:t xml:space="preserve">Protein dietary intake assessment for non-dairy consumers </w:t>
      </w:r>
      <w:r w:rsidR="00CA36B6">
        <w:rPr>
          <w:lang w:eastAsia="en-AU"/>
        </w:rPr>
        <w:t xml:space="preserve">based on </w:t>
      </w:r>
      <w:r w:rsidR="00B31406">
        <w:rPr>
          <w:lang w:eastAsia="en-AU"/>
        </w:rPr>
        <w:t>the cereal-based beverages assessment (A500)</w:t>
      </w:r>
    </w:p>
    <w:p w14:paraId="5D23D0D2" w14:textId="08D604C4" w:rsidR="00B31406" w:rsidRDefault="00B31406" w:rsidP="00D20A1E">
      <w:pPr>
        <w:widowControl/>
      </w:pPr>
      <w:r>
        <w:rPr>
          <w:lang w:val="en-US"/>
        </w:rPr>
        <w:t xml:space="preserve">The findings from the </w:t>
      </w:r>
      <w:r w:rsidR="00CE6284">
        <w:rPr>
          <w:lang w:val="en-US"/>
        </w:rPr>
        <w:t xml:space="preserve">A500 </w:t>
      </w:r>
      <w:r>
        <w:rPr>
          <w:lang w:val="en-US"/>
        </w:rPr>
        <w:t xml:space="preserve">assessment </w:t>
      </w:r>
      <w:r w:rsidR="00CE6284">
        <w:rPr>
          <w:lang w:val="en-US"/>
        </w:rPr>
        <w:t xml:space="preserve">indicated </w:t>
      </w:r>
      <w:r>
        <w:rPr>
          <w:lang w:val="en-US"/>
        </w:rPr>
        <w:t xml:space="preserve">that estimated protein intakes </w:t>
      </w:r>
      <w:r w:rsidR="00CE6284">
        <w:rPr>
          <w:lang w:val="en-US"/>
        </w:rPr>
        <w:t xml:space="preserve">were </w:t>
      </w:r>
      <w:r>
        <w:rPr>
          <w:lang w:val="en-US"/>
        </w:rPr>
        <w:t>1</w:t>
      </w:r>
      <w:r w:rsidR="00A9367F">
        <w:rPr>
          <w:lang w:val="en-US"/>
        </w:rPr>
        <w:t>7</w:t>
      </w:r>
      <w:r w:rsidR="00206636">
        <w:rPr>
          <w:lang w:val="en-US"/>
        </w:rPr>
        <w:noBreakHyphen/>
      </w:r>
      <w:r>
        <w:rPr>
          <w:lang w:val="en-US"/>
        </w:rPr>
        <w:t>22% lower in non-dairy consumers compared to the general population (see</w:t>
      </w:r>
      <w:r w:rsidR="00FA3023" w:rsidRPr="00FA3023">
        <w:t xml:space="preserve"> </w:t>
      </w:r>
      <w:r w:rsidR="00FA3023">
        <w:fldChar w:fldCharType="begin"/>
      </w:r>
      <w:r w:rsidR="00FA3023">
        <w:instrText xml:space="preserve"> REF _Ref420332068 \h </w:instrText>
      </w:r>
      <w:r w:rsidR="00FA3023">
        <w:fldChar w:fldCharType="separate"/>
      </w:r>
      <w:r w:rsidR="00047581">
        <w:t>Table A1.</w:t>
      </w:r>
      <w:r w:rsidR="00047581">
        <w:rPr>
          <w:noProof/>
        </w:rPr>
        <w:t>9</w:t>
      </w:r>
      <w:r w:rsidR="00FA3023">
        <w:fldChar w:fldCharType="end"/>
      </w:r>
      <w:r w:rsidR="00FA3023">
        <w:t xml:space="preserve"> in </w:t>
      </w:r>
      <w:r w:rsidR="00FA3023">
        <w:rPr>
          <w:noProof/>
        </w:rPr>
        <w:fldChar w:fldCharType="begin"/>
      </w:r>
      <w:r w:rsidR="00FA3023">
        <w:rPr>
          <w:noProof/>
        </w:rPr>
        <w:instrText xml:space="preserve"> REF _Ref417648450 \h </w:instrText>
      </w:r>
      <w:r w:rsidR="00FA3023">
        <w:rPr>
          <w:noProof/>
        </w:rPr>
      </w:r>
      <w:r w:rsidR="00FA3023">
        <w:rPr>
          <w:noProof/>
        </w:rPr>
        <w:fldChar w:fldCharType="separate"/>
      </w:r>
      <w:r w:rsidR="00047581">
        <w:t xml:space="preserve">Appendix </w:t>
      </w:r>
      <w:r w:rsidR="00047581">
        <w:rPr>
          <w:noProof/>
        </w:rPr>
        <w:t>1</w:t>
      </w:r>
      <w:r w:rsidR="00FA3023">
        <w:rPr>
          <w:noProof/>
        </w:rPr>
        <w:fldChar w:fldCharType="end"/>
      </w:r>
      <w:r>
        <w:rPr>
          <w:lang w:val="en-US"/>
        </w:rPr>
        <w:t>).</w:t>
      </w:r>
    </w:p>
    <w:p w14:paraId="420EEFFD" w14:textId="7D5782E3" w:rsidR="00B31406" w:rsidRDefault="0023423F" w:rsidP="00D20A1E">
      <w:pPr>
        <w:pStyle w:val="Heading4"/>
        <w:keepLines/>
        <w:widowControl/>
        <w:rPr>
          <w:noProof/>
        </w:rPr>
      </w:pPr>
      <w:bookmarkStart w:id="157" w:name="_Ref421792644"/>
      <w:r>
        <w:rPr>
          <w:noProof/>
        </w:rPr>
        <w:t>8.2.3.2</w:t>
      </w:r>
      <w:r>
        <w:rPr>
          <w:noProof/>
        </w:rPr>
        <w:tab/>
      </w:r>
      <w:r w:rsidR="00B31406">
        <w:rPr>
          <w:noProof/>
        </w:rPr>
        <w:t>Protein dietary intakes for the general population using the more recent Australian and New Zealand national nutrition surveys</w:t>
      </w:r>
      <w:bookmarkEnd w:id="157"/>
    </w:p>
    <w:p w14:paraId="3FA76FC4" w14:textId="261E635E" w:rsidR="004C20FC" w:rsidRDefault="00B31406" w:rsidP="00D20A1E">
      <w:pPr>
        <w:keepNext/>
        <w:keepLines/>
        <w:widowControl/>
      </w:pPr>
      <w:r>
        <w:t xml:space="preserve">The mean protein intake for the general population of Australians aged 2 years and above </w:t>
      </w:r>
      <w:r w:rsidR="00CE6284">
        <w:t xml:space="preserve">was </w:t>
      </w:r>
      <w:r>
        <w:t>similar for the 1995 AusNNS (86</w:t>
      </w:r>
      <w:r w:rsidR="00594D53">
        <w:t> </w:t>
      </w:r>
      <w:r>
        <w:t xml:space="preserve">grams/day) that was used in the </w:t>
      </w:r>
      <w:r w:rsidR="00CE6284">
        <w:t xml:space="preserve">A500 </w:t>
      </w:r>
      <w:r>
        <w:t>assessment and for the more recent 2011-12 NNPAS (88</w:t>
      </w:r>
      <w:r w:rsidR="00594D53">
        <w:t> </w:t>
      </w:r>
      <w:r>
        <w:t xml:space="preserve">grams/day) (refer to </w:t>
      </w:r>
      <w:r w:rsidR="00836181">
        <w:fldChar w:fldCharType="begin"/>
      </w:r>
      <w:r w:rsidR="00836181">
        <w:instrText xml:space="preserve"> REF _Ref420332163 \h </w:instrText>
      </w:r>
      <w:r w:rsidR="00836181">
        <w:fldChar w:fldCharType="separate"/>
      </w:r>
      <w:r w:rsidR="00047581">
        <w:t>Table A1.</w:t>
      </w:r>
      <w:r w:rsidR="00047581">
        <w:rPr>
          <w:noProof/>
        </w:rPr>
        <w:t>10</w:t>
      </w:r>
      <w:r w:rsidR="00836181">
        <w:fldChar w:fldCharType="end"/>
      </w:r>
      <w:r w:rsidR="00FA3023" w:rsidRPr="00FA3023">
        <w:t xml:space="preserve"> </w:t>
      </w:r>
      <w:r w:rsidR="00FA3023">
        <w:t xml:space="preserve">in </w:t>
      </w:r>
      <w:r w:rsidR="00FA3023">
        <w:rPr>
          <w:noProof/>
        </w:rPr>
        <w:fldChar w:fldCharType="begin"/>
      </w:r>
      <w:r w:rsidR="00FA3023">
        <w:rPr>
          <w:noProof/>
        </w:rPr>
        <w:instrText xml:space="preserve"> REF _Ref417648450 \h </w:instrText>
      </w:r>
      <w:r w:rsidR="00FA3023">
        <w:rPr>
          <w:noProof/>
        </w:rPr>
      </w:r>
      <w:r w:rsidR="00FA3023">
        <w:rPr>
          <w:noProof/>
        </w:rPr>
        <w:fldChar w:fldCharType="separate"/>
      </w:r>
      <w:r w:rsidR="00047581">
        <w:t xml:space="preserve">Appendix </w:t>
      </w:r>
      <w:r w:rsidR="00047581">
        <w:rPr>
          <w:noProof/>
        </w:rPr>
        <w:t>1</w:t>
      </w:r>
      <w:r w:rsidR="00FA3023">
        <w:rPr>
          <w:noProof/>
        </w:rPr>
        <w:fldChar w:fldCharType="end"/>
      </w:r>
      <w:r>
        <w:t>).</w:t>
      </w:r>
    </w:p>
    <w:p w14:paraId="246A0902" w14:textId="77777777" w:rsidR="004C20FC" w:rsidRDefault="004C20FC" w:rsidP="00D20A1E">
      <w:pPr>
        <w:widowControl/>
      </w:pPr>
    </w:p>
    <w:p w14:paraId="489F0B88" w14:textId="50217731" w:rsidR="00464560" w:rsidRDefault="00B31406" w:rsidP="00D20A1E">
      <w:pPr>
        <w:widowControl/>
      </w:pPr>
      <w:r>
        <w:t>The mean protein intake for the general population of New Zealanders aged 15 years and above was similar in the 1997 NZNNS that was used in the cereal-based beverages assessment (87</w:t>
      </w:r>
      <w:r w:rsidR="00594D53">
        <w:t> </w:t>
      </w:r>
      <w:r>
        <w:t xml:space="preserve">grams/day) and in the more recent 2008 NZANS (88 grams/day) (refer to </w:t>
      </w:r>
      <w:r w:rsidR="00836181">
        <w:fldChar w:fldCharType="begin"/>
      </w:r>
      <w:r w:rsidR="00836181">
        <w:instrText xml:space="preserve"> REF _Ref420332193 \h </w:instrText>
      </w:r>
      <w:r w:rsidR="00836181">
        <w:fldChar w:fldCharType="separate"/>
      </w:r>
      <w:r w:rsidR="00047581">
        <w:t>Table A1.</w:t>
      </w:r>
      <w:r w:rsidR="00047581">
        <w:rPr>
          <w:noProof/>
        </w:rPr>
        <w:t>11</w:t>
      </w:r>
      <w:r w:rsidR="00836181">
        <w:fldChar w:fldCharType="end"/>
      </w:r>
      <w:r w:rsidR="00C760AF" w:rsidRPr="00FA3023">
        <w:t xml:space="preserve"> </w:t>
      </w:r>
      <w:r w:rsidR="00C760AF">
        <w:t xml:space="preserve">in </w:t>
      </w:r>
      <w:r w:rsidR="00C760AF">
        <w:rPr>
          <w:noProof/>
        </w:rPr>
        <w:fldChar w:fldCharType="begin"/>
      </w:r>
      <w:r w:rsidR="00C760AF">
        <w:rPr>
          <w:noProof/>
        </w:rPr>
        <w:instrText xml:space="preserve"> REF _Ref417648450 \h </w:instrText>
      </w:r>
      <w:r w:rsidR="00C760AF">
        <w:rPr>
          <w:noProof/>
        </w:rPr>
      </w:r>
      <w:r w:rsidR="00C760AF">
        <w:rPr>
          <w:noProof/>
        </w:rPr>
        <w:fldChar w:fldCharType="separate"/>
      </w:r>
      <w:r w:rsidR="00047581">
        <w:t xml:space="preserve">Appendix </w:t>
      </w:r>
      <w:r w:rsidR="00047581">
        <w:rPr>
          <w:noProof/>
        </w:rPr>
        <w:t>1</w:t>
      </w:r>
      <w:r w:rsidR="00C760AF">
        <w:rPr>
          <w:noProof/>
        </w:rPr>
        <w:fldChar w:fldCharType="end"/>
      </w:r>
      <w:r>
        <w:t xml:space="preserve">). Therefore, the conclusions from </w:t>
      </w:r>
      <w:r w:rsidR="00CE6284">
        <w:t xml:space="preserve">the </w:t>
      </w:r>
      <w:r>
        <w:t xml:space="preserve">dietary protein intakes assessment </w:t>
      </w:r>
      <w:r w:rsidR="00CE6284">
        <w:t xml:space="preserve">for non-dairy consumers and the general population </w:t>
      </w:r>
      <w:r>
        <w:t xml:space="preserve">for </w:t>
      </w:r>
      <w:r w:rsidR="00CE6284">
        <w:t xml:space="preserve">the </w:t>
      </w:r>
      <w:r>
        <w:t xml:space="preserve">cereal-based beverages assessment (A500) </w:t>
      </w:r>
      <w:r w:rsidR="00CE6284">
        <w:t xml:space="preserve">were assumed to be </w:t>
      </w:r>
      <w:r>
        <w:t xml:space="preserve">relevant to the assessment of </w:t>
      </w:r>
      <w:r w:rsidR="006C2FB7">
        <w:t xml:space="preserve">nut- </w:t>
      </w:r>
      <w:r>
        <w:t>and seed-based beverages.</w:t>
      </w:r>
    </w:p>
    <w:p w14:paraId="5F10E097" w14:textId="4161829F" w:rsidR="00E93A8F" w:rsidRDefault="0023423F" w:rsidP="00D20A1E">
      <w:pPr>
        <w:pStyle w:val="Heading3"/>
        <w:widowControl/>
      </w:pPr>
      <w:bookmarkStart w:id="158" w:name="_Toc427672191"/>
      <w:bookmarkStart w:id="159" w:name="_Toc427678257"/>
      <w:r>
        <w:lastRenderedPageBreak/>
        <w:t>8.2</w:t>
      </w:r>
      <w:r w:rsidR="00513153">
        <w:t>.4</w:t>
      </w:r>
      <w:r w:rsidR="00513153">
        <w:tab/>
      </w:r>
      <w:r w:rsidR="00E93A8F">
        <w:t>Fat intakes</w:t>
      </w:r>
      <w:bookmarkEnd w:id="158"/>
      <w:bookmarkEnd w:id="159"/>
    </w:p>
    <w:p w14:paraId="053E15D9" w14:textId="7026E847" w:rsidR="00CA36B6" w:rsidRPr="000613A6" w:rsidRDefault="0023423F" w:rsidP="00D20A1E">
      <w:pPr>
        <w:pStyle w:val="Heading4"/>
        <w:widowControl/>
        <w:rPr>
          <w:lang w:eastAsia="en-AU"/>
        </w:rPr>
      </w:pPr>
      <w:r>
        <w:rPr>
          <w:lang w:eastAsia="en-AU"/>
        </w:rPr>
        <w:t>8.2.4.1</w:t>
      </w:r>
      <w:r>
        <w:rPr>
          <w:lang w:eastAsia="en-AU"/>
        </w:rPr>
        <w:tab/>
      </w:r>
      <w:r w:rsidR="00CA36B6">
        <w:rPr>
          <w:lang w:eastAsia="en-AU"/>
        </w:rPr>
        <w:t>Fat intake assessment for non-dairy consumers based on the cereal-based beverages assessment (A500)</w:t>
      </w:r>
    </w:p>
    <w:p w14:paraId="58160278" w14:textId="3EB2A4E7" w:rsidR="00CA36B6" w:rsidRDefault="00CE6284" w:rsidP="0023423F">
      <w:pPr>
        <w:rPr>
          <w:lang w:val="en-US"/>
        </w:rPr>
      </w:pPr>
      <w:r>
        <w:rPr>
          <w:lang w:val="en-US"/>
        </w:rPr>
        <w:t>In the A500 assessment e</w:t>
      </w:r>
      <w:r w:rsidR="00CA36B6">
        <w:rPr>
          <w:lang w:val="en-US"/>
        </w:rPr>
        <w:t xml:space="preserve">stimated fat intakes </w:t>
      </w:r>
      <w:r w:rsidR="002664F2">
        <w:rPr>
          <w:lang w:val="en-US"/>
        </w:rPr>
        <w:t>we</w:t>
      </w:r>
      <w:r w:rsidR="00CA36B6">
        <w:rPr>
          <w:lang w:val="en-US"/>
        </w:rPr>
        <w:t xml:space="preserve">re approximately </w:t>
      </w:r>
      <w:r w:rsidR="00463E24">
        <w:rPr>
          <w:lang w:val="en-US"/>
        </w:rPr>
        <w:t>21</w:t>
      </w:r>
      <w:r w:rsidR="00A83C42">
        <w:rPr>
          <w:lang w:val="en-US"/>
        </w:rPr>
        <w:t>–</w:t>
      </w:r>
      <w:r w:rsidR="00CA36B6">
        <w:rPr>
          <w:lang w:val="en-US"/>
        </w:rPr>
        <w:t>25% lower in non-dairy consumers compared to the general population (see</w:t>
      </w:r>
      <w:r w:rsidR="00CA36B6" w:rsidRPr="00FA3023">
        <w:t xml:space="preserve"> </w:t>
      </w:r>
      <w:r w:rsidR="00CA36B6">
        <w:fldChar w:fldCharType="begin"/>
      </w:r>
      <w:r w:rsidR="00CA36B6">
        <w:instrText xml:space="preserve"> REF _Ref420483356 \h </w:instrText>
      </w:r>
      <w:r w:rsidR="00CA36B6">
        <w:fldChar w:fldCharType="separate"/>
      </w:r>
      <w:r w:rsidR="00047581">
        <w:t>Table A1.</w:t>
      </w:r>
      <w:r w:rsidR="00047581">
        <w:rPr>
          <w:noProof/>
        </w:rPr>
        <w:t>12</w:t>
      </w:r>
      <w:r w:rsidR="00CA36B6">
        <w:fldChar w:fldCharType="end"/>
      </w:r>
      <w:r w:rsidR="00CA36B6">
        <w:t xml:space="preserve"> in </w:t>
      </w:r>
      <w:r w:rsidR="00CA36B6">
        <w:rPr>
          <w:noProof/>
        </w:rPr>
        <w:fldChar w:fldCharType="begin"/>
      </w:r>
      <w:r w:rsidR="00CA36B6">
        <w:rPr>
          <w:noProof/>
        </w:rPr>
        <w:instrText xml:space="preserve"> REF _Ref417648450 \h </w:instrText>
      </w:r>
      <w:r w:rsidR="00CA36B6">
        <w:rPr>
          <w:noProof/>
        </w:rPr>
      </w:r>
      <w:r w:rsidR="00CA36B6">
        <w:rPr>
          <w:noProof/>
        </w:rPr>
        <w:fldChar w:fldCharType="separate"/>
      </w:r>
      <w:r w:rsidR="00047581">
        <w:t xml:space="preserve">Appendix </w:t>
      </w:r>
      <w:r w:rsidR="00047581">
        <w:rPr>
          <w:noProof/>
        </w:rPr>
        <w:t>1</w:t>
      </w:r>
      <w:r w:rsidR="00CA36B6">
        <w:rPr>
          <w:noProof/>
        </w:rPr>
        <w:fldChar w:fldCharType="end"/>
      </w:r>
      <w:r w:rsidR="00CA36B6">
        <w:rPr>
          <w:lang w:val="en-US"/>
        </w:rPr>
        <w:t>).</w:t>
      </w:r>
    </w:p>
    <w:p w14:paraId="5051AF25" w14:textId="6CB5A58B" w:rsidR="00CA36B6" w:rsidRDefault="0023423F" w:rsidP="00D20A1E">
      <w:pPr>
        <w:pStyle w:val="Heading4"/>
        <w:keepLines/>
        <w:widowControl/>
        <w:rPr>
          <w:noProof/>
        </w:rPr>
      </w:pPr>
      <w:bookmarkStart w:id="160" w:name="_Ref421792654"/>
      <w:r>
        <w:rPr>
          <w:noProof/>
        </w:rPr>
        <w:t>8.2.4.2</w:t>
      </w:r>
      <w:r>
        <w:rPr>
          <w:noProof/>
        </w:rPr>
        <w:tab/>
      </w:r>
      <w:r w:rsidR="00CA36B6">
        <w:rPr>
          <w:noProof/>
        </w:rPr>
        <w:t>Fat intakes for the general population using the more recent Australian and New Zealand national nutrition surveys</w:t>
      </w:r>
      <w:bookmarkEnd w:id="160"/>
    </w:p>
    <w:p w14:paraId="68B8FEDF" w14:textId="019F5BED" w:rsidR="00CA36B6" w:rsidRDefault="00CA36B6" w:rsidP="00D20A1E">
      <w:pPr>
        <w:keepNext/>
        <w:keepLines/>
        <w:widowControl/>
      </w:pPr>
      <w:r>
        <w:t xml:space="preserve">The mean fat intake for the general population of Australians aged 2 years and above </w:t>
      </w:r>
      <w:r w:rsidR="003A165A">
        <w:t>wa</w:t>
      </w:r>
      <w:r>
        <w:t xml:space="preserve">s </w:t>
      </w:r>
      <w:r w:rsidR="003A165A">
        <w:t>slightly higher in</w:t>
      </w:r>
      <w:r>
        <w:t xml:space="preserve"> the 1995 AusNNS (</w:t>
      </w:r>
      <w:r w:rsidR="003A165A">
        <w:t>81 </w:t>
      </w:r>
      <w:r>
        <w:t xml:space="preserve">grams/day) </w:t>
      </w:r>
      <w:r w:rsidR="003A165A">
        <w:t xml:space="preserve">compared to </w:t>
      </w:r>
      <w:r>
        <w:t>the more recent 2011-12 NNPAS (</w:t>
      </w:r>
      <w:r w:rsidR="003A165A">
        <w:t>73 </w:t>
      </w:r>
      <w:r>
        <w:t xml:space="preserve">grams/day) (refer to </w:t>
      </w:r>
      <w:r w:rsidR="003A165A">
        <w:fldChar w:fldCharType="begin"/>
      </w:r>
      <w:r w:rsidR="003A165A">
        <w:instrText xml:space="preserve"> REF _Ref420483546 \h </w:instrText>
      </w:r>
      <w:r w:rsidR="003A165A">
        <w:fldChar w:fldCharType="separate"/>
      </w:r>
      <w:r w:rsidR="00047581">
        <w:t>Table A1.</w:t>
      </w:r>
      <w:r w:rsidR="00047581">
        <w:rPr>
          <w:noProof/>
        </w:rPr>
        <w:t>13</w:t>
      </w:r>
      <w:r w:rsidR="003A165A">
        <w:fldChar w:fldCharType="end"/>
      </w:r>
      <w:r w:rsidR="003A165A">
        <w:t xml:space="preserve"> </w:t>
      </w:r>
      <w:r>
        <w:t xml:space="preserve">in </w:t>
      </w:r>
      <w:r>
        <w:rPr>
          <w:noProof/>
        </w:rPr>
        <w:fldChar w:fldCharType="begin"/>
      </w:r>
      <w:r>
        <w:rPr>
          <w:noProof/>
        </w:rPr>
        <w:instrText xml:space="preserve"> REF _Ref417648450 \h </w:instrText>
      </w:r>
      <w:r>
        <w:rPr>
          <w:noProof/>
        </w:rPr>
      </w:r>
      <w:r>
        <w:rPr>
          <w:noProof/>
        </w:rPr>
        <w:fldChar w:fldCharType="separate"/>
      </w:r>
      <w:r w:rsidR="00047581">
        <w:t xml:space="preserve">Appendix </w:t>
      </w:r>
      <w:r w:rsidR="00047581">
        <w:rPr>
          <w:noProof/>
        </w:rPr>
        <w:t>1</w:t>
      </w:r>
      <w:r>
        <w:rPr>
          <w:noProof/>
        </w:rPr>
        <w:fldChar w:fldCharType="end"/>
      </w:r>
      <w:r>
        <w:t>).</w:t>
      </w:r>
    </w:p>
    <w:p w14:paraId="1C16A873" w14:textId="77777777" w:rsidR="00CA36B6" w:rsidRDefault="00CA36B6" w:rsidP="00D20A1E">
      <w:pPr>
        <w:widowControl/>
      </w:pPr>
    </w:p>
    <w:p w14:paraId="1FE82E50" w14:textId="20742D04" w:rsidR="00CA36B6" w:rsidRDefault="00CA36B6" w:rsidP="00D20A1E">
      <w:pPr>
        <w:widowControl/>
      </w:pPr>
      <w:r>
        <w:t xml:space="preserve">The mean </w:t>
      </w:r>
      <w:r w:rsidR="003A165A">
        <w:t xml:space="preserve">fat </w:t>
      </w:r>
      <w:r>
        <w:t>intake for the general population of New Zealanders aged 15 years and above was similar in the 1997 NZNNS (8</w:t>
      </w:r>
      <w:r w:rsidR="003A165A">
        <w:t>9</w:t>
      </w:r>
      <w:r>
        <w:t> grams/day) and the more recent 2008 NZANS (8</w:t>
      </w:r>
      <w:r w:rsidR="003A165A">
        <w:t>3</w:t>
      </w:r>
      <w:r>
        <w:t xml:space="preserve"> grams/day) (refer to </w:t>
      </w:r>
      <w:r>
        <w:fldChar w:fldCharType="begin"/>
      </w:r>
      <w:r>
        <w:instrText xml:space="preserve"> REF _Ref420332193 \h </w:instrText>
      </w:r>
      <w:r>
        <w:fldChar w:fldCharType="separate"/>
      </w:r>
      <w:r w:rsidR="00047581">
        <w:t>Table A1.</w:t>
      </w:r>
      <w:r w:rsidR="00047581">
        <w:rPr>
          <w:noProof/>
        </w:rPr>
        <w:t>11</w:t>
      </w:r>
      <w:r>
        <w:fldChar w:fldCharType="end"/>
      </w:r>
      <w:r w:rsidRPr="00FA3023">
        <w:t xml:space="preserve"> </w:t>
      </w:r>
      <w:r>
        <w:t xml:space="preserve">in </w:t>
      </w:r>
      <w:r>
        <w:rPr>
          <w:noProof/>
        </w:rPr>
        <w:fldChar w:fldCharType="begin"/>
      </w:r>
      <w:r>
        <w:rPr>
          <w:noProof/>
        </w:rPr>
        <w:instrText xml:space="preserve"> REF _Ref417648450 \h </w:instrText>
      </w:r>
      <w:r>
        <w:rPr>
          <w:noProof/>
        </w:rPr>
      </w:r>
      <w:r>
        <w:rPr>
          <w:noProof/>
        </w:rPr>
        <w:fldChar w:fldCharType="separate"/>
      </w:r>
      <w:r w:rsidR="00047581">
        <w:t xml:space="preserve">Appendix </w:t>
      </w:r>
      <w:r w:rsidR="00047581">
        <w:rPr>
          <w:noProof/>
        </w:rPr>
        <w:t>1</w:t>
      </w:r>
      <w:r>
        <w:rPr>
          <w:noProof/>
        </w:rPr>
        <w:fldChar w:fldCharType="end"/>
      </w:r>
      <w:r>
        <w:t xml:space="preserve">). Therefore, the conclusions from </w:t>
      </w:r>
      <w:r w:rsidR="00CE6284">
        <w:t xml:space="preserve">the </w:t>
      </w:r>
      <w:r>
        <w:t xml:space="preserve">dietary </w:t>
      </w:r>
      <w:r w:rsidR="003A165A">
        <w:t xml:space="preserve">fat </w:t>
      </w:r>
      <w:r>
        <w:t xml:space="preserve">intake assessment </w:t>
      </w:r>
      <w:r w:rsidR="00CE6284">
        <w:t xml:space="preserve">for non-dairy consumers and the general population </w:t>
      </w:r>
      <w:r>
        <w:t xml:space="preserve">for </w:t>
      </w:r>
      <w:r w:rsidR="00CE6284">
        <w:t xml:space="preserve">the </w:t>
      </w:r>
      <w:r>
        <w:t xml:space="preserve">cereal-based beverages assessment (A500) </w:t>
      </w:r>
      <w:r w:rsidR="00CE6284">
        <w:t xml:space="preserve">were assumed to be </w:t>
      </w:r>
      <w:r>
        <w:t xml:space="preserve">relevant to the assessment of </w:t>
      </w:r>
      <w:r w:rsidR="006C2FB7">
        <w:t xml:space="preserve">nut- </w:t>
      </w:r>
      <w:r>
        <w:t>and seed-based beverages.</w:t>
      </w:r>
      <w:r w:rsidR="003A165A">
        <w:t xml:space="preserve"> The</w:t>
      </w:r>
      <w:r w:rsidRPr="002E7A6D">
        <w:t xml:space="preserve"> A500 assessment of cereal-based beverages indicated that consumers of cereal-based beverages were not at risk of inadequate f</w:t>
      </w:r>
      <w:r w:rsidRPr="00471CDE">
        <w:t xml:space="preserve">at intakes. Consequently, the same conclusion can be made for </w:t>
      </w:r>
      <w:r w:rsidR="006C2FB7">
        <w:t xml:space="preserve">nut- </w:t>
      </w:r>
      <w:r w:rsidRPr="00471CDE">
        <w:t>and seed-based beverages.</w:t>
      </w:r>
    </w:p>
    <w:p w14:paraId="5819533D" w14:textId="3D8378B2" w:rsidR="007E54EE" w:rsidRDefault="00513153" w:rsidP="00D20A1E">
      <w:pPr>
        <w:pStyle w:val="Heading3"/>
        <w:widowControl/>
      </w:pPr>
      <w:bookmarkStart w:id="161" w:name="_Ref421792667"/>
      <w:bookmarkStart w:id="162" w:name="_Ref422129676"/>
      <w:bookmarkStart w:id="163" w:name="_Toc427672192"/>
      <w:bookmarkStart w:id="164" w:name="_Toc427678258"/>
      <w:r>
        <w:t>8.</w:t>
      </w:r>
      <w:r w:rsidR="0023423F">
        <w:t>2</w:t>
      </w:r>
      <w:r>
        <w:t>.5</w:t>
      </w:r>
      <w:r>
        <w:tab/>
      </w:r>
      <w:r w:rsidR="007E54EE">
        <w:t>Energy intakes</w:t>
      </w:r>
      <w:bookmarkEnd w:id="161"/>
      <w:bookmarkEnd w:id="162"/>
      <w:bookmarkEnd w:id="163"/>
      <w:bookmarkEnd w:id="164"/>
    </w:p>
    <w:p w14:paraId="7A488F98" w14:textId="0D08B8E9" w:rsidR="003A165A" w:rsidRDefault="003A165A" w:rsidP="00D20A1E">
      <w:pPr>
        <w:widowControl/>
      </w:pPr>
      <w:r>
        <w:t xml:space="preserve">The estimated mean energy </w:t>
      </w:r>
      <w:r w:rsidR="00B4525E">
        <w:t xml:space="preserve">(including energy from dietary fibre) </w:t>
      </w:r>
      <w:r>
        <w:t xml:space="preserve">intake for the general population of Australians aged 2 years and above was </w:t>
      </w:r>
      <w:r w:rsidR="00AE7AAC">
        <w:t xml:space="preserve">in the same range </w:t>
      </w:r>
      <w:r>
        <w:t xml:space="preserve">in the 1995 AusNNS (9,185 kJ/day) compared to </w:t>
      </w:r>
      <w:r w:rsidR="00B4525E">
        <w:t>the more recent 2011-12 </w:t>
      </w:r>
      <w:r>
        <w:t xml:space="preserve">NNPAS (8,520 kJ/day) (refer to </w:t>
      </w:r>
      <w:r>
        <w:fldChar w:fldCharType="begin"/>
      </w:r>
      <w:r>
        <w:instrText xml:space="preserve"> REF _Ref420483749 \h </w:instrText>
      </w:r>
      <w:r>
        <w:fldChar w:fldCharType="separate"/>
      </w:r>
      <w:r w:rsidR="00047581">
        <w:t>Table A1.</w:t>
      </w:r>
      <w:r w:rsidR="00047581">
        <w:rPr>
          <w:noProof/>
        </w:rPr>
        <w:t>15</w:t>
      </w:r>
      <w:r>
        <w:fldChar w:fldCharType="end"/>
      </w:r>
      <w:r>
        <w:t xml:space="preserve"> in </w:t>
      </w:r>
      <w:r>
        <w:rPr>
          <w:noProof/>
        </w:rPr>
        <w:fldChar w:fldCharType="begin"/>
      </w:r>
      <w:r>
        <w:rPr>
          <w:noProof/>
        </w:rPr>
        <w:instrText xml:space="preserve"> REF _Ref417648450 \h </w:instrText>
      </w:r>
      <w:r>
        <w:rPr>
          <w:noProof/>
        </w:rPr>
      </w:r>
      <w:r>
        <w:rPr>
          <w:noProof/>
        </w:rPr>
        <w:fldChar w:fldCharType="separate"/>
      </w:r>
      <w:r w:rsidR="00047581">
        <w:t xml:space="preserve">Appendix </w:t>
      </w:r>
      <w:r w:rsidR="00047581">
        <w:rPr>
          <w:noProof/>
        </w:rPr>
        <w:t>1</w:t>
      </w:r>
      <w:r>
        <w:rPr>
          <w:noProof/>
        </w:rPr>
        <w:fldChar w:fldCharType="end"/>
      </w:r>
      <w:r>
        <w:t>). For children aged 2</w:t>
      </w:r>
      <w:r>
        <w:noBreakHyphen/>
        <w:t>4 years, there was also little difference in mean energy intakes</w:t>
      </w:r>
      <w:r w:rsidR="00B4525E">
        <w:t>:</w:t>
      </w:r>
      <w:r>
        <w:t xml:space="preserve"> 6,595</w:t>
      </w:r>
      <w:r w:rsidR="00B4525E">
        <w:t> </w:t>
      </w:r>
      <w:r>
        <w:t>kJ/day for the 1995 NNS and 6,47</w:t>
      </w:r>
      <w:r w:rsidR="00463E24">
        <w:t>0</w:t>
      </w:r>
      <w:r>
        <w:t xml:space="preserve"> kJ/day for the 2007 </w:t>
      </w:r>
      <w:r w:rsidRPr="003A165A">
        <w:t>ANCNPAS</w:t>
      </w:r>
      <w:r>
        <w:t>.</w:t>
      </w:r>
    </w:p>
    <w:p w14:paraId="4CB9C536" w14:textId="77777777" w:rsidR="003A165A" w:rsidRDefault="003A165A" w:rsidP="00D20A1E">
      <w:pPr>
        <w:widowControl/>
      </w:pPr>
    </w:p>
    <w:p w14:paraId="2E3D633F" w14:textId="10846D21" w:rsidR="007E54EE" w:rsidRPr="003B14C9" w:rsidRDefault="003A165A" w:rsidP="00D20A1E">
      <w:pPr>
        <w:widowControl/>
      </w:pPr>
      <w:r>
        <w:t xml:space="preserve">The estimated mean energy </w:t>
      </w:r>
      <w:r w:rsidR="00B4525E">
        <w:t xml:space="preserve">(not including dietary fibre) </w:t>
      </w:r>
      <w:r>
        <w:t>intake for the general population of New Zealanders aged 15 years and above was similar in the 1997 NZNNS (9,375 </w:t>
      </w:r>
      <w:r w:rsidR="00463E24">
        <w:t>kJ</w:t>
      </w:r>
      <w:r>
        <w:t>/day) and the more recent 2008 NZANS (9,105 </w:t>
      </w:r>
      <w:r w:rsidR="00463E24">
        <w:t>kJ</w:t>
      </w:r>
      <w:r>
        <w:t xml:space="preserve">/day) (refer to </w:t>
      </w:r>
      <w:r>
        <w:fldChar w:fldCharType="begin"/>
      </w:r>
      <w:r>
        <w:instrText xml:space="preserve"> REF _Ref420483839 \h </w:instrText>
      </w:r>
      <w:r>
        <w:fldChar w:fldCharType="separate"/>
      </w:r>
      <w:r w:rsidR="00047581">
        <w:t>Table A1.</w:t>
      </w:r>
      <w:r w:rsidR="00047581">
        <w:rPr>
          <w:noProof/>
        </w:rPr>
        <w:t>16</w:t>
      </w:r>
      <w:r>
        <w:fldChar w:fldCharType="end"/>
      </w:r>
      <w:r>
        <w:t xml:space="preserve"> in </w:t>
      </w:r>
      <w:r>
        <w:rPr>
          <w:noProof/>
        </w:rPr>
        <w:fldChar w:fldCharType="begin"/>
      </w:r>
      <w:r>
        <w:rPr>
          <w:noProof/>
        </w:rPr>
        <w:instrText xml:space="preserve"> REF _Ref417648450 \h </w:instrText>
      </w:r>
      <w:r>
        <w:rPr>
          <w:noProof/>
        </w:rPr>
      </w:r>
      <w:r>
        <w:rPr>
          <w:noProof/>
        </w:rPr>
        <w:fldChar w:fldCharType="separate"/>
      </w:r>
      <w:r w:rsidR="00047581">
        <w:t xml:space="preserve">Appendix </w:t>
      </w:r>
      <w:r w:rsidR="00047581">
        <w:rPr>
          <w:noProof/>
        </w:rPr>
        <w:t>1</w:t>
      </w:r>
      <w:r>
        <w:rPr>
          <w:noProof/>
        </w:rPr>
        <w:fldChar w:fldCharType="end"/>
      </w:r>
      <w:r>
        <w:t>).</w:t>
      </w:r>
    </w:p>
    <w:p w14:paraId="0DD248E4" w14:textId="4897EF69" w:rsidR="006B2784" w:rsidRPr="005A22C2" w:rsidRDefault="00AF4FCB" w:rsidP="00D20A1E">
      <w:pPr>
        <w:pStyle w:val="Heading2"/>
      </w:pPr>
      <w:bookmarkStart w:id="165" w:name="_Toc416955935"/>
      <w:bookmarkStart w:id="166" w:name="_Toc427672193"/>
      <w:bookmarkStart w:id="167" w:name="_Toc427678259"/>
      <w:bookmarkEnd w:id="165"/>
      <w:r>
        <w:t>8.3</w:t>
      </w:r>
      <w:r>
        <w:tab/>
      </w:r>
      <w:r w:rsidR="006B2784" w:rsidRPr="005A22C2">
        <w:t>Conclusion</w:t>
      </w:r>
      <w:r w:rsidR="00200F32">
        <w:t>s</w:t>
      </w:r>
      <w:r w:rsidR="0021237F">
        <w:t xml:space="preserve"> from the dietary intake assessment</w:t>
      </w:r>
      <w:bookmarkEnd w:id="166"/>
      <w:bookmarkEnd w:id="167"/>
    </w:p>
    <w:p w14:paraId="1A930B3F" w14:textId="5FD6DDA0" w:rsidR="00200F32" w:rsidRDefault="00EF1EE0" w:rsidP="00D20A1E">
      <w:pPr>
        <w:keepNext/>
        <w:keepLines/>
        <w:widowControl/>
        <w:ind w:right="-46"/>
      </w:pPr>
      <w:r>
        <w:t>T</w:t>
      </w:r>
      <w:r w:rsidR="003B14C9">
        <w:t xml:space="preserve">he </w:t>
      </w:r>
      <w:r>
        <w:t xml:space="preserve">conclusion from the </w:t>
      </w:r>
      <w:r w:rsidR="003B14C9" w:rsidRPr="00107D87">
        <w:t>assessment</w:t>
      </w:r>
      <w:r w:rsidR="003B14C9">
        <w:t xml:space="preserve"> of </w:t>
      </w:r>
      <w:r w:rsidR="00CF3F52">
        <w:t xml:space="preserve">nutrient intakes </w:t>
      </w:r>
      <w:r w:rsidR="008E2114">
        <w:t xml:space="preserve">in </w:t>
      </w:r>
      <w:r w:rsidR="003B14C9">
        <w:t>this Application</w:t>
      </w:r>
      <w:r w:rsidR="003B14C9" w:rsidRPr="00107D87">
        <w:t xml:space="preserve"> is </w:t>
      </w:r>
      <w:r w:rsidR="003B14C9">
        <w:t>the same as</w:t>
      </w:r>
      <w:r w:rsidR="003B14C9" w:rsidRPr="00107D87">
        <w:t xml:space="preserve"> that reached for A500: non-dairy consumers are </w:t>
      </w:r>
      <w:r w:rsidR="008E2114">
        <w:t xml:space="preserve">likely to be </w:t>
      </w:r>
      <w:r w:rsidR="003B14C9" w:rsidRPr="00107D87">
        <w:t xml:space="preserve">at risk of </w:t>
      </w:r>
      <w:r w:rsidR="001A5579">
        <w:t>much lower</w:t>
      </w:r>
      <w:r w:rsidR="00A6272C">
        <w:t xml:space="preserve"> </w:t>
      </w:r>
      <w:r w:rsidR="003B14C9" w:rsidRPr="00107D87">
        <w:t xml:space="preserve">intakes of </w:t>
      </w:r>
      <w:r w:rsidR="003B14C9">
        <w:t>a range of</w:t>
      </w:r>
      <w:r w:rsidR="003B14C9" w:rsidRPr="00107D87">
        <w:t xml:space="preserve"> vitamins and minerals</w:t>
      </w:r>
      <w:r w:rsidR="00DE620A">
        <w:t>,</w:t>
      </w:r>
      <w:r w:rsidR="003B14C9">
        <w:t xml:space="preserve"> </w:t>
      </w:r>
      <w:r w:rsidR="003B14C9" w:rsidRPr="00107D87">
        <w:t>protein</w:t>
      </w:r>
      <w:r w:rsidR="000C78B5">
        <w:t>,</w:t>
      </w:r>
      <w:r w:rsidR="003B14C9" w:rsidRPr="00107D87">
        <w:t xml:space="preserve"> </w:t>
      </w:r>
      <w:r w:rsidR="00DE620A">
        <w:t xml:space="preserve">and fat </w:t>
      </w:r>
      <w:r w:rsidR="004E5557">
        <w:t>in comparison</w:t>
      </w:r>
      <w:r w:rsidR="004E5557" w:rsidRPr="005A22C2">
        <w:t xml:space="preserve"> </w:t>
      </w:r>
      <w:r w:rsidR="003B14C9" w:rsidRPr="005A22C2">
        <w:t>to the general population</w:t>
      </w:r>
      <w:r w:rsidR="003B14C9" w:rsidRPr="00FE3386">
        <w:t>.</w:t>
      </w:r>
      <w:r w:rsidR="00FE3386" w:rsidRPr="00D10630">
        <w:t xml:space="preserve"> </w:t>
      </w:r>
      <w:r w:rsidR="00200F32">
        <w:t>C</w:t>
      </w:r>
      <w:r w:rsidR="00200F32" w:rsidRPr="005A22C2">
        <w:t xml:space="preserve">hildren </w:t>
      </w:r>
      <w:r w:rsidR="008E2114">
        <w:t>have been</w:t>
      </w:r>
      <w:r w:rsidR="008E2114" w:rsidRPr="005A22C2">
        <w:t xml:space="preserve"> </w:t>
      </w:r>
      <w:r w:rsidR="00200F32" w:rsidRPr="005A22C2">
        <w:t xml:space="preserve">identified as having a greater risk to health from inadequate vitamin and mineral </w:t>
      </w:r>
      <w:r w:rsidR="00200F32">
        <w:t>and protein</w:t>
      </w:r>
      <w:r w:rsidR="00200F32" w:rsidRPr="005A22C2">
        <w:t xml:space="preserve"> intakes</w:t>
      </w:r>
      <w:r w:rsidR="00200F32">
        <w:t>.</w:t>
      </w:r>
      <w:r w:rsidR="00200F32" w:rsidRPr="005A22C2">
        <w:t xml:space="preserve"> </w:t>
      </w:r>
      <w:r w:rsidR="00200F32" w:rsidRPr="006C0CD8">
        <w:t>An optimal nutrient intake</w:t>
      </w:r>
      <w:r w:rsidR="000C78B5">
        <w:t>,</w:t>
      </w:r>
      <w:r w:rsidR="00200F32" w:rsidRPr="006C0CD8">
        <w:t xml:space="preserve"> including protein and fat</w:t>
      </w:r>
      <w:r w:rsidR="000C78B5">
        <w:t>,</w:t>
      </w:r>
      <w:r w:rsidR="00200F32" w:rsidRPr="006C0CD8">
        <w:t xml:space="preserve"> is very important for infants and toddlers under two years of age because of growth and development</w:t>
      </w:r>
      <w:r w:rsidR="000C78B5">
        <w:t>al</w:t>
      </w:r>
      <w:r w:rsidR="00200F32" w:rsidRPr="006C0CD8">
        <w:t xml:space="preserve"> needs. </w:t>
      </w:r>
      <w:r w:rsidR="00200F32">
        <w:t>T</w:t>
      </w:r>
      <w:r w:rsidR="00200F32" w:rsidRPr="005A22C2">
        <w:t>he</w:t>
      </w:r>
      <w:r w:rsidR="00200F32">
        <w:t>re are potentially</w:t>
      </w:r>
      <w:r w:rsidR="00200F32" w:rsidRPr="005A22C2">
        <w:t xml:space="preserve"> serious consequence</w:t>
      </w:r>
      <w:r w:rsidR="00200F32">
        <w:t>s</w:t>
      </w:r>
      <w:r w:rsidR="00200F32" w:rsidRPr="005A22C2">
        <w:t xml:space="preserve"> </w:t>
      </w:r>
      <w:r w:rsidR="00200F32">
        <w:t>from</w:t>
      </w:r>
      <w:r w:rsidR="00200F32" w:rsidRPr="005A22C2">
        <w:t xml:space="preserve"> inadequate nutrient intakes </w:t>
      </w:r>
      <w:r w:rsidR="00200F32">
        <w:t>since adequate intakes are required to</w:t>
      </w:r>
      <w:r w:rsidR="00200F32" w:rsidRPr="005A22C2">
        <w:t xml:space="preserve"> support growth and development.</w:t>
      </w:r>
    </w:p>
    <w:p w14:paraId="7C532E55" w14:textId="4E7D3326" w:rsidR="00200F32" w:rsidRDefault="00200F32" w:rsidP="00D20A1E">
      <w:pPr>
        <w:widowControl/>
        <w:ind w:right="-333"/>
      </w:pPr>
    </w:p>
    <w:p w14:paraId="76DC253D" w14:textId="7433C416" w:rsidR="003B14C9" w:rsidRPr="005A22C2" w:rsidRDefault="00200F32" w:rsidP="00D20A1E">
      <w:pPr>
        <w:widowControl/>
      </w:pPr>
      <w:r w:rsidRPr="00CA7851">
        <w:t>As for cereal-based beverages (A500</w:t>
      </w:r>
      <w:r>
        <w:t xml:space="preserve">, </w:t>
      </w:r>
      <w:r w:rsidRPr="0004259A">
        <w:t>(FSANZ 2005b)</w:t>
      </w:r>
      <w:r w:rsidRPr="00CA7851">
        <w:t xml:space="preserve">), </w:t>
      </w:r>
      <w:r>
        <w:t xml:space="preserve">unfortified </w:t>
      </w:r>
      <w:r w:rsidR="006C2FB7">
        <w:t xml:space="preserve">nut- </w:t>
      </w:r>
      <w:r w:rsidRPr="00CA7851">
        <w:t xml:space="preserve">and seed-based beverages are a poor source of fat, protein, vitamins and minerals whereas milk and other dairy foods are </w:t>
      </w:r>
      <w:r w:rsidRPr="002E7A6D">
        <w:t>very important contributors of many nutrients to the diet</w:t>
      </w:r>
      <w:r w:rsidRPr="006C0CD8">
        <w:t>.</w:t>
      </w:r>
      <w:r w:rsidRPr="006C0CD8" w:rsidDel="002E7A6D">
        <w:t xml:space="preserve"> </w:t>
      </w:r>
      <w:r w:rsidR="004E5557" w:rsidRPr="00D10630">
        <w:t xml:space="preserve">The proposed levels of voluntary fortification of </w:t>
      </w:r>
      <w:r w:rsidR="006C2FB7">
        <w:t xml:space="preserve">nut- </w:t>
      </w:r>
      <w:r w:rsidR="004E5557" w:rsidRPr="00D10630">
        <w:t xml:space="preserve">and seed-beverages with the selected vitamins and minerals would bring these types of beverages closer nutritionally to </w:t>
      </w:r>
      <w:r w:rsidR="008E2114">
        <w:t>the micronutrient profile</w:t>
      </w:r>
      <w:r w:rsidR="008E2114" w:rsidRPr="00D10630">
        <w:t xml:space="preserve"> </w:t>
      </w:r>
      <w:r w:rsidR="004E5557" w:rsidRPr="00D10630">
        <w:t>of milk.</w:t>
      </w:r>
      <w:r w:rsidR="004E5557">
        <w:t xml:space="preserve"> </w:t>
      </w:r>
      <w:r w:rsidR="00FE3386" w:rsidRPr="00D10630">
        <w:lastRenderedPageBreak/>
        <w:t>Permitting the addition of a variety of vitamins and minerals in order to achieve micronutrient equivalence with milk would not alter the protein and fat content of the product.</w:t>
      </w:r>
    </w:p>
    <w:p w14:paraId="768D8CAB" w14:textId="77777777" w:rsidR="003B14C9" w:rsidRDefault="003B14C9" w:rsidP="00D20A1E">
      <w:pPr>
        <w:widowControl/>
      </w:pPr>
    </w:p>
    <w:p w14:paraId="0C361235" w14:textId="535C0AAD" w:rsidR="004E00C2" w:rsidRPr="007A3BD2" w:rsidRDefault="00200F32" w:rsidP="00D20A1E">
      <w:pPr>
        <w:widowControl/>
      </w:pPr>
      <w:r>
        <w:t>T</w:t>
      </w:r>
      <w:r w:rsidR="006B2784">
        <w:t>he f</w:t>
      </w:r>
      <w:r w:rsidR="006B2784" w:rsidRPr="0080166B">
        <w:t xml:space="preserve">ortification of </w:t>
      </w:r>
      <w:r w:rsidR="006C2FB7">
        <w:t xml:space="preserve">nut- </w:t>
      </w:r>
      <w:r w:rsidR="006B2784">
        <w:t>and seed</w:t>
      </w:r>
      <w:r w:rsidR="006B2784" w:rsidRPr="0080166B">
        <w:t>-based beverages with vitamins and minerals similar to the profile of milk</w:t>
      </w:r>
      <w:r w:rsidR="006B2784">
        <w:t xml:space="preserve"> or the currently available fortified </w:t>
      </w:r>
      <w:r w:rsidR="003D608F">
        <w:t>plant-based milk substitute</w:t>
      </w:r>
      <w:r w:rsidR="006B2784">
        <w:t>s</w:t>
      </w:r>
      <w:r w:rsidR="006B2784" w:rsidRPr="0080166B">
        <w:t xml:space="preserve"> will provide individual </w:t>
      </w:r>
      <w:r w:rsidR="00A83C42">
        <w:t>consumers</w:t>
      </w:r>
      <w:r w:rsidR="006B2784" w:rsidRPr="0080166B">
        <w:t xml:space="preserve"> with a more nutritious milk replacement than a non-fortified </w:t>
      </w:r>
      <w:r w:rsidR="006C2FB7">
        <w:t xml:space="preserve">nut- </w:t>
      </w:r>
      <w:r w:rsidR="006B2784" w:rsidRPr="0080166B">
        <w:t>or seed-based beverage.</w:t>
      </w:r>
      <w:r w:rsidR="00A6272C">
        <w:t xml:space="preserve"> I</w:t>
      </w:r>
      <w:r w:rsidR="00A6272C" w:rsidRPr="003F4745">
        <w:t>t will not address the potential</w:t>
      </w:r>
      <w:r w:rsidR="00B14797">
        <w:t>ly</w:t>
      </w:r>
      <w:r w:rsidR="00A6272C" w:rsidRPr="003F4745">
        <w:t xml:space="preserve"> </w:t>
      </w:r>
      <w:r w:rsidR="00A6272C">
        <w:t>lower</w:t>
      </w:r>
      <w:r w:rsidR="00A6272C" w:rsidRPr="003F4745">
        <w:t xml:space="preserve"> protein </w:t>
      </w:r>
      <w:r w:rsidR="008E2114">
        <w:t xml:space="preserve">or fat </w:t>
      </w:r>
      <w:r w:rsidR="00A6272C" w:rsidRPr="003F4745">
        <w:t>intake</w:t>
      </w:r>
      <w:r w:rsidR="00A6272C">
        <w:t>s</w:t>
      </w:r>
      <w:r w:rsidR="00A6272C" w:rsidRPr="003F4745">
        <w:t xml:space="preserve"> </w:t>
      </w:r>
      <w:r w:rsidR="00A6272C">
        <w:t>for</w:t>
      </w:r>
      <w:r w:rsidR="00A6272C" w:rsidRPr="003F4745">
        <w:t xml:space="preserve"> non-dairy consumers </w:t>
      </w:r>
      <w:r w:rsidR="00A6272C">
        <w:t>compared to the general population.</w:t>
      </w:r>
    </w:p>
    <w:p w14:paraId="11CAB34A" w14:textId="6D5FD1F3" w:rsidR="006B2784" w:rsidRPr="005A22C2" w:rsidRDefault="00AF4FCB" w:rsidP="00D20A1E">
      <w:pPr>
        <w:pStyle w:val="Heading1"/>
        <w:widowControl/>
      </w:pPr>
      <w:bookmarkStart w:id="168" w:name="_Ref421178600"/>
      <w:bookmarkStart w:id="169" w:name="_Ref421178608"/>
      <w:bookmarkStart w:id="170" w:name="_Toc427672194"/>
      <w:bookmarkStart w:id="171" w:name="_Toc427678260"/>
      <w:r>
        <w:t>9</w:t>
      </w:r>
      <w:r>
        <w:tab/>
      </w:r>
      <w:r w:rsidR="006B2784" w:rsidRPr="0013540E">
        <w:t>Risk</w:t>
      </w:r>
      <w:r w:rsidR="006B2784" w:rsidRPr="005A22C2">
        <w:t xml:space="preserve"> of </w:t>
      </w:r>
      <w:r w:rsidR="00EA2389">
        <w:t>e</w:t>
      </w:r>
      <w:r w:rsidR="006B2784" w:rsidRPr="005A22C2">
        <w:t xml:space="preserve">xcess </w:t>
      </w:r>
      <w:r w:rsidR="0013540E">
        <w:t>nutrient intake</w:t>
      </w:r>
      <w:r w:rsidR="00EA2389">
        <w:t>s</w:t>
      </w:r>
      <w:bookmarkEnd w:id="168"/>
      <w:bookmarkEnd w:id="169"/>
      <w:bookmarkEnd w:id="170"/>
      <w:bookmarkEnd w:id="171"/>
    </w:p>
    <w:p w14:paraId="68942859" w14:textId="30493F6C" w:rsidR="00DA1B5B" w:rsidRDefault="00DA1B5B" w:rsidP="00D20A1E">
      <w:pPr>
        <w:widowControl/>
      </w:pPr>
      <w:r>
        <w:t xml:space="preserve">In general, the concentrations of vitamins and minerals requested to be permitted for voluntary fortification of </w:t>
      </w:r>
      <w:r w:rsidR="006C2FB7">
        <w:t xml:space="preserve">nut- </w:t>
      </w:r>
      <w:r>
        <w:t xml:space="preserve">and seed-based beverages are similar to the concentrations that are present naturally in full cream </w:t>
      </w:r>
      <w:r w:rsidR="00FA56B6">
        <w:t>cow’s</w:t>
      </w:r>
      <w:r>
        <w:t xml:space="preserve"> milk, with the exception of thiamin (lower in full cream </w:t>
      </w:r>
      <w:r w:rsidR="00FA56B6">
        <w:t>cow’s</w:t>
      </w:r>
      <w:r>
        <w:t xml:space="preserve"> milk), folate (higher in full cream </w:t>
      </w:r>
      <w:r w:rsidR="00FA56B6">
        <w:t>cow’s</w:t>
      </w:r>
      <w:r>
        <w:t xml:space="preserve"> milk) and iodine (higher in full cream </w:t>
      </w:r>
      <w:r w:rsidR="00FA56B6">
        <w:t>cow’s</w:t>
      </w:r>
      <w:r>
        <w:t xml:space="preserve"> milk). A comparison between the level of vitamins/mineral proposed to be voluntarily added to nut-and seed-based beverages </w:t>
      </w:r>
      <w:r w:rsidR="004B2899">
        <w:t xml:space="preserve">and in full cream cow’s milk </w:t>
      </w:r>
      <w:r>
        <w:t xml:space="preserve">is provided in </w:t>
      </w:r>
      <w:r w:rsidR="00AF1EDB">
        <w:fldChar w:fldCharType="begin"/>
      </w:r>
      <w:r w:rsidR="00AF1EDB">
        <w:instrText xml:space="preserve"> REF _Ref420935664 \h </w:instrText>
      </w:r>
      <w:r w:rsidR="00AF1EDB">
        <w:fldChar w:fldCharType="separate"/>
      </w:r>
      <w:r w:rsidR="00047581">
        <w:t xml:space="preserve">Table </w:t>
      </w:r>
      <w:r w:rsidR="00047581">
        <w:rPr>
          <w:noProof/>
        </w:rPr>
        <w:t>5</w:t>
      </w:r>
      <w:r w:rsidR="00AF1EDB">
        <w:fldChar w:fldCharType="end"/>
      </w:r>
      <w:r>
        <w:t xml:space="preserve"> (see Section</w:t>
      </w:r>
      <w:r w:rsidR="004B2899">
        <w:t xml:space="preserve"> </w:t>
      </w:r>
      <w:r w:rsidR="004B2899">
        <w:fldChar w:fldCharType="begin"/>
      </w:r>
      <w:r w:rsidR="004B2899">
        <w:instrText xml:space="preserve"> REF _Ref426444057 \r \h </w:instrText>
      </w:r>
      <w:r w:rsidR="004B2899">
        <w:fldChar w:fldCharType="separate"/>
      </w:r>
      <w:r w:rsidR="00047581">
        <w:t>5.2</w:t>
      </w:r>
      <w:r w:rsidR="004B2899">
        <w:fldChar w:fldCharType="end"/>
      </w:r>
      <w:r w:rsidR="004B2899">
        <w:t xml:space="preserve"> </w:t>
      </w:r>
      <w:r w:rsidR="004B2899">
        <w:fldChar w:fldCharType="begin"/>
      </w:r>
      <w:r w:rsidR="004B2899">
        <w:instrText xml:space="preserve"> REF _Ref426444060 \p \h </w:instrText>
      </w:r>
      <w:r w:rsidR="004B2899">
        <w:fldChar w:fldCharType="separate"/>
      </w:r>
      <w:r w:rsidR="00047581">
        <w:t>above</w:t>
      </w:r>
      <w:r w:rsidR="004B2899">
        <w:fldChar w:fldCharType="end"/>
      </w:r>
      <w:r>
        <w:t>).</w:t>
      </w:r>
    </w:p>
    <w:p w14:paraId="16DCCFC7" w14:textId="77777777" w:rsidR="00DA1B5B" w:rsidRDefault="00DA1B5B" w:rsidP="00D20A1E">
      <w:pPr>
        <w:widowControl/>
      </w:pPr>
    </w:p>
    <w:p w14:paraId="284CC7D8" w14:textId="58264F61" w:rsidR="006B2784" w:rsidRDefault="006B2784" w:rsidP="00D20A1E">
      <w:pPr>
        <w:keepNext/>
        <w:keepLines/>
        <w:widowControl/>
      </w:pPr>
      <w:r w:rsidRPr="003B70FA">
        <w:t xml:space="preserve">Fortification of </w:t>
      </w:r>
      <w:r w:rsidR="006C2FB7">
        <w:t xml:space="preserve">nut- </w:t>
      </w:r>
      <w:r w:rsidRPr="003B70FA">
        <w:t xml:space="preserve">and seed-based beverages to similar levels of vitamins and minerals found naturally in </w:t>
      </w:r>
      <w:r w:rsidR="00B14797">
        <w:t xml:space="preserve">full cream </w:t>
      </w:r>
      <w:r w:rsidRPr="003B70FA">
        <w:t xml:space="preserve">milk </w:t>
      </w:r>
      <w:r w:rsidR="008E2114">
        <w:t xml:space="preserve">will not </w:t>
      </w:r>
      <w:r w:rsidRPr="003B70FA">
        <w:t xml:space="preserve">pose </w:t>
      </w:r>
      <w:r w:rsidR="008E2114">
        <w:t>any additional</w:t>
      </w:r>
      <w:r w:rsidRPr="003B70FA">
        <w:t xml:space="preserve"> risk </w:t>
      </w:r>
      <w:r w:rsidR="00A6272C">
        <w:t xml:space="preserve">with respect to excess intake of vitamins and minerals </w:t>
      </w:r>
      <w:r w:rsidR="00586D02">
        <w:t>over</w:t>
      </w:r>
      <w:r w:rsidR="00586D02" w:rsidRPr="003B70FA">
        <w:t xml:space="preserve"> </w:t>
      </w:r>
      <w:r w:rsidRPr="003B70FA">
        <w:t>milk itself. Th</w:t>
      </w:r>
      <w:r w:rsidR="00F9071C">
        <w:t>e</w:t>
      </w:r>
      <w:r w:rsidRPr="003B70FA">
        <w:t xml:space="preserve"> </w:t>
      </w:r>
      <w:r w:rsidR="003B70FA">
        <w:t>fortification</w:t>
      </w:r>
      <w:r w:rsidR="00F9071C">
        <w:t xml:space="preserve"> of </w:t>
      </w:r>
      <w:r w:rsidR="006C2FB7">
        <w:t xml:space="preserve">nut- </w:t>
      </w:r>
      <w:r w:rsidR="00F9071C">
        <w:t>and seed-based beverages</w:t>
      </w:r>
      <w:r w:rsidR="003B70FA">
        <w:t xml:space="preserve"> </w:t>
      </w:r>
      <w:r w:rsidRPr="003B70FA">
        <w:t xml:space="preserve">is unlikely to cause excess consumption of these micronutrients for regular consumers of </w:t>
      </w:r>
      <w:r w:rsidR="006C2FB7">
        <w:t xml:space="preserve">nut- </w:t>
      </w:r>
      <w:r w:rsidRPr="003B70FA">
        <w:t xml:space="preserve">and seed-based beverages </w:t>
      </w:r>
      <w:r w:rsidR="008E2114">
        <w:t>who are</w:t>
      </w:r>
      <w:r w:rsidRPr="003B70FA">
        <w:t xml:space="preserve"> non-dairy consumers</w:t>
      </w:r>
      <w:r w:rsidR="008E2114">
        <w:t xml:space="preserve"> as this population group tends</w:t>
      </w:r>
      <w:r w:rsidRPr="003B70FA">
        <w:t xml:space="preserve"> </w:t>
      </w:r>
      <w:r w:rsidR="008E2114">
        <w:t>to</w:t>
      </w:r>
      <w:r w:rsidR="003B70FA">
        <w:t xml:space="preserve"> </w:t>
      </w:r>
      <w:r w:rsidR="003B70FA" w:rsidRPr="003B70FA">
        <w:t>have lower</w:t>
      </w:r>
      <w:r w:rsidRPr="003B70FA">
        <w:t xml:space="preserve"> intakes of vitamins and minerals </w:t>
      </w:r>
      <w:r w:rsidR="003B70FA" w:rsidRPr="003B70FA">
        <w:t>in comparison to the general population</w:t>
      </w:r>
      <w:r w:rsidRPr="003B70FA">
        <w:t>.</w:t>
      </w:r>
      <w:r w:rsidR="00580EA6" w:rsidRPr="00580EA6">
        <w:t xml:space="preserve"> </w:t>
      </w:r>
      <w:r w:rsidR="00580EA6">
        <w:t xml:space="preserve">The </w:t>
      </w:r>
      <w:r w:rsidR="00477999">
        <w:t>fortification of</w:t>
      </w:r>
      <w:r w:rsidR="00580EA6">
        <w:t xml:space="preserve"> nut- and seed-based beverages </w:t>
      </w:r>
      <w:r w:rsidR="00477999">
        <w:t>to</w:t>
      </w:r>
      <w:r w:rsidR="00580EA6">
        <w:t xml:space="preserve"> 0.1 mg </w:t>
      </w:r>
      <w:r w:rsidR="00477999">
        <w:t xml:space="preserve">thiamin </w:t>
      </w:r>
      <w:r w:rsidR="00580EA6">
        <w:t>per reference quantity (200 mL) is consistent with the current</w:t>
      </w:r>
      <w:r w:rsidR="00DD3AC7">
        <w:t xml:space="preserve"> thiamin fortification</w:t>
      </w:r>
      <w:r w:rsidR="00580EA6">
        <w:t xml:space="preserve"> permissions for cereal- and legume-based milk substitut</w:t>
      </w:r>
      <w:r w:rsidR="00477999">
        <w:t>e</w:t>
      </w:r>
      <w:r w:rsidR="00DD3AC7">
        <w:t>s</w:t>
      </w:r>
      <w:r w:rsidR="00580EA6">
        <w:t xml:space="preserve">. The safety of this </w:t>
      </w:r>
      <w:r w:rsidR="00DD3AC7">
        <w:t>level</w:t>
      </w:r>
      <w:r w:rsidR="00580EA6">
        <w:t xml:space="preserve"> of thiamin fortification for cereal-based milk substitutes was considered in A500</w:t>
      </w:r>
      <w:r w:rsidR="00477999">
        <w:t xml:space="preserve"> (FSANZ 2005b)</w:t>
      </w:r>
      <w:r w:rsidR="00580EA6">
        <w:t>.</w:t>
      </w:r>
      <w:r w:rsidR="00DD3AC7">
        <w:t xml:space="preserve"> Additionally, there is no Upper Level of Intake</w:t>
      </w:r>
      <w:r w:rsidR="00DD3AC7">
        <w:rPr>
          <w:rStyle w:val="FootnoteReference"/>
        </w:rPr>
        <w:footnoteReference w:id="11"/>
      </w:r>
      <w:r w:rsidR="00DD3AC7">
        <w:t xml:space="preserve"> (UL) set for thiamin for Australian and New Zealand population groups</w:t>
      </w:r>
      <w:r w:rsidR="00DD3AC7" w:rsidRPr="00DD3AC7">
        <w:t xml:space="preserve"> </w:t>
      </w:r>
      <w:r w:rsidR="00DD3AC7">
        <w:t>(</w:t>
      </w:r>
      <w:r w:rsidR="00DD3AC7" w:rsidRPr="00DD3AC7">
        <w:t>NHMRC and NZ MOH 2006)</w:t>
      </w:r>
      <w:r w:rsidR="00DD3AC7">
        <w:t>.</w:t>
      </w:r>
    </w:p>
    <w:p w14:paraId="4571FC9F" w14:textId="1E5AC601" w:rsidR="00DA1B5B" w:rsidRDefault="00DA1B5B" w:rsidP="00D20A1E">
      <w:pPr>
        <w:widowControl/>
      </w:pPr>
    </w:p>
    <w:p w14:paraId="065B1D72" w14:textId="2EC905AC" w:rsidR="00A85760" w:rsidRPr="00A86593" w:rsidRDefault="00DA1B5B" w:rsidP="00D20A1E">
      <w:pPr>
        <w:widowControl/>
        <w:rPr>
          <w:szCs w:val="22"/>
        </w:rPr>
      </w:pPr>
      <w:r>
        <w:t>Since the requested levels of voluntary fortification are similar to milk, it is expected that there will not be an exacerbation of the proportion of Australian population groups with usual nutrient intakes above the</w:t>
      </w:r>
      <w:r w:rsidR="00733041">
        <w:t xml:space="preserve">ir respective </w:t>
      </w:r>
      <w:r w:rsidR="00105311">
        <w:t>ULs</w:t>
      </w:r>
      <w:r w:rsidR="002664F2">
        <w:rPr>
          <w:szCs w:val="22"/>
        </w:rPr>
        <w:t xml:space="preserve"> </w:t>
      </w:r>
      <w:r w:rsidR="002664F2">
        <w:t>(ABS and FSANZ 2015)</w:t>
      </w:r>
      <w:r>
        <w:t>. An evaluation of the exceedances of the ULs was conducted as a part of the 2011-12 NNPAS</w:t>
      </w:r>
      <w:r w:rsidR="00F156F8">
        <w:t xml:space="preserve"> (ABS and FSANZ 201</w:t>
      </w:r>
      <w:r w:rsidR="00965B6B">
        <w:t>5</w:t>
      </w:r>
      <w:r w:rsidR="00F156F8">
        <w:t>)</w:t>
      </w:r>
      <w:r>
        <w:t xml:space="preserve">. The findings were </w:t>
      </w:r>
      <w:r w:rsidR="00965B6B">
        <w:t xml:space="preserve">that the iodine intakes of young children were “…below a level at which </w:t>
      </w:r>
      <w:r w:rsidR="00F156F8" w:rsidRPr="00F156F8">
        <w:t>adverse effects may be observed, though a reduced margin of safety exists</w:t>
      </w:r>
      <w:r w:rsidR="00F156F8">
        <w:t>…”</w:t>
      </w:r>
      <w:r>
        <w:t>.</w:t>
      </w:r>
      <w:r w:rsidR="00965B6B">
        <w:t xml:space="preserve"> </w:t>
      </w:r>
      <w:r w:rsidR="00965B6B" w:rsidRPr="00A86593">
        <w:rPr>
          <w:szCs w:val="22"/>
        </w:rPr>
        <w:t>The usual zinc intakes of young children were considered in the report to be not excessive and, after comparison with the Provisional Tolerable Daily Intake (PTDI)</w:t>
      </w:r>
      <w:r w:rsidR="00965B6B" w:rsidRPr="00A86593">
        <w:rPr>
          <w:rStyle w:val="FootnoteReference"/>
          <w:szCs w:val="22"/>
        </w:rPr>
        <w:footnoteReference w:id="12"/>
      </w:r>
      <w:r w:rsidR="00965B6B" w:rsidRPr="00A86593">
        <w:rPr>
          <w:szCs w:val="22"/>
        </w:rPr>
        <w:t xml:space="preserve"> (1 mg/kg bw/day), intakes were within the PTDI.</w:t>
      </w:r>
      <w:r w:rsidR="00733041">
        <w:rPr>
          <w:szCs w:val="22"/>
        </w:rPr>
        <w:t xml:space="preserve"> </w:t>
      </w:r>
      <w:r w:rsidR="00733041">
        <w:t>The findings for children aged 2</w:t>
      </w:r>
      <w:r w:rsidR="00733041">
        <w:noBreakHyphen/>
        <w:t xml:space="preserve">18 years are summarised in </w:t>
      </w:r>
      <w:r w:rsidR="00733041">
        <w:fldChar w:fldCharType="begin"/>
      </w:r>
      <w:r w:rsidR="00733041">
        <w:instrText xml:space="preserve"> REF _Ref420488734 \h </w:instrText>
      </w:r>
      <w:r w:rsidR="00733041">
        <w:fldChar w:fldCharType="separate"/>
      </w:r>
      <w:r w:rsidR="00047581">
        <w:t xml:space="preserve">Table </w:t>
      </w:r>
      <w:r w:rsidR="00047581">
        <w:rPr>
          <w:noProof/>
        </w:rPr>
        <w:t>9</w:t>
      </w:r>
      <w:r w:rsidR="00733041">
        <w:fldChar w:fldCharType="end"/>
      </w:r>
      <w:r w:rsidR="00733041">
        <w:t>.</w:t>
      </w:r>
    </w:p>
    <w:p w14:paraId="434284B0" w14:textId="5FEF1887" w:rsidR="00A85760" w:rsidRDefault="00A85760" w:rsidP="00D20A1E">
      <w:pPr>
        <w:widowControl/>
      </w:pPr>
    </w:p>
    <w:p w14:paraId="0C55372B" w14:textId="4CB6164A" w:rsidR="00733041" w:rsidRDefault="00733041" w:rsidP="00D20A1E">
      <w:pPr>
        <w:widowControl/>
      </w:pPr>
      <w:r>
        <w:t>There were no exceedances of the ULs for Australian adults for calcium, iodine, iron, phosphorus, zinc, pre-formed vitamin A (</w:t>
      </w:r>
      <w:r w:rsidR="00326E1B">
        <w:t>retinol equivalents</w:t>
      </w:r>
      <w:r>
        <w:t xml:space="preserve">) and folic acid, with the exception of adult males aged 71 years and above where 0.9% of population </w:t>
      </w:r>
      <w:r w:rsidR="00D60EE0">
        <w:t xml:space="preserve">was </w:t>
      </w:r>
      <w:r>
        <w:t>above the UL for phosphorus.</w:t>
      </w:r>
    </w:p>
    <w:p w14:paraId="36EE84DE" w14:textId="3B591F37" w:rsidR="0023423F" w:rsidRDefault="0023423F" w:rsidP="00D20A1E">
      <w:pPr>
        <w:widowControl/>
      </w:pPr>
      <w:r>
        <w:br w:type="page"/>
      </w:r>
    </w:p>
    <w:p w14:paraId="783B9B1E" w14:textId="6941ECE9" w:rsidR="00934B60" w:rsidRDefault="00934B60" w:rsidP="00D20A1E">
      <w:pPr>
        <w:pStyle w:val="FSTableTitle"/>
        <w:keepNext/>
        <w:keepLines/>
        <w:widowControl/>
      </w:pPr>
      <w:bookmarkStart w:id="172" w:name="_Ref420488734"/>
      <w:r>
        <w:lastRenderedPageBreak/>
        <w:t xml:space="preserve">Table </w:t>
      </w:r>
      <w:fldSimple w:instr=" SEQ Table \* ARABIC ">
        <w:r w:rsidR="00047581">
          <w:rPr>
            <w:noProof/>
          </w:rPr>
          <w:t>9</w:t>
        </w:r>
      </w:fldSimple>
      <w:bookmarkEnd w:id="172"/>
      <w:r>
        <w:t xml:space="preserve">: Proportion </w:t>
      </w:r>
      <w:r w:rsidR="0038515D">
        <w:t xml:space="preserve">(%) </w:t>
      </w:r>
      <w:r>
        <w:t>of Australian population groups with usual nutrient intakes above the Upper L</w:t>
      </w:r>
      <w:r w:rsidR="00E506BB">
        <w:t>evel</w:t>
      </w:r>
      <w:r w:rsidR="007B078B">
        <w:t xml:space="preserve"> (ABS 2015)</w:t>
      </w:r>
    </w:p>
    <w:p w14:paraId="1903DAB0" w14:textId="77777777" w:rsidR="00513153" w:rsidRPr="00513153" w:rsidRDefault="00513153" w:rsidP="00513153"/>
    <w:tbl>
      <w:tblPr>
        <w:tblStyle w:val="TableGrid"/>
        <w:tblW w:w="0" w:type="auto"/>
        <w:tblLayout w:type="fixed"/>
        <w:tblLook w:val="04A0" w:firstRow="1" w:lastRow="0" w:firstColumn="1" w:lastColumn="0" w:noHBand="0" w:noVBand="1"/>
      </w:tblPr>
      <w:tblGrid>
        <w:gridCol w:w="2093"/>
        <w:gridCol w:w="873"/>
        <w:gridCol w:w="873"/>
        <w:gridCol w:w="874"/>
        <w:gridCol w:w="873"/>
        <w:gridCol w:w="873"/>
        <w:gridCol w:w="874"/>
        <w:gridCol w:w="873"/>
        <w:gridCol w:w="874"/>
      </w:tblGrid>
      <w:tr w:rsidR="00F9071C" w14:paraId="4C899D53" w14:textId="60D9F636" w:rsidTr="00F9071C">
        <w:tc>
          <w:tcPr>
            <w:tcW w:w="2093" w:type="dxa"/>
            <w:vMerge w:val="restart"/>
            <w:shd w:val="clear" w:color="auto" w:fill="B8CCE4" w:themeFill="accent1" w:themeFillTint="66"/>
          </w:tcPr>
          <w:p w14:paraId="78991418" w14:textId="1516887E" w:rsidR="00F9071C" w:rsidRPr="00F9071C" w:rsidRDefault="00F9071C" w:rsidP="00D20A1E">
            <w:pPr>
              <w:keepNext/>
              <w:keepLines/>
              <w:widowControl/>
              <w:spacing w:before="40" w:after="40"/>
              <w:rPr>
                <w:b/>
                <w:sz w:val="20"/>
                <w:szCs w:val="20"/>
              </w:rPr>
            </w:pPr>
            <w:r w:rsidRPr="00F9071C">
              <w:rPr>
                <w:b/>
                <w:sz w:val="20"/>
                <w:szCs w:val="20"/>
              </w:rPr>
              <w:t>Nutrient</w:t>
            </w:r>
          </w:p>
        </w:tc>
        <w:tc>
          <w:tcPr>
            <w:tcW w:w="6987" w:type="dxa"/>
            <w:gridSpan w:val="8"/>
            <w:shd w:val="clear" w:color="auto" w:fill="B8CCE4" w:themeFill="accent1" w:themeFillTint="66"/>
          </w:tcPr>
          <w:p w14:paraId="31420369" w14:textId="1B6AD40E" w:rsidR="00F9071C" w:rsidRPr="00F9071C" w:rsidRDefault="00F9071C" w:rsidP="00D20A1E">
            <w:pPr>
              <w:keepNext/>
              <w:keepLines/>
              <w:widowControl/>
              <w:spacing w:before="40" w:after="40"/>
              <w:jc w:val="center"/>
              <w:rPr>
                <w:b/>
                <w:sz w:val="20"/>
                <w:szCs w:val="20"/>
              </w:rPr>
            </w:pPr>
            <w:r w:rsidRPr="00F9071C">
              <w:rPr>
                <w:b/>
                <w:sz w:val="20"/>
                <w:szCs w:val="20"/>
              </w:rPr>
              <w:t xml:space="preserve">Proportion of population with usual intakes &gt; Upper </w:t>
            </w:r>
            <w:r w:rsidR="00733041">
              <w:rPr>
                <w:b/>
                <w:sz w:val="20"/>
                <w:szCs w:val="20"/>
              </w:rPr>
              <w:t>Level</w:t>
            </w:r>
          </w:p>
        </w:tc>
      </w:tr>
      <w:tr w:rsidR="00F9071C" w14:paraId="34CCCC93" w14:textId="100BCCFA" w:rsidTr="00F9071C">
        <w:tc>
          <w:tcPr>
            <w:tcW w:w="2093" w:type="dxa"/>
            <w:vMerge/>
            <w:shd w:val="clear" w:color="auto" w:fill="B8CCE4" w:themeFill="accent1" w:themeFillTint="66"/>
          </w:tcPr>
          <w:p w14:paraId="56654C3F" w14:textId="0FB7166D" w:rsidR="00F9071C" w:rsidRPr="00F9071C" w:rsidRDefault="00F9071C" w:rsidP="00D20A1E">
            <w:pPr>
              <w:keepNext/>
              <w:keepLines/>
              <w:widowControl/>
              <w:spacing w:before="40" w:after="40"/>
              <w:rPr>
                <w:b/>
                <w:sz w:val="20"/>
                <w:szCs w:val="20"/>
              </w:rPr>
            </w:pPr>
          </w:p>
        </w:tc>
        <w:tc>
          <w:tcPr>
            <w:tcW w:w="1746" w:type="dxa"/>
            <w:gridSpan w:val="2"/>
            <w:shd w:val="clear" w:color="auto" w:fill="B8CCE4" w:themeFill="accent1" w:themeFillTint="66"/>
          </w:tcPr>
          <w:p w14:paraId="072AF797" w14:textId="774A3B2C" w:rsidR="00F9071C" w:rsidRPr="00F9071C" w:rsidRDefault="00F9071C" w:rsidP="00D20A1E">
            <w:pPr>
              <w:keepNext/>
              <w:keepLines/>
              <w:widowControl/>
              <w:spacing w:before="40" w:after="40"/>
              <w:jc w:val="center"/>
              <w:rPr>
                <w:b/>
                <w:i/>
                <w:sz w:val="20"/>
                <w:szCs w:val="20"/>
              </w:rPr>
            </w:pPr>
            <w:r w:rsidRPr="00F9071C">
              <w:rPr>
                <w:b/>
                <w:i/>
                <w:sz w:val="20"/>
                <w:szCs w:val="20"/>
              </w:rPr>
              <w:t>2-3 yrs</w:t>
            </w:r>
          </w:p>
        </w:tc>
        <w:tc>
          <w:tcPr>
            <w:tcW w:w="1747" w:type="dxa"/>
            <w:gridSpan w:val="2"/>
            <w:shd w:val="clear" w:color="auto" w:fill="B8CCE4" w:themeFill="accent1" w:themeFillTint="66"/>
          </w:tcPr>
          <w:p w14:paraId="16690226" w14:textId="75CCF8A6" w:rsidR="00F9071C" w:rsidRPr="00F9071C" w:rsidRDefault="00F9071C" w:rsidP="00D20A1E">
            <w:pPr>
              <w:keepNext/>
              <w:keepLines/>
              <w:widowControl/>
              <w:spacing w:before="40" w:after="40"/>
              <w:jc w:val="center"/>
              <w:rPr>
                <w:b/>
                <w:i/>
                <w:sz w:val="20"/>
                <w:szCs w:val="20"/>
              </w:rPr>
            </w:pPr>
            <w:r w:rsidRPr="00F9071C">
              <w:rPr>
                <w:b/>
                <w:i/>
                <w:sz w:val="20"/>
                <w:szCs w:val="20"/>
              </w:rPr>
              <w:t>4-8 yrs</w:t>
            </w:r>
          </w:p>
        </w:tc>
        <w:tc>
          <w:tcPr>
            <w:tcW w:w="1747" w:type="dxa"/>
            <w:gridSpan w:val="2"/>
            <w:shd w:val="clear" w:color="auto" w:fill="B8CCE4" w:themeFill="accent1" w:themeFillTint="66"/>
          </w:tcPr>
          <w:p w14:paraId="55841850" w14:textId="536BE746" w:rsidR="00F9071C" w:rsidRPr="00F9071C" w:rsidRDefault="00F9071C" w:rsidP="00D20A1E">
            <w:pPr>
              <w:keepNext/>
              <w:keepLines/>
              <w:widowControl/>
              <w:spacing w:before="40" w:after="40"/>
              <w:jc w:val="center"/>
              <w:rPr>
                <w:b/>
                <w:i/>
                <w:sz w:val="20"/>
                <w:szCs w:val="20"/>
              </w:rPr>
            </w:pPr>
            <w:r w:rsidRPr="00F9071C">
              <w:rPr>
                <w:b/>
                <w:i/>
                <w:sz w:val="20"/>
                <w:szCs w:val="20"/>
              </w:rPr>
              <w:t>9-13 yrs</w:t>
            </w:r>
          </w:p>
        </w:tc>
        <w:tc>
          <w:tcPr>
            <w:tcW w:w="1747" w:type="dxa"/>
            <w:gridSpan w:val="2"/>
            <w:shd w:val="clear" w:color="auto" w:fill="B8CCE4" w:themeFill="accent1" w:themeFillTint="66"/>
          </w:tcPr>
          <w:p w14:paraId="47A58ADB" w14:textId="6D9442B7" w:rsidR="00F9071C" w:rsidRPr="00F9071C" w:rsidRDefault="00F9071C" w:rsidP="00D20A1E">
            <w:pPr>
              <w:keepNext/>
              <w:keepLines/>
              <w:widowControl/>
              <w:spacing w:before="40" w:after="40"/>
              <w:jc w:val="center"/>
              <w:rPr>
                <w:b/>
                <w:i/>
                <w:sz w:val="20"/>
                <w:szCs w:val="20"/>
              </w:rPr>
            </w:pPr>
            <w:r w:rsidRPr="00F9071C">
              <w:rPr>
                <w:b/>
                <w:i/>
                <w:sz w:val="20"/>
                <w:szCs w:val="20"/>
              </w:rPr>
              <w:t>14-18 yrs</w:t>
            </w:r>
          </w:p>
        </w:tc>
      </w:tr>
      <w:tr w:rsidR="00F9071C" w14:paraId="681BBB0F" w14:textId="77777777" w:rsidTr="00D90B87">
        <w:tc>
          <w:tcPr>
            <w:tcW w:w="2093" w:type="dxa"/>
            <w:vMerge/>
            <w:tcBorders>
              <w:bottom w:val="single" w:sz="4" w:space="0" w:color="000000"/>
            </w:tcBorders>
            <w:shd w:val="clear" w:color="auto" w:fill="B8CCE4" w:themeFill="accent1" w:themeFillTint="66"/>
          </w:tcPr>
          <w:p w14:paraId="3648751F" w14:textId="72B053B0" w:rsidR="00F9071C" w:rsidRPr="00F9071C" w:rsidRDefault="00F9071C" w:rsidP="00D20A1E">
            <w:pPr>
              <w:keepNext/>
              <w:keepLines/>
              <w:widowControl/>
              <w:spacing w:before="40" w:after="40"/>
              <w:rPr>
                <w:b/>
                <w:sz w:val="20"/>
                <w:szCs w:val="20"/>
              </w:rPr>
            </w:pPr>
          </w:p>
        </w:tc>
        <w:tc>
          <w:tcPr>
            <w:tcW w:w="873" w:type="dxa"/>
            <w:tcBorders>
              <w:bottom w:val="single" w:sz="4" w:space="0" w:color="000000"/>
            </w:tcBorders>
            <w:shd w:val="clear" w:color="auto" w:fill="B8CCE4" w:themeFill="accent1" w:themeFillTint="66"/>
          </w:tcPr>
          <w:p w14:paraId="14C1F96F" w14:textId="0AE411F5" w:rsidR="00F9071C" w:rsidRPr="00F9071C" w:rsidRDefault="00F9071C" w:rsidP="00D20A1E">
            <w:pPr>
              <w:keepNext/>
              <w:keepLines/>
              <w:widowControl/>
              <w:spacing w:before="40" w:after="40"/>
              <w:jc w:val="center"/>
              <w:rPr>
                <w:b/>
                <w:i/>
                <w:sz w:val="18"/>
                <w:szCs w:val="18"/>
              </w:rPr>
            </w:pPr>
            <w:r w:rsidRPr="00F9071C">
              <w:rPr>
                <w:b/>
                <w:i/>
                <w:sz w:val="18"/>
                <w:szCs w:val="18"/>
              </w:rPr>
              <w:t>Male</w:t>
            </w:r>
          </w:p>
        </w:tc>
        <w:tc>
          <w:tcPr>
            <w:tcW w:w="873" w:type="dxa"/>
            <w:tcBorders>
              <w:bottom w:val="single" w:sz="4" w:space="0" w:color="000000"/>
            </w:tcBorders>
            <w:shd w:val="clear" w:color="auto" w:fill="B8CCE4" w:themeFill="accent1" w:themeFillTint="66"/>
          </w:tcPr>
          <w:p w14:paraId="708AE2A0" w14:textId="6FAF0CDE" w:rsidR="00F9071C" w:rsidRPr="00F9071C" w:rsidRDefault="00F9071C" w:rsidP="00D20A1E">
            <w:pPr>
              <w:keepNext/>
              <w:keepLines/>
              <w:widowControl/>
              <w:spacing w:before="40" w:after="40"/>
              <w:jc w:val="center"/>
              <w:rPr>
                <w:b/>
                <w:i/>
                <w:sz w:val="18"/>
                <w:szCs w:val="18"/>
              </w:rPr>
            </w:pPr>
            <w:r w:rsidRPr="00F9071C">
              <w:rPr>
                <w:b/>
                <w:i/>
                <w:sz w:val="18"/>
                <w:szCs w:val="18"/>
              </w:rPr>
              <w:t>Female</w:t>
            </w:r>
          </w:p>
        </w:tc>
        <w:tc>
          <w:tcPr>
            <w:tcW w:w="874" w:type="dxa"/>
            <w:tcBorders>
              <w:bottom w:val="single" w:sz="4" w:space="0" w:color="000000"/>
            </w:tcBorders>
            <w:shd w:val="clear" w:color="auto" w:fill="B8CCE4" w:themeFill="accent1" w:themeFillTint="66"/>
          </w:tcPr>
          <w:p w14:paraId="1B250305" w14:textId="2D6AF2AA" w:rsidR="00F9071C" w:rsidRPr="00F9071C" w:rsidRDefault="00F9071C" w:rsidP="00D20A1E">
            <w:pPr>
              <w:keepNext/>
              <w:keepLines/>
              <w:widowControl/>
              <w:spacing w:before="40" w:after="40"/>
              <w:jc w:val="center"/>
              <w:rPr>
                <w:b/>
                <w:i/>
                <w:sz w:val="18"/>
                <w:szCs w:val="18"/>
              </w:rPr>
            </w:pPr>
            <w:r w:rsidRPr="00F9071C">
              <w:rPr>
                <w:b/>
                <w:i/>
                <w:sz w:val="18"/>
                <w:szCs w:val="18"/>
              </w:rPr>
              <w:t>Male</w:t>
            </w:r>
          </w:p>
        </w:tc>
        <w:tc>
          <w:tcPr>
            <w:tcW w:w="873" w:type="dxa"/>
            <w:tcBorders>
              <w:bottom w:val="single" w:sz="4" w:space="0" w:color="000000"/>
            </w:tcBorders>
            <w:shd w:val="clear" w:color="auto" w:fill="B8CCE4" w:themeFill="accent1" w:themeFillTint="66"/>
          </w:tcPr>
          <w:p w14:paraId="75F1AA0F" w14:textId="7AEC2FF5" w:rsidR="00F9071C" w:rsidRPr="00F9071C" w:rsidRDefault="00F9071C" w:rsidP="00D20A1E">
            <w:pPr>
              <w:keepNext/>
              <w:keepLines/>
              <w:widowControl/>
              <w:spacing w:before="40" w:after="40"/>
              <w:jc w:val="center"/>
              <w:rPr>
                <w:b/>
                <w:i/>
                <w:sz w:val="18"/>
                <w:szCs w:val="18"/>
              </w:rPr>
            </w:pPr>
            <w:r w:rsidRPr="00F9071C">
              <w:rPr>
                <w:b/>
                <w:i/>
                <w:sz w:val="18"/>
                <w:szCs w:val="18"/>
              </w:rPr>
              <w:t>Female</w:t>
            </w:r>
          </w:p>
        </w:tc>
        <w:tc>
          <w:tcPr>
            <w:tcW w:w="873" w:type="dxa"/>
            <w:tcBorders>
              <w:bottom w:val="single" w:sz="4" w:space="0" w:color="000000"/>
            </w:tcBorders>
            <w:shd w:val="clear" w:color="auto" w:fill="B8CCE4" w:themeFill="accent1" w:themeFillTint="66"/>
          </w:tcPr>
          <w:p w14:paraId="5315FA15" w14:textId="51F8D6CB" w:rsidR="00F9071C" w:rsidRPr="00F9071C" w:rsidRDefault="00F9071C" w:rsidP="00D20A1E">
            <w:pPr>
              <w:keepNext/>
              <w:keepLines/>
              <w:widowControl/>
              <w:spacing w:before="40" w:after="40"/>
              <w:jc w:val="center"/>
              <w:rPr>
                <w:b/>
                <w:i/>
                <w:sz w:val="18"/>
                <w:szCs w:val="18"/>
              </w:rPr>
            </w:pPr>
            <w:r w:rsidRPr="00F9071C">
              <w:rPr>
                <w:b/>
                <w:i/>
                <w:sz w:val="18"/>
                <w:szCs w:val="18"/>
              </w:rPr>
              <w:t>Male</w:t>
            </w:r>
          </w:p>
        </w:tc>
        <w:tc>
          <w:tcPr>
            <w:tcW w:w="874" w:type="dxa"/>
            <w:tcBorders>
              <w:bottom w:val="single" w:sz="4" w:space="0" w:color="000000"/>
            </w:tcBorders>
            <w:shd w:val="clear" w:color="auto" w:fill="B8CCE4" w:themeFill="accent1" w:themeFillTint="66"/>
          </w:tcPr>
          <w:p w14:paraId="0D27E268" w14:textId="52550F46" w:rsidR="00F9071C" w:rsidRPr="00F9071C" w:rsidRDefault="00F9071C" w:rsidP="00D20A1E">
            <w:pPr>
              <w:keepNext/>
              <w:keepLines/>
              <w:widowControl/>
              <w:spacing w:before="40" w:after="40"/>
              <w:jc w:val="center"/>
              <w:rPr>
                <w:b/>
                <w:i/>
                <w:sz w:val="18"/>
                <w:szCs w:val="18"/>
              </w:rPr>
            </w:pPr>
            <w:r w:rsidRPr="00F9071C">
              <w:rPr>
                <w:b/>
                <w:i/>
                <w:sz w:val="18"/>
                <w:szCs w:val="18"/>
              </w:rPr>
              <w:t>Female</w:t>
            </w:r>
          </w:p>
        </w:tc>
        <w:tc>
          <w:tcPr>
            <w:tcW w:w="873" w:type="dxa"/>
            <w:tcBorders>
              <w:bottom w:val="single" w:sz="4" w:space="0" w:color="000000"/>
            </w:tcBorders>
            <w:shd w:val="clear" w:color="auto" w:fill="B8CCE4" w:themeFill="accent1" w:themeFillTint="66"/>
          </w:tcPr>
          <w:p w14:paraId="4E255D0A" w14:textId="2437CEFE" w:rsidR="00F9071C" w:rsidRPr="00F9071C" w:rsidRDefault="00F9071C" w:rsidP="00D20A1E">
            <w:pPr>
              <w:keepNext/>
              <w:keepLines/>
              <w:widowControl/>
              <w:spacing w:before="40" w:after="40"/>
              <w:jc w:val="center"/>
              <w:rPr>
                <w:b/>
                <w:i/>
                <w:sz w:val="18"/>
                <w:szCs w:val="18"/>
              </w:rPr>
            </w:pPr>
            <w:r w:rsidRPr="00F9071C">
              <w:rPr>
                <w:b/>
                <w:i/>
                <w:sz w:val="18"/>
                <w:szCs w:val="18"/>
              </w:rPr>
              <w:t>Male</w:t>
            </w:r>
          </w:p>
        </w:tc>
        <w:tc>
          <w:tcPr>
            <w:tcW w:w="874" w:type="dxa"/>
            <w:tcBorders>
              <w:bottom w:val="single" w:sz="4" w:space="0" w:color="000000"/>
            </w:tcBorders>
            <w:shd w:val="clear" w:color="auto" w:fill="B8CCE4" w:themeFill="accent1" w:themeFillTint="66"/>
          </w:tcPr>
          <w:p w14:paraId="0A6F1763" w14:textId="0C0CA298" w:rsidR="00F9071C" w:rsidRPr="00F9071C" w:rsidRDefault="00F9071C" w:rsidP="00D20A1E">
            <w:pPr>
              <w:keepNext/>
              <w:keepLines/>
              <w:widowControl/>
              <w:spacing w:before="40" w:after="40"/>
              <w:jc w:val="center"/>
              <w:rPr>
                <w:b/>
                <w:i/>
                <w:sz w:val="18"/>
                <w:szCs w:val="18"/>
              </w:rPr>
            </w:pPr>
            <w:r w:rsidRPr="00F9071C">
              <w:rPr>
                <w:b/>
                <w:i/>
                <w:sz w:val="18"/>
                <w:szCs w:val="18"/>
              </w:rPr>
              <w:t>Female</w:t>
            </w:r>
          </w:p>
        </w:tc>
      </w:tr>
      <w:tr w:rsidR="00F9071C" w14:paraId="5D161F66" w14:textId="72CE335F" w:rsidTr="00F9071C">
        <w:tc>
          <w:tcPr>
            <w:tcW w:w="2093" w:type="dxa"/>
            <w:tcBorders>
              <w:bottom w:val="nil"/>
            </w:tcBorders>
            <w:vAlign w:val="center"/>
          </w:tcPr>
          <w:p w14:paraId="2FD0F527" w14:textId="056E65F6" w:rsidR="00A85760" w:rsidRPr="00F9071C" w:rsidRDefault="00A85760" w:rsidP="00D20A1E">
            <w:pPr>
              <w:keepNext/>
              <w:keepLines/>
              <w:widowControl/>
              <w:spacing w:before="40" w:after="40"/>
              <w:rPr>
                <w:sz w:val="20"/>
                <w:szCs w:val="20"/>
              </w:rPr>
            </w:pPr>
            <w:r w:rsidRPr="00F9071C">
              <w:rPr>
                <w:sz w:val="20"/>
                <w:szCs w:val="20"/>
              </w:rPr>
              <w:t>Calcium</w:t>
            </w:r>
          </w:p>
        </w:tc>
        <w:tc>
          <w:tcPr>
            <w:tcW w:w="873" w:type="dxa"/>
            <w:tcBorders>
              <w:bottom w:val="nil"/>
            </w:tcBorders>
            <w:vAlign w:val="center"/>
          </w:tcPr>
          <w:p w14:paraId="13C528B4" w14:textId="659222B6" w:rsidR="00A85760" w:rsidRPr="00F9071C" w:rsidRDefault="00A85760" w:rsidP="00D20A1E">
            <w:pPr>
              <w:keepNext/>
              <w:keepLines/>
              <w:widowControl/>
              <w:tabs>
                <w:tab w:val="decimal" w:pos="317"/>
              </w:tabs>
              <w:spacing w:before="40" w:after="40"/>
              <w:rPr>
                <w:sz w:val="20"/>
                <w:szCs w:val="20"/>
              </w:rPr>
            </w:pPr>
            <w:r w:rsidRPr="00F9071C">
              <w:rPr>
                <w:sz w:val="20"/>
                <w:szCs w:val="20"/>
              </w:rPr>
              <w:t>-</w:t>
            </w:r>
          </w:p>
        </w:tc>
        <w:tc>
          <w:tcPr>
            <w:tcW w:w="873" w:type="dxa"/>
            <w:tcBorders>
              <w:bottom w:val="nil"/>
            </w:tcBorders>
            <w:vAlign w:val="center"/>
          </w:tcPr>
          <w:p w14:paraId="7E599329" w14:textId="324A9E39" w:rsidR="00A85760" w:rsidRPr="00F9071C" w:rsidRDefault="00A85760" w:rsidP="00D20A1E">
            <w:pPr>
              <w:keepNext/>
              <w:keepLines/>
              <w:widowControl/>
              <w:tabs>
                <w:tab w:val="decimal" w:pos="317"/>
              </w:tabs>
              <w:spacing w:before="40" w:after="40"/>
              <w:rPr>
                <w:sz w:val="20"/>
                <w:szCs w:val="20"/>
              </w:rPr>
            </w:pPr>
            <w:r w:rsidRPr="00F9071C">
              <w:rPr>
                <w:sz w:val="20"/>
                <w:szCs w:val="20"/>
              </w:rPr>
              <w:t>-</w:t>
            </w:r>
          </w:p>
        </w:tc>
        <w:tc>
          <w:tcPr>
            <w:tcW w:w="874" w:type="dxa"/>
            <w:tcBorders>
              <w:bottom w:val="nil"/>
            </w:tcBorders>
            <w:vAlign w:val="center"/>
          </w:tcPr>
          <w:p w14:paraId="7F5254CE" w14:textId="73A4BF14"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3" w:type="dxa"/>
            <w:tcBorders>
              <w:bottom w:val="nil"/>
            </w:tcBorders>
            <w:vAlign w:val="center"/>
          </w:tcPr>
          <w:p w14:paraId="4D6F7C5D" w14:textId="12436252"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3" w:type="dxa"/>
            <w:tcBorders>
              <w:bottom w:val="nil"/>
            </w:tcBorders>
            <w:vAlign w:val="center"/>
          </w:tcPr>
          <w:p w14:paraId="446D80A4" w14:textId="3E1FA79A"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4" w:type="dxa"/>
            <w:tcBorders>
              <w:bottom w:val="nil"/>
            </w:tcBorders>
            <w:vAlign w:val="center"/>
          </w:tcPr>
          <w:p w14:paraId="4902C7FD" w14:textId="5F6D812E"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3" w:type="dxa"/>
            <w:tcBorders>
              <w:bottom w:val="nil"/>
            </w:tcBorders>
            <w:vAlign w:val="center"/>
          </w:tcPr>
          <w:p w14:paraId="4DBD26C4" w14:textId="0701B16F"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4" w:type="dxa"/>
            <w:tcBorders>
              <w:bottom w:val="nil"/>
            </w:tcBorders>
            <w:vAlign w:val="center"/>
          </w:tcPr>
          <w:p w14:paraId="0ABF0456" w14:textId="67009C21" w:rsidR="00A85760" w:rsidRPr="00F9071C" w:rsidRDefault="00A85760" w:rsidP="00D20A1E">
            <w:pPr>
              <w:keepNext/>
              <w:keepLines/>
              <w:widowControl/>
              <w:spacing w:before="40" w:after="40"/>
              <w:jc w:val="center"/>
              <w:rPr>
                <w:sz w:val="20"/>
                <w:szCs w:val="20"/>
              </w:rPr>
            </w:pPr>
            <w:r w:rsidRPr="00F9071C">
              <w:rPr>
                <w:sz w:val="20"/>
                <w:szCs w:val="20"/>
              </w:rPr>
              <w:t>-</w:t>
            </w:r>
          </w:p>
        </w:tc>
      </w:tr>
      <w:tr w:rsidR="00F9071C" w14:paraId="0FA6BED9" w14:textId="6A378406" w:rsidTr="00F9071C">
        <w:tc>
          <w:tcPr>
            <w:tcW w:w="2093" w:type="dxa"/>
            <w:tcBorders>
              <w:top w:val="nil"/>
              <w:bottom w:val="nil"/>
            </w:tcBorders>
            <w:vAlign w:val="center"/>
          </w:tcPr>
          <w:p w14:paraId="34BF62D3" w14:textId="4EFDE890" w:rsidR="00A85760" w:rsidRPr="00F9071C" w:rsidRDefault="00A85760" w:rsidP="00D20A1E">
            <w:pPr>
              <w:keepNext/>
              <w:keepLines/>
              <w:widowControl/>
              <w:spacing w:before="40" w:after="40"/>
              <w:rPr>
                <w:sz w:val="20"/>
                <w:szCs w:val="20"/>
              </w:rPr>
            </w:pPr>
            <w:r w:rsidRPr="00F9071C">
              <w:rPr>
                <w:sz w:val="20"/>
                <w:szCs w:val="20"/>
              </w:rPr>
              <w:t>Iodine</w:t>
            </w:r>
          </w:p>
        </w:tc>
        <w:tc>
          <w:tcPr>
            <w:tcW w:w="873" w:type="dxa"/>
            <w:tcBorders>
              <w:top w:val="nil"/>
              <w:bottom w:val="nil"/>
            </w:tcBorders>
            <w:vAlign w:val="center"/>
          </w:tcPr>
          <w:p w14:paraId="405B8598" w14:textId="04852EFB" w:rsidR="00A85760" w:rsidRPr="00F9071C" w:rsidRDefault="00A85760" w:rsidP="00D20A1E">
            <w:pPr>
              <w:keepNext/>
              <w:keepLines/>
              <w:widowControl/>
              <w:tabs>
                <w:tab w:val="decimal" w:pos="317"/>
              </w:tabs>
              <w:spacing w:before="40" w:after="40"/>
              <w:rPr>
                <w:sz w:val="20"/>
                <w:szCs w:val="20"/>
              </w:rPr>
            </w:pPr>
            <w:r w:rsidRPr="00F9071C">
              <w:rPr>
                <w:sz w:val="20"/>
                <w:szCs w:val="20"/>
              </w:rPr>
              <w:t>12.9</w:t>
            </w:r>
          </w:p>
        </w:tc>
        <w:tc>
          <w:tcPr>
            <w:tcW w:w="873" w:type="dxa"/>
            <w:tcBorders>
              <w:top w:val="nil"/>
              <w:bottom w:val="nil"/>
            </w:tcBorders>
            <w:vAlign w:val="center"/>
          </w:tcPr>
          <w:p w14:paraId="2D3EF92B" w14:textId="7A6B2D66" w:rsidR="00A85760" w:rsidRPr="00F9071C" w:rsidRDefault="00A85760" w:rsidP="00D20A1E">
            <w:pPr>
              <w:keepNext/>
              <w:keepLines/>
              <w:widowControl/>
              <w:tabs>
                <w:tab w:val="decimal" w:pos="317"/>
              </w:tabs>
              <w:spacing w:before="40" w:after="40"/>
              <w:rPr>
                <w:sz w:val="20"/>
                <w:szCs w:val="20"/>
              </w:rPr>
            </w:pPr>
            <w:r w:rsidRPr="00F9071C">
              <w:rPr>
                <w:sz w:val="20"/>
                <w:szCs w:val="20"/>
              </w:rPr>
              <w:t>5.6</w:t>
            </w:r>
          </w:p>
        </w:tc>
        <w:tc>
          <w:tcPr>
            <w:tcW w:w="874" w:type="dxa"/>
            <w:tcBorders>
              <w:top w:val="nil"/>
              <w:bottom w:val="nil"/>
            </w:tcBorders>
            <w:vAlign w:val="center"/>
          </w:tcPr>
          <w:p w14:paraId="36CFF888" w14:textId="17E16E11" w:rsidR="00A85760" w:rsidRPr="00F9071C" w:rsidRDefault="00A85760" w:rsidP="00D20A1E">
            <w:pPr>
              <w:keepNext/>
              <w:keepLines/>
              <w:widowControl/>
              <w:spacing w:before="40" w:after="40"/>
              <w:jc w:val="center"/>
              <w:rPr>
                <w:sz w:val="20"/>
                <w:szCs w:val="20"/>
              </w:rPr>
            </w:pPr>
            <w:r w:rsidRPr="00F9071C">
              <w:rPr>
                <w:sz w:val="20"/>
                <w:szCs w:val="20"/>
              </w:rPr>
              <w:t>0.1</w:t>
            </w:r>
          </w:p>
        </w:tc>
        <w:tc>
          <w:tcPr>
            <w:tcW w:w="873" w:type="dxa"/>
            <w:tcBorders>
              <w:top w:val="nil"/>
              <w:bottom w:val="nil"/>
            </w:tcBorders>
            <w:vAlign w:val="center"/>
          </w:tcPr>
          <w:p w14:paraId="63E9A928" w14:textId="7CB99CB5"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3" w:type="dxa"/>
            <w:tcBorders>
              <w:top w:val="nil"/>
              <w:bottom w:val="nil"/>
            </w:tcBorders>
            <w:vAlign w:val="center"/>
          </w:tcPr>
          <w:p w14:paraId="35CED7B5" w14:textId="3E483F18"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4" w:type="dxa"/>
            <w:tcBorders>
              <w:top w:val="nil"/>
              <w:bottom w:val="nil"/>
            </w:tcBorders>
            <w:vAlign w:val="center"/>
          </w:tcPr>
          <w:p w14:paraId="160B48C3" w14:textId="74A9490B"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3" w:type="dxa"/>
            <w:tcBorders>
              <w:top w:val="nil"/>
              <w:bottom w:val="nil"/>
            </w:tcBorders>
            <w:vAlign w:val="center"/>
          </w:tcPr>
          <w:p w14:paraId="534C4B39" w14:textId="1D641639"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4" w:type="dxa"/>
            <w:tcBorders>
              <w:top w:val="nil"/>
              <w:bottom w:val="nil"/>
            </w:tcBorders>
            <w:vAlign w:val="center"/>
          </w:tcPr>
          <w:p w14:paraId="49F32387" w14:textId="23B5397D" w:rsidR="00A85760" w:rsidRPr="00F9071C" w:rsidRDefault="00A85760" w:rsidP="00D20A1E">
            <w:pPr>
              <w:keepNext/>
              <w:keepLines/>
              <w:widowControl/>
              <w:spacing w:before="40" w:after="40"/>
              <w:jc w:val="center"/>
              <w:rPr>
                <w:sz w:val="20"/>
                <w:szCs w:val="20"/>
              </w:rPr>
            </w:pPr>
            <w:r w:rsidRPr="00F9071C">
              <w:rPr>
                <w:sz w:val="20"/>
                <w:szCs w:val="20"/>
              </w:rPr>
              <w:t>-</w:t>
            </w:r>
          </w:p>
        </w:tc>
      </w:tr>
      <w:tr w:rsidR="00F9071C" w14:paraId="1513F671" w14:textId="5990DEBA" w:rsidTr="00F9071C">
        <w:tc>
          <w:tcPr>
            <w:tcW w:w="2093" w:type="dxa"/>
            <w:tcBorders>
              <w:top w:val="nil"/>
              <w:bottom w:val="nil"/>
            </w:tcBorders>
            <w:vAlign w:val="center"/>
          </w:tcPr>
          <w:p w14:paraId="0AF44548" w14:textId="23EC88A5" w:rsidR="00A85760" w:rsidRPr="00F9071C" w:rsidRDefault="00A85760" w:rsidP="00D20A1E">
            <w:pPr>
              <w:keepNext/>
              <w:keepLines/>
              <w:widowControl/>
              <w:spacing w:before="40" w:after="40"/>
              <w:rPr>
                <w:sz w:val="20"/>
                <w:szCs w:val="20"/>
              </w:rPr>
            </w:pPr>
            <w:r w:rsidRPr="00F9071C">
              <w:rPr>
                <w:sz w:val="20"/>
                <w:szCs w:val="20"/>
              </w:rPr>
              <w:t>Iron</w:t>
            </w:r>
          </w:p>
        </w:tc>
        <w:tc>
          <w:tcPr>
            <w:tcW w:w="873" w:type="dxa"/>
            <w:tcBorders>
              <w:top w:val="nil"/>
              <w:bottom w:val="nil"/>
            </w:tcBorders>
            <w:vAlign w:val="center"/>
          </w:tcPr>
          <w:p w14:paraId="5536D00F" w14:textId="4442D724" w:rsidR="00A85760" w:rsidRPr="00F9071C" w:rsidRDefault="00A85760" w:rsidP="00D20A1E">
            <w:pPr>
              <w:keepNext/>
              <w:keepLines/>
              <w:widowControl/>
              <w:tabs>
                <w:tab w:val="decimal" w:pos="317"/>
              </w:tabs>
              <w:spacing w:before="40" w:after="40"/>
              <w:rPr>
                <w:sz w:val="20"/>
                <w:szCs w:val="20"/>
              </w:rPr>
            </w:pPr>
            <w:r w:rsidRPr="00F9071C">
              <w:rPr>
                <w:sz w:val="20"/>
                <w:szCs w:val="20"/>
              </w:rPr>
              <w:t>-</w:t>
            </w:r>
          </w:p>
        </w:tc>
        <w:tc>
          <w:tcPr>
            <w:tcW w:w="873" w:type="dxa"/>
            <w:tcBorders>
              <w:top w:val="nil"/>
              <w:bottom w:val="nil"/>
            </w:tcBorders>
            <w:vAlign w:val="center"/>
          </w:tcPr>
          <w:p w14:paraId="58128258" w14:textId="53445891" w:rsidR="00A85760" w:rsidRPr="00F9071C" w:rsidRDefault="00A85760" w:rsidP="00D20A1E">
            <w:pPr>
              <w:keepNext/>
              <w:keepLines/>
              <w:widowControl/>
              <w:tabs>
                <w:tab w:val="decimal" w:pos="317"/>
              </w:tabs>
              <w:spacing w:before="40" w:after="40"/>
              <w:rPr>
                <w:sz w:val="20"/>
                <w:szCs w:val="20"/>
              </w:rPr>
            </w:pPr>
            <w:r w:rsidRPr="00F9071C">
              <w:rPr>
                <w:sz w:val="20"/>
                <w:szCs w:val="20"/>
              </w:rPr>
              <w:t>-</w:t>
            </w:r>
          </w:p>
        </w:tc>
        <w:tc>
          <w:tcPr>
            <w:tcW w:w="874" w:type="dxa"/>
            <w:tcBorders>
              <w:top w:val="nil"/>
              <w:bottom w:val="nil"/>
            </w:tcBorders>
            <w:vAlign w:val="center"/>
          </w:tcPr>
          <w:p w14:paraId="7C6C64E0" w14:textId="0006A060"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3" w:type="dxa"/>
            <w:tcBorders>
              <w:top w:val="nil"/>
              <w:bottom w:val="nil"/>
            </w:tcBorders>
            <w:vAlign w:val="center"/>
          </w:tcPr>
          <w:p w14:paraId="591F43BB" w14:textId="1943335B"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3" w:type="dxa"/>
            <w:tcBorders>
              <w:top w:val="nil"/>
              <w:bottom w:val="nil"/>
            </w:tcBorders>
            <w:vAlign w:val="center"/>
          </w:tcPr>
          <w:p w14:paraId="47EB5ADF" w14:textId="4215F18B"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4" w:type="dxa"/>
            <w:tcBorders>
              <w:top w:val="nil"/>
              <w:bottom w:val="nil"/>
            </w:tcBorders>
            <w:vAlign w:val="center"/>
          </w:tcPr>
          <w:p w14:paraId="1F764E01" w14:textId="5EE02D91"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3" w:type="dxa"/>
            <w:tcBorders>
              <w:top w:val="nil"/>
              <w:bottom w:val="nil"/>
            </w:tcBorders>
            <w:vAlign w:val="center"/>
          </w:tcPr>
          <w:p w14:paraId="17AADA1C" w14:textId="5940F3A8"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4" w:type="dxa"/>
            <w:tcBorders>
              <w:top w:val="nil"/>
              <w:bottom w:val="nil"/>
            </w:tcBorders>
            <w:vAlign w:val="center"/>
          </w:tcPr>
          <w:p w14:paraId="189B3383" w14:textId="2BD06806" w:rsidR="00A85760" w:rsidRPr="00F9071C" w:rsidRDefault="00A85760" w:rsidP="00D20A1E">
            <w:pPr>
              <w:keepNext/>
              <w:keepLines/>
              <w:widowControl/>
              <w:spacing w:before="40" w:after="40"/>
              <w:jc w:val="center"/>
              <w:rPr>
                <w:sz w:val="20"/>
                <w:szCs w:val="20"/>
              </w:rPr>
            </w:pPr>
            <w:r w:rsidRPr="00F9071C">
              <w:rPr>
                <w:sz w:val="20"/>
                <w:szCs w:val="20"/>
              </w:rPr>
              <w:t>-</w:t>
            </w:r>
          </w:p>
        </w:tc>
      </w:tr>
      <w:tr w:rsidR="00F9071C" w14:paraId="7AF16C24" w14:textId="6D7ACB62" w:rsidTr="00F9071C">
        <w:tc>
          <w:tcPr>
            <w:tcW w:w="2093" w:type="dxa"/>
            <w:tcBorders>
              <w:top w:val="nil"/>
              <w:bottom w:val="nil"/>
            </w:tcBorders>
            <w:vAlign w:val="center"/>
          </w:tcPr>
          <w:p w14:paraId="39E21C53" w14:textId="515E3689" w:rsidR="00A85760" w:rsidRPr="00F9071C" w:rsidRDefault="00A85760" w:rsidP="00D20A1E">
            <w:pPr>
              <w:keepNext/>
              <w:keepLines/>
              <w:widowControl/>
              <w:spacing w:before="40" w:after="40"/>
              <w:rPr>
                <w:sz w:val="20"/>
                <w:szCs w:val="20"/>
              </w:rPr>
            </w:pPr>
            <w:r w:rsidRPr="00F9071C">
              <w:rPr>
                <w:sz w:val="20"/>
                <w:szCs w:val="20"/>
              </w:rPr>
              <w:t>Phosphorus</w:t>
            </w:r>
          </w:p>
        </w:tc>
        <w:tc>
          <w:tcPr>
            <w:tcW w:w="873" w:type="dxa"/>
            <w:tcBorders>
              <w:top w:val="nil"/>
              <w:bottom w:val="nil"/>
            </w:tcBorders>
            <w:vAlign w:val="center"/>
          </w:tcPr>
          <w:p w14:paraId="5B977B84" w14:textId="2694C8EE" w:rsidR="00A85760" w:rsidRPr="00F9071C" w:rsidRDefault="00A85760" w:rsidP="00D20A1E">
            <w:pPr>
              <w:keepNext/>
              <w:keepLines/>
              <w:widowControl/>
              <w:tabs>
                <w:tab w:val="decimal" w:pos="317"/>
              </w:tabs>
              <w:spacing w:before="40" w:after="40"/>
              <w:rPr>
                <w:sz w:val="20"/>
                <w:szCs w:val="20"/>
              </w:rPr>
            </w:pPr>
            <w:r w:rsidRPr="00F9071C">
              <w:rPr>
                <w:sz w:val="20"/>
                <w:szCs w:val="20"/>
              </w:rPr>
              <w:t>-</w:t>
            </w:r>
          </w:p>
        </w:tc>
        <w:tc>
          <w:tcPr>
            <w:tcW w:w="873" w:type="dxa"/>
            <w:tcBorders>
              <w:top w:val="nil"/>
              <w:bottom w:val="nil"/>
            </w:tcBorders>
            <w:vAlign w:val="center"/>
          </w:tcPr>
          <w:p w14:paraId="32657CBC" w14:textId="34ED1FDD" w:rsidR="00A85760" w:rsidRPr="00F9071C" w:rsidRDefault="00A85760" w:rsidP="00D20A1E">
            <w:pPr>
              <w:keepNext/>
              <w:keepLines/>
              <w:widowControl/>
              <w:tabs>
                <w:tab w:val="decimal" w:pos="317"/>
              </w:tabs>
              <w:spacing w:before="40" w:after="40"/>
              <w:rPr>
                <w:sz w:val="20"/>
                <w:szCs w:val="20"/>
              </w:rPr>
            </w:pPr>
            <w:r w:rsidRPr="00F9071C">
              <w:rPr>
                <w:sz w:val="20"/>
                <w:szCs w:val="20"/>
              </w:rPr>
              <w:t>-</w:t>
            </w:r>
          </w:p>
        </w:tc>
        <w:tc>
          <w:tcPr>
            <w:tcW w:w="874" w:type="dxa"/>
            <w:tcBorders>
              <w:top w:val="nil"/>
              <w:bottom w:val="nil"/>
            </w:tcBorders>
            <w:vAlign w:val="center"/>
          </w:tcPr>
          <w:p w14:paraId="4C2A686D" w14:textId="07EC2D1E"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3" w:type="dxa"/>
            <w:tcBorders>
              <w:top w:val="nil"/>
              <w:bottom w:val="nil"/>
            </w:tcBorders>
            <w:vAlign w:val="center"/>
          </w:tcPr>
          <w:p w14:paraId="7A6F174D" w14:textId="0A8B847C"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3" w:type="dxa"/>
            <w:tcBorders>
              <w:top w:val="nil"/>
              <w:bottom w:val="nil"/>
            </w:tcBorders>
            <w:vAlign w:val="center"/>
          </w:tcPr>
          <w:p w14:paraId="79F8ED2F" w14:textId="25663F72"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4" w:type="dxa"/>
            <w:tcBorders>
              <w:top w:val="nil"/>
              <w:bottom w:val="nil"/>
            </w:tcBorders>
            <w:vAlign w:val="center"/>
          </w:tcPr>
          <w:p w14:paraId="12DDF177" w14:textId="421C9669"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3" w:type="dxa"/>
            <w:tcBorders>
              <w:top w:val="nil"/>
              <w:bottom w:val="nil"/>
            </w:tcBorders>
            <w:vAlign w:val="center"/>
          </w:tcPr>
          <w:p w14:paraId="0440C506" w14:textId="5DC3175B"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4" w:type="dxa"/>
            <w:tcBorders>
              <w:top w:val="nil"/>
              <w:bottom w:val="nil"/>
            </w:tcBorders>
            <w:vAlign w:val="center"/>
          </w:tcPr>
          <w:p w14:paraId="67852BE2" w14:textId="407D21D2" w:rsidR="00A85760" w:rsidRPr="00F9071C" w:rsidRDefault="00A85760" w:rsidP="00D20A1E">
            <w:pPr>
              <w:keepNext/>
              <w:keepLines/>
              <w:widowControl/>
              <w:spacing w:before="40" w:after="40"/>
              <w:jc w:val="center"/>
              <w:rPr>
                <w:sz w:val="20"/>
                <w:szCs w:val="20"/>
              </w:rPr>
            </w:pPr>
            <w:r w:rsidRPr="00F9071C">
              <w:rPr>
                <w:sz w:val="20"/>
                <w:szCs w:val="20"/>
              </w:rPr>
              <w:t>-</w:t>
            </w:r>
          </w:p>
        </w:tc>
      </w:tr>
      <w:tr w:rsidR="00F9071C" w14:paraId="11CE98DD" w14:textId="1F7A493F" w:rsidTr="00F9071C">
        <w:tc>
          <w:tcPr>
            <w:tcW w:w="2093" w:type="dxa"/>
            <w:tcBorders>
              <w:top w:val="nil"/>
              <w:bottom w:val="nil"/>
            </w:tcBorders>
            <w:vAlign w:val="center"/>
          </w:tcPr>
          <w:p w14:paraId="1ACEA8A0" w14:textId="2063D667" w:rsidR="00A85760" w:rsidRPr="00F9071C" w:rsidRDefault="00A85760" w:rsidP="00D20A1E">
            <w:pPr>
              <w:keepNext/>
              <w:keepLines/>
              <w:widowControl/>
              <w:spacing w:before="40" w:after="40"/>
              <w:rPr>
                <w:sz w:val="20"/>
                <w:szCs w:val="20"/>
              </w:rPr>
            </w:pPr>
            <w:r w:rsidRPr="00F9071C">
              <w:rPr>
                <w:sz w:val="20"/>
                <w:szCs w:val="20"/>
              </w:rPr>
              <w:t>Zinc</w:t>
            </w:r>
          </w:p>
        </w:tc>
        <w:tc>
          <w:tcPr>
            <w:tcW w:w="873" w:type="dxa"/>
            <w:tcBorders>
              <w:top w:val="nil"/>
              <w:bottom w:val="nil"/>
            </w:tcBorders>
            <w:vAlign w:val="center"/>
          </w:tcPr>
          <w:p w14:paraId="0A5711F3" w14:textId="5DE6D37C" w:rsidR="00A85760" w:rsidRPr="00F9071C" w:rsidRDefault="00A85760" w:rsidP="00D20A1E">
            <w:pPr>
              <w:keepNext/>
              <w:keepLines/>
              <w:widowControl/>
              <w:tabs>
                <w:tab w:val="decimal" w:pos="317"/>
              </w:tabs>
              <w:spacing w:before="40" w:after="40"/>
              <w:rPr>
                <w:sz w:val="20"/>
                <w:szCs w:val="20"/>
              </w:rPr>
            </w:pPr>
            <w:r w:rsidRPr="00F9071C">
              <w:rPr>
                <w:sz w:val="20"/>
                <w:szCs w:val="20"/>
              </w:rPr>
              <w:t>62.7</w:t>
            </w:r>
            <w:r w:rsidR="00D24122">
              <w:rPr>
                <w:sz w:val="20"/>
                <w:szCs w:val="20"/>
                <w:vertAlign w:val="superscript"/>
              </w:rPr>
              <w:sym w:font="Wingdings 3" w:char="F087"/>
            </w:r>
          </w:p>
        </w:tc>
        <w:tc>
          <w:tcPr>
            <w:tcW w:w="873" w:type="dxa"/>
            <w:tcBorders>
              <w:top w:val="nil"/>
              <w:bottom w:val="nil"/>
            </w:tcBorders>
            <w:vAlign w:val="center"/>
          </w:tcPr>
          <w:p w14:paraId="0527CC3C" w14:textId="6540ABB5" w:rsidR="00A85760" w:rsidRPr="00F9071C" w:rsidRDefault="00A85760" w:rsidP="00D20A1E">
            <w:pPr>
              <w:keepNext/>
              <w:keepLines/>
              <w:widowControl/>
              <w:tabs>
                <w:tab w:val="decimal" w:pos="317"/>
              </w:tabs>
              <w:spacing w:before="40" w:after="40"/>
              <w:rPr>
                <w:sz w:val="20"/>
                <w:szCs w:val="20"/>
              </w:rPr>
            </w:pPr>
            <w:r w:rsidRPr="00F9071C">
              <w:rPr>
                <w:sz w:val="20"/>
                <w:szCs w:val="20"/>
              </w:rPr>
              <w:t>39.8</w:t>
            </w:r>
            <w:r w:rsidR="00D24122">
              <w:rPr>
                <w:sz w:val="20"/>
                <w:szCs w:val="20"/>
                <w:vertAlign w:val="superscript"/>
              </w:rPr>
              <w:sym w:font="Wingdings 3" w:char="F087"/>
            </w:r>
          </w:p>
        </w:tc>
        <w:tc>
          <w:tcPr>
            <w:tcW w:w="874" w:type="dxa"/>
            <w:tcBorders>
              <w:top w:val="nil"/>
              <w:bottom w:val="nil"/>
            </w:tcBorders>
            <w:vAlign w:val="center"/>
          </w:tcPr>
          <w:p w14:paraId="51E918CF" w14:textId="2E6B2537" w:rsidR="00A85760" w:rsidRPr="00F9071C" w:rsidRDefault="00A85760" w:rsidP="00D20A1E">
            <w:pPr>
              <w:keepNext/>
              <w:keepLines/>
              <w:widowControl/>
              <w:spacing w:before="40" w:after="40"/>
              <w:jc w:val="center"/>
              <w:rPr>
                <w:sz w:val="20"/>
                <w:szCs w:val="20"/>
              </w:rPr>
            </w:pPr>
            <w:r w:rsidRPr="00F9071C">
              <w:rPr>
                <w:sz w:val="20"/>
                <w:szCs w:val="20"/>
              </w:rPr>
              <w:t>2.9</w:t>
            </w:r>
          </w:p>
        </w:tc>
        <w:tc>
          <w:tcPr>
            <w:tcW w:w="873" w:type="dxa"/>
            <w:tcBorders>
              <w:top w:val="nil"/>
              <w:bottom w:val="nil"/>
            </w:tcBorders>
            <w:vAlign w:val="center"/>
          </w:tcPr>
          <w:p w14:paraId="62D2BF8F" w14:textId="4F74B63A" w:rsidR="00A85760" w:rsidRPr="00F9071C" w:rsidRDefault="00A85760" w:rsidP="00D20A1E">
            <w:pPr>
              <w:keepNext/>
              <w:keepLines/>
              <w:widowControl/>
              <w:spacing w:before="40" w:after="40"/>
              <w:jc w:val="center"/>
              <w:rPr>
                <w:sz w:val="20"/>
                <w:szCs w:val="20"/>
              </w:rPr>
            </w:pPr>
            <w:r w:rsidRPr="00F9071C">
              <w:rPr>
                <w:sz w:val="20"/>
                <w:szCs w:val="20"/>
              </w:rPr>
              <w:t>0.7</w:t>
            </w:r>
          </w:p>
        </w:tc>
        <w:tc>
          <w:tcPr>
            <w:tcW w:w="873" w:type="dxa"/>
            <w:tcBorders>
              <w:top w:val="nil"/>
              <w:bottom w:val="nil"/>
            </w:tcBorders>
            <w:vAlign w:val="center"/>
          </w:tcPr>
          <w:p w14:paraId="7DE2530C" w14:textId="7DE449FB"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4" w:type="dxa"/>
            <w:tcBorders>
              <w:top w:val="nil"/>
              <w:bottom w:val="nil"/>
            </w:tcBorders>
            <w:vAlign w:val="center"/>
          </w:tcPr>
          <w:p w14:paraId="4A0BBFC5" w14:textId="39F7217D"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3" w:type="dxa"/>
            <w:tcBorders>
              <w:top w:val="nil"/>
              <w:bottom w:val="nil"/>
            </w:tcBorders>
            <w:vAlign w:val="center"/>
          </w:tcPr>
          <w:p w14:paraId="4BC67AA1" w14:textId="58CC8343" w:rsidR="00A85760" w:rsidRPr="00F9071C" w:rsidRDefault="00A85760" w:rsidP="00D20A1E">
            <w:pPr>
              <w:keepNext/>
              <w:keepLines/>
              <w:widowControl/>
              <w:spacing w:before="40" w:after="40"/>
              <w:jc w:val="center"/>
              <w:rPr>
                <w:sz w:val="20"/>
                <w:szCs w:val="20"/>
              </w:rPr>
            </w:pPr>
            <w:r w:rsidRPr="00F9071C">
              <w:rPr>
                <w:sz w:val="20"/>
                <w:szCs w:val="20"/>
              </w:rPr>
              <w:t>-</w:t>
            </w:r>
          </w:p>
        </w:tc>
        <w:tc>
          <w:tcPr>
            <w:tcW w:w="874" w:type="dxa"/>
            <w:tcBorders>
              <w:top w:val="nil"/>
              <w:bottom w:val="nil"/>
            </w:tcBorders>
            <w:vAlign w:val="center"/>
          </w:tcPr>
          <w:p w14:paraId="3FC8B4D8" w14:textId="38D48CCA" w:rsidR="00A85760" w:rsidRPr="00F9071C" w:rsidRDefault="00A85760" w:rsidP="00D20A1E">
            <w:pPr>
              <w:keepNext/>
              <w:keepLines/>
              <w:widowControl/>
              <w:spacing w:before="40" w:after="40"/>
              <w:jc w:val="center"/>
              <w:rPr>
                <w:sz w:val="20"/>
                <w:szCs w:val="20"/>
              </w:rPr>
            </w:pPr>
            <w:r w:rsidRPr="00F9071C">
              <w:rPr>
                <w:sz w:val="20"/>
                <w:szCs w:val="20"/>
              </w:rPr>
              <w:t>-</w:t>
            </w:r>
          </w:p>
        </w:tc>
      </w:tr>
      <w:tr w:rsidR="00F9071C" w14:paraId="49AE4ED4" w14:textId="77777777" w:rsidTr="00F9071C">
        <w:tc>
          <w:tcPr>
            <w:tcW w:w="2093" w:type="dxa"/>
            <w:tcBorders>
              <w:top w:val="nil"/>
              <w:bottom w:val="nil"/>
            </w:tcBorders>
            <w:vAlign w:val="center"/>
          </w:tcPr>
          <w:p w14:paraId="58B48500" w14:textId="239B9776" w:rsidR="00F9071C" w:rsidRPr="00F9071C" w:rsidRDefault="00F9071C" w:rsidP="00D20A1E">
            <w:pPr>
              <w:keepNext/>
              <w:keepLines/>
              <w:widowControl/>
              <w:spacing w:before="40" w:after="40"/>
              <w:rPr>
                <w:sz w:val="20"/>
                <w:szCs w:val="20"/>
              </w:rPr>
            </w:pPr>
            <w:r w:rsidRPr="00F9071C">
              <w:rPr>
                <w:sz w:val="20"/>
                <w:szCs w:val="20"/>
              </w:rPr>
              <w:t>Preformed Vitamin A (</w:t>
            </w:r>
            <w:r w:rsidR="00326E1B">
              <w:rPr>
                <w:sz w:val="20"/>
                <w:szCs w:val="20"/>
              </w:rPr>
              <w:t>retinol equivalents</w:t>
            </w:r>
            <w:r w:rsidRPr="00F9071C">
              <w:rPr>
                <w:sz w:val="20"/>
                <w:szCs w:val="20"/>
              </w:rPr>
              <w:t>)</w:t>
            </w:r>
          </w:p>
        </w:tc>
        <w:tc>
          <w:tcPr>
            <w:tcW w:w="873" w:type="dxa"/>
            <w:tcBorders>
              <w:top w:val="nil"/>
              <w:bottom w:val="nil"/>
            </w:tcBorders>
            <w:vAlign w:val="center"/>
          </w:tcPr>
          <w:p w14:paraId="205F41EB" w14:textId="229A1336" w:rsidR="00F9071C" w:rsidRPr="00F9071C" w:rsidRDefault="00F9071C" w:rsidP="00D20A1E">
            <w:pPr>
              <w:keepNext/>
              <w:keepLines/>
              <w:widowControl/>
              <w:tabs>
                <w:tab w:val="decimal" w:pos="317"/>
              </w:tabs>
              <w:spacing w:before="40" w:after="40"/>
              <w:rPr>
                <w:sz w:val="20"/>
                <w:szCs w:val="20"/>
              </w:rPr>
            </w:pPr>
            <w:r w:rsidRPr="00F9071C">
              <w:rPr>
                <w:sz w:val="20"/>
                <w:szCs w:val="20"/>
              </w:rPr>
              <w:t>0.5</w:t>
            </w:r>
          </w:p>
        </w:tc>
        <w:tc>
          <w:tcPr>
            <w:tcW w:w="873" w:type="dxa"/>
            <w:tcBorders>
              <w:top w:val="nil"/>
              <w:bottom w:val="nil"/>
            </w:tcBorders>
            <w:vAlign w:val="center"/>
          </w:tcPr>
          <w:p w14:paraId="0170A3F3" w14:textId="13B9EB4F" w:rsidR="00F9071C" w:rsidRPr="00F9071C" w:rsidRDefault="00F9071C" w:rsidP="00D20A1E">
            <w:pPr>
              <w:keepNext/>
              <w:keepLines/>
              <w:widowControl/>
              <w:tabs>
                <w:tab w:val="decimal" w:pos="317"/>
              </w:tabs>
              <w:spacing w:before="40" w:after="40"/>
              <w:rPr>
                <w:sz w:val="20"/>
                <w:szCs w:val="20"/>
              </w:rPr>
            </w:pPr>
            <w:r w:rsidRPr="00F9071C">
              <w:rPr>
                <w:sz w:val="20"/>
                <w:szCs w:val="20"/>
              </w:rPr>
              <w:t>0.1</w:t>
            </w:r>
          </w:p>
        </w:tc>
        <w:tc>
          <w:tcPr>
            <w:tcW w:w="874" w:type="dxa"/>
            <w:tcBorders>
              <w:top w:val="nil"/>
              <w:bottom w:val="nil"/>
            </w:tcBorders>
            <w:vAlign w:val="center"/>
          </w:tcPr>
          <w:p w14:paraId="594E5101" w14:textId="402D42FD" w:rsidR="00F9071C" w:rsidRPr="00F9071C" w:rsidRDefault="00F9071C" w:rsidP="00D20A1E">
            <w:pPr>
              <w:keepNext/>
              <w:keepLines/>
              <w:widowControl/>
              <w:spacing w:before="40" w:after="40"/>
              <w:jc w:val="center"/>
              <w:rPr>
                <w:sz w:val="20"/>
                <w:szCs w:val="20"/>
              </w:rPr>
            </w:pPr>
            <w:r w:rsidRPr="00F9071C">
              <w:rPr>
                <w:sz w:val="20"/>
                <w:szCs w:val="20"/>
              </w:rPr>
              <w:t>-</w:t>
            </w:r>
          </w:p>
        </w:tc>
        <w:tc>
          <w:tcPr>
            <w:tcW w:w="873" w:type="dxa"/>
            <w:tcBorders>
              <w:top w:val="nil"/>
              <w:bottom w:val="nil"/>
            </w:tcBorders>
            <w:vAlign w:val="center"/>
          </w:tcPr>
          <w:p w14:paraId="2C868841" w14:textId="236FABFE" w:rsidR="00F9071C" w:rsidRPr="00F9071C" w:rsidRDefault="00F9071C" w:rsidP="00D20A1E">
            <w:pPr>
              <w:keepNext/>
              <w:keepLines/>
              <w:widowControl/>
              <w:spacing w:before="40" w:after="40"/>
              <w:jc w:val="center"/>
              <w:rPr>
                <w:sz w:val="20"/>
                <w:szCs w:val="20"/>
              </w:rPr>
            </w:pPr>
            <w:r w:rsidRPr="00F9071C">
              <w:rPr>
                <w:sz w:val="20"/>
                <w:szCs w:val="20"/>
              </w:rPr>
              <w:t>-</w:t>
            </w:r>
          </w:p>
        </w:tc>
        <w:tc>
          <w:tcPr>
            <w:tcW w:w="873" w:type="dxa"/>
            <w:tcBorders>
              <w:top w:val="nil"/>
              <w:bottom w:val="nil"/>
            </w:tcBorders>
            <w:vAlign w:val="center"/>
          </w:tcPr>
          <w:p w14:paraId="4025F257" w14:textId="0E25FF13" w:rsidR="00F9071C" w:rsidRPr="00F9071C" w:rsidRDefault="00F9071C" w:rsidP="00D20A1E">
            <w:pPr>
              <w:keepNext/>
              <w:keepLines/>
              <w:widowControl/>
              <w:spacing w:before="40" w:after="40"/>
              <w:jc w:val="center"/>
              <w:rPr>
                <w:sz w:val="20"/>
                <w:szCs w:val="20"/>
              </w:rPr>
            </w:pPr>
            <w:r w:rsidRPr="00F9071C">
              <w:rPr>
                <w:sz w:val="20"/>
                <w:szCs w:val="20"/>
              </w:rPr>
              <w:t>-</w:t>
            </w:r>
          </w:p>
        </w:tc>
        <w:tc>
          <w:tcPr>
            <w:tcW w:w="874" w:type="dxa"/>
            <w:tcBorders>
              <w:top w:val="nil"/>
              <w:bottom w:val="nil"/>
            </w:tcBorders>
            <w:vAlign w:val="center"/>
          </w:tcPr>
          <w:p w14:paraId="0ACECD73" w14:textId="62B74089" w:rsidR="00F9071C" w:rsidRPr="00F9071C" w:rsidRDefault="00F9071C" w:rsidP="00D20A1E">
            <w:pPr>
              <w:keepNext/>
              <w:keepLines/>
              <w:widowControl/>
              <w:spacing w:before="40" w:after="40"/>
              <w:jc w:val="center"/>
              <w:rPr>
                <w:sz w:val="20"/>
                <w:szCs w:val="20"/>
              </w:rPr>
            </w:pPr>
            <w:r w:rsidRPr="00F9071C">
              <w:rPr>
                <w:sz w:val="20"/>
                <w:szCs w:val="20"/>
              </w:rPr>
              <w:t>-</w:t>
            </w:r>
          </w:p>
        </w:tc>
        <w:tc>
          <w:tcPr>
            <w:tcW w:w="873" w:type="dxa"/>
            <w:tcBorders>
              <w:top w:val="nil"/>
              <w:bottom w:val="nil"/>
            </w:tcBorders>
            <w:vAlign w:val="center"/>
          </w:tcPr>
          <w:p w14:paraId="3AAC6016" w14:textId="2B33B04C" w:rsidR="00F9071C" w:rsidRPr="00F9071C" w:rsidRDefault="00F9071C" w:rsidP="00D20A1E">
            <w:pPr>
              <w:keepNext/>
              <w:keepLines/>
              <w:widowControl/>
              <w:spacing w:before="40" w:after="40"/>
              <w:jc w:val="center"/>
              <w:rPr>
                <w:sz w:val="20"/>
                <w:szCs w:val="20"/>
              </w:rPr>
            </w:pPr>
            <w:r w:rsidRPr="00F9071C">
              <w:rPr>
                <w:sz w:val="20"/>
                <w:szCs w:val="20"/>
              </w:rPr>
              <w:t>-</w:t>
            </w:r>
          </w:p>
        </w:tc>
        <w:tc>
          <w:tcPr>
            <w:tcW w:w="874" w:type="dxa"/>
            <w:tcBorders>
              <w:top w:val="nil"/>
              <w:bottom w:val="nil"/>
            </w:tcBorders>
            <w:vAlign w:val="center"/>
          </w:tcPr>
          <w:p w14:paraId="01EF0563" w14:textId="4AAE68D9" w:rsidR="00F9071C" w:rsidRPr="00F9071C" w:rsidRDefault="00F9071C" w:rsidP="00D20A1E">
            <w:pPr>
              <w:keepNext/>
              <w:keepLines/>
              <w:widowControl/>
              <w:spacing w:before="40" w:after="40"/>
              <w:jc w:val="center"/>
              <w:rPr>
                <w:sz w:val="20"/>
                <w:szCs w:val="20"/>
              </w:rPr>
            </w:pPr>
            <w:r w:rsidRPr="00F9071C">
              <w:rPr>
                <w:sz w:val="20"/>
                <w:szCs w:val="20"/>
              </w:rPr>
              <w:t>-</w:t>
            </w:r>
          </w:p>
        </w:tc>
      </w:tr>
      <w:tr w:rsidR="00F9071C" w14:paraId="372C8593" w14:textId="77777777" w:rsidTr="00F9071C">
        <w:tc>
          <w:tcPr>
            <w:tcW w:w="2093" w:type="dxa"/>
            <w:tcBorders>
              <w:top w:val="nil"/>
            </w:tcBorders>
            <w:vAlign w:val="center"/>
          </w:tcPr>
          <w:p w14:paraId="406DEF4E" w14:textId="594C3A1A" w:rsidR="00F9071C" w:rsidRPr="00F9071C" w:rsidRDefault="00F9071C" w:rsidP="00D20A1E">
            <w:pPr>
              <w:keepNext/>
              <w:keepLines/>
              <w:widowControl/>
              <w:spacing w:before="40" w:after="40"/>
              <w:rPr>
                <w:sz w:val="20"/>
                <w:szCs w:val="20"/>
              </w:rPr>
            </w:pPr>
            <w:r w:rsidRPr="00F9071C">
              <w:rPr>
                <w:sz w:val="20"/>
                <w:szCs w:val="20"/>
              </w:rPr>
              <w:t>Folic acid</w:t>
            </w:r>
          </w:p>
        </w:tc>
        <w:tc>
          <w:tcPr>
            <w:tcW w:w="873" w:type="dxa"/>
            <w:tcBorders>
              <w:top w:val="nil"/>
            </w:tcBorders>
            <w:vAlign w:val="center"/>
          </w:tcPr>
          <w:p w14:paraId="54824DAA" w14:textId="5C5DD7CD" w:rsidR="00F9071C" w:rsidRPr="00F9071C" w:rsidRDefault="00F9071C" w:rsidP="00D20A1E">
            <w:pPr>
              <w:keepNext/>
              <w:keepLines/>
              <w:widowControl/>
              <w:tabs>
                <w:tab w:val="decimal" w:pos="317"/>
              </w:tabs>
              <w:spacing w:before="40" w:after="40"/>
              <w:rPr>
                <w:sz w:val="20"/>
                <w:szCs w:val="20"/>
              </w:rPr>
            </w:pPr>
            <w:r w:rsidRPr="00F9071C">
              <w:rPr>
                <w:sz w:val="20"/>
                <w:szCs w:val="20"/>
              </w:rPr>
              <w:t>3.6</w:t>
            </w:r>
          </w:p>
        </w:tc>
        <w:tc>
          <w:tcPr>
            <w:tcW w:w="873" w:type="dxa"/>
            <w:tcBorders>
              <w:top w:val="nil"/>
            </w:tcBorders>
            <w:vAlign w:val="center"/>
          </w:tcPr>
          <w:p w14:paraId="25EA53CB" w14:textId="2E69BB66" w:rsidR="00F9071C" w:rsidRPr="00F9071C" w:rsidRDefault="00F9071C" w:rsidP="00D20A1E">
            <w:pPr>
              <w:keepNext/>
              <w:keepLines/>
              <w:widowControl/>
              <w:tabs>
                <w:tab w:val="decimal" w:pos="317"/>
              </w:tabs>
              <w:spacing w:before="40" w:after="40"/>
              <w:rPr>
                <w:sz w:val="20"/>
                <w:szCs w:val="20"/>
              </w:rPr>
            </w:pPr>
            <w:r w:rsidRPr="00F9071C">
              <w:rPr>
                <w:sz w:val="20"/>
                <w:szCs w:val="20"/>
              </w:rPr>
              <w:t>2.3</w:t>
            </w:r>
          </w:p>
        </w:tc>
        <w:tc>
          <w:tcPr>
            <w:tcW w:w="874" w:type="dxa"/>
            <w:tcBorders>
              <w:top w:val="nil"/>
            </w:tcBorders>
            <w:vAlign w:val="center"/>
          </w:tcPr>
          <w:p w14:paraId="299D4ED7" w14:textId="172CC3F1" w:rsidR="00F9071C" w:rsidRPr="00F9071C" w:rsidRDefault="00F9071C" w:rsidP="00D20A1E">
            <w:pPr>
              <w:keepNext/>
              <w:keepLines/>
              <w:widowControl/>
              <w:spacing w:before="40" w:after="40"/>
              <w:jc w:val="center"/>
              <w:rPr>
                <w:sz w:val="20"/>
                <w:szCs w:val="20"/>
              </w:rPr>
            </w:pPr>
            <w:r w:rsidRPr="00F9071C">
              <w:rPr>
                <w:sz w:val="20"/>
                <w:szCs w:val="20"/>
              </w:rPr>
              <w:t>3.6</w:t>
            </w:r>
          </w:p>
        </w:tc>
        <w:tc>
          <w:tcPr>
            <w:tcW w:w="873" w:type="dxa"/>
            <w:tcBorders>
              <w:top w:val="nil"/>
            </w:tcBorders>
            <w:vAlign w:val="center"/>
          </w:tcPr>
          <w:p w14:paraId="12E65B82" w14:textId="29470E73" w:rsidR="00F9071C" w:rsidRPr="00F9071C" w:rsidRDefault="00F9071C" w:rsidP="00D20A1E">
            <w:pPr>
              <w:keepNext/>
              <w:keepLines/>
              <w:widowControl/>
              <w:spacing w:before="40" w:after="40"/>
              <w:jc w:val="center"/>
              <w:rPr>
                <w:sz w:val="20"/>
                <w:szCs w:val="20"/>
              </w:rPr>
            </w:pPr>
            <w:r w:rsidRPr="00F9071C">
              <w:rPr>
                <w:sz w:val="20"/>
                <w:szCs w:val="20"/>
              </w:rPr>
              <w:t>2.0</w:t>
            </w:r>
          </w:p>
        </w:tc>
        <w:tc>
          <w:tcPr>
            <w:tcW w:w="873" w:type="dxa"/>
            <w:tcBorders>
              <w:top w:val="nil"/>
            </w:tcBorders>
            <w:vAlign w:val="center"/>
          </w:tcPr>
          <w:p w14:paraId="2A51560E" w14:textId="2B65C0AE" w:rsidR="00F9071C" w:rsidRPr="00F9071C" w:rsidRDefault="00F9071C" w:rsidP="00D20A1E">
            <w:pPr>
              <w:keepNext/>
              <w:keepLines/>
              <w:widowControl/>
              <w:spacing w:before="40" w:after="40"/>
              <w:jc w:val="center"/>
              <w:rPr>
                <w:sz w:val="20"/>
                <w:szCs w:val="20"/>
              </w:rPr>
            </w:pPr>
            <w:r w:rsidRPr="00F9071C">
              <w:rPr>
                <w:sz w:val="20"/>
                <w:szCs w:val="20"/>
              </w:rPr>
              <w:t>0.7</w:t>
            </w:r>
          </w:p>
        </w:tc>
        <w:tc>
          <w:tcPr>
            <w:tcW w:w="874" w:type="dxa"/>
            <w:tcBorders>
              <w:top w:val="nil"/>
            </w:tcBorders>
            <w:vAlign w:val="center"/>
          </w:tcPr>
          <w:p w14:paraId="0D5F2A09" w14:textId="260215D0" w:rsidR="00F9071C" w:rsidRPr="00F9071C" w:rsidRDefault="00F9071C" w:rsidP="00D20A1E">
            <w:pPr>
              <w:keepNext/>
              <w:keepLines/>
              <w:widowControl/>
              <w:spacing w:before="40" w:after="40"/>
              <w:jc w:val="center"/>
              <w:rPr>
                <w:sz w:val="20"/>
                <w:szCs w:val="20"/>
              </w:rPr>
            </w:pPr>
            <w:r w:rsidRPr="00F9071C">
              <w:rPr>
                <w:sz w:val="20"/>
                <w:szCs w:val="20"/>
              </w:rPr>
              <w:t>0.1</w:t>
            </w:r>
          </w:p>
        </w:tc>
        <w:tc>
          <w:tcPr>
            <w:tcW w:w="873" w:type="dxa"/>
            <w:tcBorders>
              <w:top w:val="nil"/>
            </w:tcBorders>
            <w:vAlign w:val="center"/>
          </w:tcPr>
          <w:p w14:paraId="16DC51AC" w14:textId="799D9BAA" w:rsidR="00F9071C" w:rsidRPr="00F9071C" w:rsidRDefault="00F9071C" w:rsidP="00D20A1E">
            <w:pPr>
              <w:keepNext/>
              <w:keepLines/>
              <w:widowControl/>
              <w:spacing w:before="40" w:after="40"/>
              <w:jc w:val="center"/>
              <w:rPr>
                <w:sz w:val="20"/>
                <w:szCs w:val="20"/>
              </w:rPr>
            </w:pPr>
            <w:r w:rsidRPr="00F9071C">
              <w:rPr>
                <w:sz w:val="20"/>
                <w:szCs w:val="20"/>
              </w:rPr>
              <w:t>0.1</w:t>
            </w:r>
          </w:p>
        </w:tc>
        <w:tc>
          <w:tcPr>
            <w:tcW w:w="874" w:type="dxa"/>
            <w:tcBorders>
              <w:top w:val="nil"/>
            </w:tcBorders>
            <w:vAlign w:val="center"/>
          </w:tcPr>
          <w:p w14:paraId="1D35E204" w14:textId="390BA3B4" w:rsidR="00F9071C" w:rsidRPr="00F9071C" w:rsidRDefault="00F9071C" w:rsidP="00D20A1E">
            <w:pPr>
              <w:keepNext/>
              <w:keepLines/>
              <w:widowControl/>
              <w:spacing w:before="40" w:after="40"/>
              <w:jc w:val="center"/>
              <w:rPr>
                <w:sz w:val="20"/>
                <w:szCs w:val="20"/>
              </w:rPr>
            </w:pPr>
            <w:r w:rsidRPr="00F9071C">
              <w:rPr>
                <w:sz w:val="20"/>
                <w:szCs w:val="20"/>
              </w:rPr>
              <w:t>-</w:t>
            </w:r>
          </w:p>
        </w:tc>
      </w:tr>
    </w:tbl>
    <w:p w14:paraId="5E431F1B" w14:textId="4E8037B1" w:rsidR="00A85760" w:rsidRPr="007B078B" w:rsidRDefault="00A85760" w:rsidP="00D20A1E">
      <w:pPr>
        <w:keepNext/>
        <w:keepLines/>
        <w:widowControl/>
        <w:rPr>
          <w:sz w:val="18"/>
          <w:szCs w:val="18"/>
        </w:rPr>
      </w:pPr>
      <w:r w:rsidRPr="007B078B">
        <w:rPr>
          <w:sz w:val="18"/>
          <w:szCs w:val="18"/>
        </w:rPr>
        <w:t>-</w:t>
      </w:r>
      <w:r w:rsidR="007B078B">
        <w:rPr>
          <w:sz w:val="18"/>
          <w:szCs w:val="18"/>
        </w:rPr>
        <w:tab/>
      </w:r>
      <w:r w:rsidRPr="007B078B">
        <w:rPr>
          <w:sz w:val="18"/>
          <w:szCs w:val="18"/>
        </w:rPr>
        <w:t>nil or rounded to zero</w:t>
      </w:r>
    </w:p>
    <w:p w14:paraId="4CB205BA" w14:textId="3B321A38" w:rsidR="000319E4" w:rsidRPr="005A22C2" w:rsidRDefault="00D24122" w:rsidP="00D20A1E">
      <w:pPr>
        <w:widowControl/>
      </w:pPr>
      <w:r>
        <w:rPr>
          <w:sz w:val="20"/>
          <w:szCs w:val="20"/>
          <w:vertAlign w:val="superscript"/>
        </w:rPr>
        <w:sym w:font="Wingdings 3" w:char="F087"/>
      </w:r>
      <w:r w:rsidR="007B078B">
        <w:rPr>
          <w:sz w:val="18"/>
          <w:szCs w:val="18"/>
        </w:rPr>
        <w:tab/>
      </w:r>
      <w:r w:rsidR="00A85760" w:rsidRPr="007B078B">
        <w:rPr>
          <w:sz w:val="18"/>
          <w:szCs w:val="18"/>
        </w:rPr>
        <w:t>proportion has a margin of error &gt;10 percentage points</w:t>
      </w:r>
      <w:bookmarkStart w:id="173" w:name="_Toc108318482"/>
      <w:bookmarkStart w:id="174" w:name="_Toc108334633"/>
      <w:bookmarkStart w:id="175" w:name="_Toc117578545"/>
      <w:bookmarkStart w:id="176" w:name="_Toc117579254"/>
      <w:bookmarkStart w:id="177" w:name="_Toc117581580"/>
      <w:bookmarkStart w:id="178" w:name="_Toc118025015"/>
      <w:bookmarkStart w:id="179" w:name="_Toc118173631"/>
      <w:bookmarkStart w:id="180" w:name="_Toc118181178"/>
      <w:bookmarkStart w:id="181" w:name="_Toc118524395"/>
    </w:p>
    <w:p w14:paraId="40124853" w14:textId="43CC0684" w:rsidR="00FA41E0" w:rsidRDefault="00AF4FCB" w:rsidP="00D20A1E">
      <w:pPr>
        <w:pStyle w:val="Heading1"/>
        <w:widowControl/>
      </w:pPr>
      <w:bookmarkStart w:id="182" w:name="_Ref426443213"/>
      <w:bookmarkStart w:id="183" w:name="_Ref426443223"/>
      <w:bookmarkStart w:id="184" w:name="_Toc427672195"/>
      <w:bookmarkStart w:id="185" w:name="_Toc427678261"/>
      <w:r>
        <w:t>10</w:t>
      </w:r>
      <w:r>
        <w:tab/>
      </w:r>
      <w:r w:rsidR="00420A7C">
        <w:t>How would consumers perceive fortified nut- and seed-based beverages</w:t>
      </w:r>
      <w:r w:rsidR="00FA41E0">
        <w:t>?</w:t>
      </w:r>
      <w:bookmarkEnd w:id="182"/>
      <w:bookmarkEnd w:id="183"/>
      <w:bookmarkEnd w:id="184"/>
      <w:bookmarkEnd w:id="185"/>
    </w:p>
    <w:p w14:paraId="186D6F12" w14:textId="77777777" w:rsidR="00FA41E0" w:rsidRDefault="00FA41E0" w:rsidP="00D20A1E">
      <w:pPr>
        <w:keepNext/>
        <w:keepLines/>
        <w:widowControl/>
      </w:pPr>
      <w:bookmarkStart w:id="186" w:name="_Ref421003394"/>
      <w:bookmarkStart w:id="187" w:name="_Ref421003404"/>
      <w:r>
        <w:t>The literature search did not locate information on the effect of fortification on consumer perceptions of nut- and seed-based beverages. However, Australian research in 2002 into consumer perceptions of the nutritional quality of unfortified soy-based beverages suggests that fortification of nut- and seed-based beverages may lift the nutritional profile of these beverages closer to consumer assumptions around their nutritional value. In the two consumer studies outlined below, Australian consumers appeared to have misperceptions that unfortified soy-based beverages were a good source of fibre, iron, and vitamin C, and health benefits that were similar to, if not better than, cow’s milk.</w:t>
      </w:r>
    </w:p>
    <w:p w14:paraId="394AD3FD" w14:textId="77777777" w:rsidR="00FA41E0" w:rsidRDefault="00FA41E0" w:rsidP="00D20A1E">
      <w:pPr>
        <w:widowControl/>
      </w:pPr>
    </w:p>
    <w:p w14:paraId="06B37192" w14:textId="77777777" w:rsidR="00FA41E0" w:rsidRDefault="00FA41E0" w:rsidP="00D20A1E">
      <w:pPr>
        <w:widowControl/>
      </w:pPr>
      <w:r>
        <w:t>A 2002 study of 361 Queensland shoppers asked a subset of respondents for their views on soy milk (soy-based beverage)</w:t>
      </w:r>
      <w:r w:rsidRPr="002A284C">
        <w:t xml:space="preserve"> </w:t>
      </w:r>
      <w:r>
        <w:t>(Bus &amp; Worsley 2003b). Because respondents were asked for their views on only one of whole milk, reduced-fat milk, or soy-based beverage, and not all three types, this is a between-subjects design. Compared to the other two milks, a significantly greater percentage of respondents answering about soy-based beverage thought it:</w:t>
      </w:r>
    </w:p>
    <w:p w14:paraId="2D18ADA8" w14:textId="77777777" w:rsidR="00FA41E0" w:rsidRDefault="00FA41E0" w:rsidP="00D20A1E">
      <w:pPr>
        <w:widowControl/>
      </w:pPr>
    </w:p>
    <w:p w14:paraId="26CAC1AD" w14:textId="77777777" w:rsidR="00FA41E0" w:rsidRDefault="00FA41E0" w:rsidP="00D20A1E">
      <w:pPr>
        <w:pStyle w:val="FSBullet1"/>
      </w:pPr>
      <w:r>
        <w:t>was a good source of fibre (33% agreed and 53% ‘didn’t know’; soy-based beverage is not a good source of fibre)</w:t>
      </w:r>
    </w:p>
    <w:p w14:paraId="4B74D3CD" w14:textId="6F5B51F2" w:rsidR="00FA41E0" w:rsidRDefault="00FA41E0" w:rsidP="00D20A1E">
      <w:pPr>
        <w:pStyle w:val="FSBullet1"/>
      </w:pPr>
      <w:r>
        <w:t>contains phyto-oestrogens (35% agreed and 61% ‘didn’t know’; soy-based beverage contains phyto-oestrogens)</w:t>
      </w:r>
      <w:r w:rsidR="00874E24">
        <w:t>.</w:t>
      </w:r>
    </w:p>
    <w:p w14:paraId="5BEE4406" w14:textId="77777777" w:rsidR="00FA41E0" w:rsidRDefault="00FA41E0" w:rsidP="00D20A1E">
      <w:pPr>
        <w:widowControl/>
      </w:pPr>
    </w:p>
    <w:p w14:paraId="5EB4913D" w14:textId="77777777" w:rsidR="00FA41E0" w:rsidRDefault="00FA41E0" w:rsidP="00D20A1E">
      <w:pPr>
        <w:widowControl/>
      </w:pPr>
      <w:r>
        <w:t>While not significantly different to beliefs about the other two milks, some results indicated that respondents may have an overly positive view about the nutritional quality of soy-based beverage in some areas (Bus &amp; Worsley 2003b). Of the respondents who were asked about soy-based beverage, the most commonly held beliefs were:</w:t>
      </w:r>
    </w:p>
    <w:p w14:paraId="5034C30D" w14:textId="77777777" w:rsidR="00FA41E0" w:rsidRDefault="00FA41E0" w:rsidP="00D20A1E">
      <w:pPr>
        <w:widowControl/>
      </w:pPr>
    </w:p>
    <w:p w14:paraId="132BA729" w14:textId="77777777" w:rsidR="00FA41E0" w:rsidRDefault="00FA41E0" w:rsidP="00D20A1E">
      <w:pPr>
        <w:pStyle w:val="FSBullet1"/>
      </w:pPr>
      <w:r>
        <w:t>77% agreed soy-based beverage was a good source of vitamins (incorrect at time of study)</w:t>
      </w:r>
    </w:p>
    <w:p w14:paraId="0CB896C8" w14:textId="77777777" w:rsidR="00FA41E0" w:rsidRDefault="00FA41E0" w:rsidP="00D20A1E">
      <w:pPr>
        <w:pStyle w:val="FSBullet1"/>
      </w:pPr>
      <w:r>
        <w:t>78% agreed soy-based beverage was a good source of calcium (incorrect at time of study)</w:t>
      </w:r>
    </w:p>
    <w:p w14:paraId="207D23B1" w14:textId="7F63E8C4" w:rsidR="0023423F" w:rsidRDefault="00FA41E0" w:rsidP="00D20A1E">
      <w:pPr>
        <w:pStyle w:val="FSBullet1"/>
      </w:pPr>
      <w:r>
        <w:t>71% agreed soy-based beverage was a good source of protein (correct).</w:t>
      </w:r>
      <w:r w:rsidR="0023423F">
        <w:br w:type="page"/>
      </w:r>
    </w:p>
    <w:p w14:paraId="4DEC28F9" w14:textId="77777777" w:rsidR="00FA41E0" w:rsidRDefault="00FA41E0" w:rsidP="00D20A1E">
      <w:pPr>
        <w:widowControl/>
      </w:pPr>
      <w:r>
        <w:lastRenderedPageBreak/>
        <w:t>A relatively large subsample of respondents who were asked about soy-based beverage had incorrect views about other nutrients (Bus &amp; Worsley 2003b)</w:t>
      </w:r>
      <w:r>
        <w:fldChar w:fldCharType="begin" w:fldLock="1"/>
      </w:r>
      <w:r>
        <w:instrText>ADDIN CSL_CITATION { "citationItems" : [ { "id" : "ITEM-1", "itemData" : { "ISSN" : "0195-6663", "abstract" : "A survey was conducted among 345 randomly selected shoppers in Melbourne, Australia, to identify their perceptions of the healthiness of whole milk, reduced fat milk and soy milk and to investigate demographic influences on health perceptions and types of milk consumption. The survey revealed major differences in shoppers' perceptions of the three types of milk along the themes of bone health, weight control, disease prevention, and, allergy and disease causation. Generally whole milk was perceived more negatively than soy or reduced fat milk. There were few demographic differences in the shoppers' perceptions of the three products. Reported consumption of reduced fat milk was more frequent among women and elderly people, and whole milk consumption was positively related to parenthood. The findings suggest that previous marketing and education campaigns have been effective but the widespread uncertainty and erroneous beliefs about milk products suggest that many consumers have not assimilated new findings about milk products. This represents a challenge for industry and public health practitioners.", "author" : [ { "dropping-particle" : "", "family" : "Bus", "given" : "A E M", "non-dropping-particle" : "", "parse-names" : false, "suffix" : "" }, { "dropping-particle" : "", "family" : "Worsley", "given" : "A", "non-dropping-particle" : "", "parse-names" : false, "suffix" : "" } ], "container-title" : "Appetite", "id" : "ITEM-1", "issued" : { "date-parts" : [ [ "2003", "1", "1" ] ] }, "note" : "Accession Number: S0195666303000047; Author: Bus, A.E M. (a, b); Author: Worsley, A. (a, \u2217); Affiliation: School of Health Sciences, Deakin University, 221 Burwood Highway, Burwood, Vic. 3125, Australia; Affiliation: Division of Human Nutrition and Epidemiology, Wageningen University, Dreyenlaan 1, 6703 HA Wageningen, The Netherlands; Number of Pages: 8; Language: English;", "page" : "93-100", "publisher" : "Elsevier Ltd", "title" : "Research Report: Consumers' health perceptions of three types of milk: a survey in Australia", "type" : "article-journal", "volume" : "40" }, "uris" : [ "http://www.mendeley.com/documents/?uuid=8e74e8e2-5415-4a43-ac9a-7dd7a5aec834" ] } ], "mendeley" : { "formattedCitation" : "(Bus &amp; Worsley 2003b)", "plainTextFormattedCitation" : "(Bus &amp; Worsley 2003b)", "previouslyFormattedCitation" : "(Bus &amp; Worsley 2003b)" }, "properties" : { "noteIndex" : 0 }, "schema" : "https://github.com/citation-style-language/schema/raw/master/csl-citation.json" }</w:instrText>
      </w:r>
      <w:r>
        <w:fldChar w:fldCharType="end"/>
      </w:r>
      <w:r>
        <w:t>:</w:t>
      </w:r>
    </w:p>
    <w:p w14:paraId="77ECACE6" w14:textId="77777777" w:rsidR="00FA41E0" w:rsidRDefault="00FA41E0" w:rsidP="00D20A1E">
      <w:pPr>
        <w:widowControl/>
      </w:pPr>
    </w:p>
    <w:p w14:paraId="4DB1E898" w14:textId="77777777" w:rsidR="00FA41E0" w:rsidRDefault="00FA41E0" w:rsidP="00D20A1E">
      <w:pPr>
        <w:pStyle w:val="FSBullet1"/>
      </w:pPr>
      <w:r>
        <w:t>35% agreed that a soy-based beverage was a good source of iron (incorrect at time of study, similar misperception for both cow’s milks) and 58% ‘didn’t know’</w:t>
      </w:r>
    </w:p>
    <w:p w14:paraId="3D34DE6B" w14:textId="11A77A37" w:rsidR="00FA41E0" w:rsidRDefault="00FA41E0" w:rsidP="00D20A1E">
      <w:pPr>
        <w:pStyle w:val="FSBullet1"/>
      </w:pPr>
      <w:r>
        <w:t>21% agreed that a soy-based beverage was a good source of vitamin C (incorrect at time of study, similar misperception for both cow’s milks) and 66% ‘didn’t know’</w:t>
      </w:r>
      <w:r w:rsidR="00874E24">
        <w:t>.</w:t>
      </w:r>
    </w:p>
    <w:p w14:paraId="3045887D" w14:textId="77777777" w:rsidR="00FA41E0" w:rsidRDefault="00FA41E0" w:rsidP="00D20A1E">
      <w:pPr>
        <w:widowControl/>
      </w:pPr>
    </w:p>
    <w:p w14:paraId="7691E02D" w14:textId="77777777" w:rsidR="00FA41E0" w:rsidRDefault="00FA41E0" w:rsidP="00D20A1E">
      <w:pPr>
        <w:widowControl/>
      </w:pPr>
      <w:r>
        <w:t>These 2002 results suggest that a reasonably large proportion of Australian shoppers held overly positive views of soy-based beverages. In addition, a soy-based beverage was viewed as ‘natural’ by 78% of respondents asked about soy-based beverage, compared to the 86% who viewed whole milk as natural and the 58% who believed reduced-fat milk was natural,</w:t>
      </w:r>
      <w:r>
        <w:rPr>
          <w:rStyle w:val="FootnoteReference"/>
        </w:rPr>
        <w:footnoteReference w:id="13"/>
      </w:r>
      <w:r>
        <w:t xml:space="preserve"> another statistically significant result (Bus &amp; Worsley 2003b).</w:t>
      </w:r>
    </w:p>
    <w:p w14:paraId="55520419" w14:textId="77777777" w:rsidR="00FA41E0" w:rsidRDefault="00FA41E0" w:rsidP="00D20A1E">
      <w:pPr>
        <w:widowControl/>
      </w:pPr>
    </w:p>
    <w:p w14:paraId="4674268C" w14:textId="77777777" w:rsidR="00FA41E0" w:rsidRDefault="00FA41E0" w:rsidP="00D20A1E">
      <w:pPr>
        <w:widowControl/>
      </w:pPr>
      <w:r>
        <w:t>In a related 2002 study of Melbourne shoppers, the same authors looked at consumer health perceptions of the three different kinds of milk/ milk substitute (Bus &amp; Worsley 2003a). Again, respondents were asked for their views on only one of whole milk, reduced-fat milk, or soy milk (soy-based beverage), and not all three types. There were statistically significant differences in health perceptions between the milks/milk substitute, with consumers tending to provide very positive assessments of soy-based beverage compared to cow’s milk. Overall, a soy-based beverage was perceived to be least likely to cause serious diseases</w:t>
      </w:r>
      <w:r>
        <w:rPr>
          <w:rStyle w:val="FootnoteReference"/>
        </w:rPr>
        <w:footnoteReference w:id="14"/>
      </w:r>
      <w:r>
        <w:t xml:space="preserve"> and allergies</w:t>
      </w:r>
      <w:r>
        <w:rPr>
          <w:rStyle w:val="FootnoteReference"/>
        </w:rPr>
        <w:footnoteReference w:id="15"/>
      </w:r>
      <w:r>
        <w:t xml:space="preserve"> and better than dairy milks to help prevent disease.</w:t>
      </w:r>
      <w:r>
        <w:rPr>
          <w:rStyle w:val="FootnoteReference"/>
        </w:rPr>
        <w:footnoteReference w:id="16"/>
      </w:r>
      <w:r>
        <w:t xml:space="preserve"> Additionally, a soy-based beverage was believed to have “strong bones” and anti-osteoporosis effects equivalent to those associated with dairy milk. With respect to healthiness, a soy-based beverage was viewed as significantly healthier than whole milk (88% compared to 68%, respectively), and similar to reduced fat milk (87%). There was no effect of sex, age, or education level on the results with respect to the soy-based beverage results.</w:t>
      </w:r>
    </w:p>
    <w:p w14:paraId="249B7885" w14:textId="18C977A4" w:rsidR="006B2784" w:rsidRPr="00357D32" w:rsidRDefault="00AF4FCB" w:rsidP="00D20A1E">
      <w:pPr>
        <w:pStyle w:val="Heading1"/>
        <w:widowControl/>
      </w:pPr>
      <w:bookmarkStart w:id="188" w:name="_Toc427672196"/>
      <w:bookmarkStart w:id="189" w:name="_Toc427678262"/>
      <w:bookmarkEnd w:id="186"/>
      <w:bookmarkEnd w:id="187"/>
      <w:r>
        <w:t>11</w:t>
      </w:r>
      <w:r>
        <w:tab/>
      </w:r>
      <w:r w:rsidR="006B2784" w:rsidRPr="00357D32">
        <w:t>Conclusion</w:t>
      </w:r>
      <w:bookmarkEnd w:id="173"/>
      <w:bookmarkEnd w:id="174"/>
      <w:bookmarkEnd w:id="175"/>
      <w:bookmarkEnd w:id="176"/>
      <w:bookmarkEnd w:id="177"/>
      <w:bookmarkEnd w:id="178"/>
      <w:bookmarkEnd w:id="179"/>
      <w:bookmarkEnd w:id="180"/>
      <w:bookmarkEnd w:id="181"/>
      <w:r w:rsidR="006B2784" w:rsidRPr="00357D32">
        <w:t>s</w:t>
      </w:r>
      <w:r w:rsidR="00F8026D">
        <w:t xml:space="preserve"> of the risk and technical assessment</w:t>
      </w:r>
      <w:bookmarkEnd w:id="188"/>
      <w:bookmarkEnd w:id="189"/>
    </w:p>
    <w:p w14:paraId="33996882" w14:textId="36542B57" w:rsidR="00DE620A" w:rsidRDefault="006C2FB7" w:rsidP="00D20A1E">
      <w:pPr>
        <w:widowControl/>
      </w:pPr>
      <w:r>
        <w:t xml:space="preserve">Nut- </w:t>
      </w:r>
      <w:r w:rsidR="00DE620A">
        <w:t>and seed-based beverages are relatively new to the Australian and New Zealand markets and</w:t>
      </w:r>
      <w:r w:rsidR="00DE620A" w:rsidRPr="00664749">
        <w:t xml:space="preserve"> </w:t>
      </w:r>
      <w:r w:rsidR="00DE620A">
        <w:t xml:space="preserve">there has been steady growth in the </w:t>
      </w:r>
      <w:r>
        <w:t xml:space="preserve">nut- </w:t>
      </w:r>
      <w:r w:rsidR="00DE620A">
        <w:t>and seed-based beverage market over the past few years.</w:t>
      </w:r>
    </w:p>
    <w:p w14:paraId="1F4B1D11" w14:textId="77777777" w:rsidR="00DE620A" w:rsidRDefault="00DE620A" w:rsidP="00D20A1E">
      <w:pPr>
        <w:widowControl/>
      </w:pPr>
    </w:p>
    <w:p w14:paraId="2B6A3620" w14:textId="16C0A51F" w:rsidR="0023423F" w:rsidRDefault="00915A9B" w:rsidP="00D20A1E">
      <w:pPr>
        <w:widowControl/>
      </w:pPr>
      <w:r>
        <w:t xml:space="preserve">In general, the concentrations of vitamins and minerals requested to be permitted for voluntary fortification of </w:t>
      </w:r>
      <w:r w:rsidR="006C2FB7">
        <w:t xml:space="preserve">nut- </w:t>
      </w:r>
      <w:r>
        <w:t xml:space="preserve">and seed-based beverages are similar to the concentrations that are present naturally in </w:t>
      </w:r>
      <w:r w:rsidR="00FD45DB">
        <w:t xml:space="preserve">full cream </w:t>
      </w:r>
      <w:r w:rsidR="00FA56B6">
        <w:t>cow’s</w:t>
      </w:r>
      <w:r>
        <w:t xml:space="preserve"> milk. Thiamin is lower in </w:t>
      </w:r>
      <w:r w:rsidR="00436599">
        <w:t xml:space="preserve">full cream </w:t>
      </w:r>
      <w:r w:rsidR="00FA56B6">
        <w:t>cow’s</w:t>
      </w:r>
      <w:r>
        <w:t xml:space="preserve"> milk and folate and iodine are higher in </w:t>
      </w:r>
      <w:r w:rsidR="00436599">
        <w:t xml:space="preserve">full cream </w:t>
      </w:r>
      <w:r w:rsidR="00FA56B6">
        <w:t>cow’s</w:t>
      </w:r>
      <w:r>
        <w:t xml:space="preserve"> milk compared to the requested permissions for </w:t>
      </w:r>
      <w:r w:rsidR="006C2FB7">
        <w:t xml:space="preserve">nut- </w:t>
      </w:r>
      <w:r>
        <w:t>and seed-based beverages.</w:t>
      </w:r>
      <w:r w:rsidR="00DE620A">
        <w:t xml:space="preserve"> </w:t>
      </w:r>
      <w:r w:rsidR="00BA32A2" w:rsidRPr="00915A9B">
        <w:t xml:space="preserve">The energy content of </w:t>
      </w:r>
      <w:r w:rsidR="006C2FB7">
        <w:t xml:space="preserve">nut- </w:t>
      </w:r>
      <w:r w:rsidR="00BA32A2" w:rsidRPr="00915A9B">
        <w:t xml:space="preserve">and seed-based beverages is lower compared to </w:t>
      </w:r>
      <w:r w:rsidR="009B508A">
        <w:t>full cream milk</w:t>
      </w:r>
      <w:r w:rsidR="007749A7">
        <w:t xml:space="preserve"> and legume</w:t>
      </w:r>
      <w:r w:rsidR="00BA32A2" w:rsidRPr="00915A9B">
        <w:t xml:space="preserve"> and cereal-based beverages. The protein content of </w:t>
      </w:r>
      <w:r w:rsidR="006C2FB7">
        <w:t xml:space="preserve">nut- </w:t>
      </w:r>
      <w:r w:rsidR="00BA32A2" w:rsidRPr="00915A9B">
        <w:t xml:space="preserve">and seed-based beverages is comparable to cereal-based beverages, although lower than in milk and soy-based beverages. </w:t>
      </w:r>
      <w:r>
        <w:t xml:space="preserve">The Application does not seek to address the energy or protein differences between </w:t>
      </w:r>
      <w:r w:rsidR="006C2FB7">
        <w:t xml:space="preserve">nut- </w:t>
      </w:r>
      <w:r>
        <w:t xml:space="preserve">and seed-based beverages and </w:t>
      </w:r>
      <w:r w:rsidR="00FD45DB">
        <w:t>full cream</w:t>
      </w:r>
      <w:r>
        <w:t xml:space="preserve"> </w:t>
      </w:r>
      <w:r w:rsidR="00FA56B6">
        <w:t>cow’s</w:t>
      </w:r>
      <w:r>
        <w:t xml:space="preserve"> milk. </w:t>
      </w:r>
      <w:r w:rsidR="00BA32A2" w:rsidRPr="00915A9B">
        <w:t xml:space="preserve">Calcium is much lower in unfortified </w:t>
      </w:r>
      <w:r w:rsidR="006C2FB7">
        <w:t xml:space="preserve">nut- </w:t>
      </w:r>
      <w:r w:rsidR="00BA32A2" w:rsidRPr="00915A9B">
        <w:t>and seed-based beverages compared with milk.</w:t>
      </w:r>
      <w:r w:rsidR="0023423F">
        <w:br w:type="page"/>
      </w:r>
    </w:p>
    <w:p w14:paraId="544E9731" w14:textId="67EBAA8F" w:rsidR="00BA32A2" w:rsidRPr="00914112" w:rsidRDefault="00BA32A2" w:rsidP="00D20A1E">
      <w:pPr>
        <w:widowControl/>
      </w:pPr>
      <w:r w:rsidRPr="00914112">
        <w:rPr>
          <w:lang w:bidi="ar-SA"/>
        </w:rPr>
        <w:lastRenderedPageBreak/>
        <w:t xml:space="preserve">There is technology available commercially to fortify </w:t>
      </w:r>
      <w:r w:rsidR="006C2FB7" w:rsidRPr="00914112">
        <w:rPr>
          <w:lang w:bidi="ar-SA"/>
        </w:rPr>
        <w:t xml:space="preserve">nut- </w:t>
      </w:r>
      <w:r w:rsidRPr="00914112">
        <w:rPr>
          <w:lang w:bidi="ar-SA"/>
        </w:rPr>
        <w:t>and seed-based beverages with vitamins and minerals in a similar manner to the fortification of soy-based beverages. The losses of these nutrients during processing and over the product’s shelf life are known</w:t>
      </w:r>
      <w:r w:rsidR="000F245F">
        <w:rPr>
          <w:lang w:bidi="ar-SA"/>
        </w:rPr>
        <w:t xml:space="preserve"> in </w:t>
      </w:r>
      <w:r w:rsidR="000F245F" w:rsidRPr="00DD3AC7">
        <w:t xml:space="preserve">other </w:t>
      </w:r>
      <w:r w:rsidR="00DD3AC7">
        <w:t xml:space="preserve">comparable </w:t>
      </w:r>
      <w:r w:rsidR="000F245F" w:rsidRPr="00DD3AC7">
        <w:t>plant</w:t>
      </w:r>
      <w:r w:rsidR="000F245F">
        <w:rPr>
          <w:lang w:bidi="ar-SA"/>
        </w:rPr>
        <w:t xml:space="preserve"> based products</w:t>
      </w:r>
      <w:r w:rsidRPr="00914112">
        <w:rPr>
          <w:lang w:bidi="ar-SA"/>
        </w:rPr>
        <w:t xml:space="preserve"> and appropriate strategies are used to ensure their levels reflect the NIP label statements.</w:t>
      </w:r>
    </w:p>
    <w:p w14:paraId="660B22BE" w14:textId="77777777" w:rsidR="00BA32A2" w:rsidRPr="00914112" w:rsidRDefault="00BA32A2" w:rsidP="00D20A1E">
      <w:pPr>
        <w:widowControl/>
      </w:pPr>
    </w:p>
    <w:p w14:paraId="06E0B8B0" w14:textId="559BDB49" w:rsidR="00BA32A2" w:rsidRDefault="00103A50" w:rsidP="00D20A1E">
      <w:pPr>
        <w:widowControl/>
      </w:pPr>
      <w:r w:rsidRPr="00914112">
        <w:t xml:space="preserve">There are unlikely to be any constituents present in </w:t>
      </w:r>
      <w:r w:rsidR="006C2FB7" w:rsidRPr="00914112">
        <w:t xml:space="preserve">nut- </w:t>
      </w:r>
      <w:r w:rsidRPr="00914112">
        <w:t xml:space="preserve">or seed-based beverages that will impact appreciably on the absorption of </w:t>
      </w:r>
      <w:r w:rsidR="00001936" w:rsidRPr="00914112">
        <w:t xml:space="preserve">the </w:t>
      </w:r>
      <w:r w:rsidRPr="00914112">
        <w:t xml:space="preserve">added vitamins and minerals. </w:t>
      </w:r>
      <w:r w:rsidR="00BA32A2" w:rsidRPr="00914112">
        <w:t xml:space="preserve">It is likely that up to 95% of anti-nutritional factors present in nuts and seeds will be removed during production of the </w:t>
      </w:r>
      <w:r w:rsidR="006C2FB7" w:rsidRPr="00914112">
        <w:t xml:space="preserve">nut- </w:t>
      </w:r>
      <w:r w:rsidR="00BA32A2" w:rsidRPr="00914112">
        <w:t>and seed-based beverages.</w:t>
      </w:r>
    </w:p>
    <w:p w14:paraId="36BF146A" w14:textId="38D4D76D" w:rsidR="00FD7A39" w:rsidRDefault="00FD7A39" w:rsidP="00D20A1E">
      <w:pPr>
        <w:widowControl/>
      </w:pPr>
    </w:p>
    <w:p w14:paraId="43B95A95" w14:textId="4AC1C62D" w:rsidR="00FD7A39" w:rsidRDefault="00FD7A39" w:rsidP="00D20A1E">
      <w:pPr>
        <w:widowControl/>
      </w:pPr>
      <w:r>
        <w:t xml:space="preserve">Recent national nutrition survey information shows that </w:t>
      </w:r>
      <w:r w:rsidR="006C2FB7">
        <w:t xml:space="preserve">nut- </w:t>
      </w:r>
      <w:r>
        <w:t>and cereal</w:t>
      </w:r>
      <w:r w:rsidR="00884A1E">
        <w:t>-</w:t>
      </w:r>
      <w:r>
        <w:t>based beverages are consumed in similar ways to milk</w:t>
      </w:r>
      <w:r w:rsidR="00D10630">
        <w:t>. A</w:t>
      </w:r>
      <w:r>
        <w:t>round 8</w:t>
      </w:r>
      <w:r w:rsidR="00A84570">
        <w:t>3</w:t>
      </w:r>
      <w:r>
        <w:t xml:space="preserve">% of eating occasions </w:t>
      </w:r>
      <w:r w:rsidR="00D10630">
        <w:t xml:space="preserve">of </w:t>
      </w:r>
      <w:r w:rsidR="006C2FB7">
        <w:t xml:space="preserve">nut- </w:t>
      </w:r>
      <w:r w:rsidR="00D10630">
        <w:t xml:space="preserve">and cereal-based beverages are </w:t>
      </w:r>
      <w:r>
        <w:t xml:space="preserve">from use with </w:t>
      </w:r>
      <w:r w:rsidR="00D10630">
        <w:t xml:space="preserve">breakfast </w:t>
      </w:r>
      <w:r>
        <w:t>cereal or in a beverage</w:t>
      </w:r>
      <w:r w:rsidR="00A84570">
        <w:t xml:space="preserve"> and</w:t>
      </w:r>
      <w:r w:rsidR="00D10630">
        <w:t>,</w:t>
      </w:r>
      <w:r w:rsidR="00A84570">
        <w:t xml:space="preserve"> to a lesser extent</w:t>
      </w:r>
      <w:r w:rsidR="00D10630">
        <w:t>,</w:t>
      </w:r>
      <w:r w:rsidR="00A84570">
        <w:t xml:space="preserve"> as a beverage in its own right.</w:t>
      </w:r>
    </w:p>
    <w:p w14:paraId="739C0819" w14:textId="77777777" w:rsidR="00FD7A39" w:rsidRDefault="00FD7A39" w:rsidP="00D20A1E">
      <w:pPr>
        <w:widowControl/>
      </w:pPr>
    </w:p>
    <w:p w14:paraId="301C692D" w14:textId="405B4D38" w:rsidR="006413B5" w:rsidRDefault="00733041" w:rsidP="00D20A1E">
      <w:pPr>
        <w:widowControl/>
        <w:rPr>
          <w:szCs w:val="20"/>
          <w:lang w:val="en-AU"/>
        </w:rPr>
      </w:pPr>
      <w:r>
        <w:rPr>
          <w:szCs w:val="20"/>
          <w:lang w:val="en-AU"/>
        </w:rPr>
        <w:t xml:space="preserve">A comparative analysis </w:t>
      </w:r>
      <w:r w:rsidR="00001936">
        <w:rPr>
          <w:szCs w:val="20"/>
          <w:lang w:val="en-AU"/>
        </w:rPr>
        <w:t xml:space="preserve">across </w:t>
      </w:r>
      <w:r>
        <w:rPr>
          <w:szCs w:val="20"/>
          <w:lang w:val="en-AU"/>
        </w:rPr>
        <w:t>all available national nutrition surveys indicates that m</w:t>
      </w:r>
      <w:r w:rsidR="00DE620A" w:rsidRPr="00FE5E7A">
        <w:rPr>
          <w:szCs w:val="20"/>
          <w:lang w:val="en-AU"/>
        </w:rPr>
        <w:t>ilk is a nutritious food and important contributor</w:t>
      </w:r>
      <w:r w:rsidR="00DE620A">
        <w:t xml:space="preserve"> (</w:t>
      </w:r>
      <w:r w:rsidR="00DE620A">
        <w:rPr>
          <w:rFonts w:cs="Arial"/>
        </w:rPr>
        <w:t>≥</w:t>
      </w:r>
      <w:r w:rsidR="00DE620A">
        <w:t xml:space="preserve">20%) </w:t>
      </w:r>
      <w:r w:rsidR="00DE620A" w:rsidRPr="00FE5E7A">
        <w:rPr>
          <w:szCs w:val="20"/>
          <w:lang w:val="en-AU"/>
        </w:rPr>
        <w:t>to the intakes</w:t>
      </w:r>
      <w:r w:rsidR="00DE620A">
        <w:rPr>
          <w:szCs w:val="20"/>
          <w:lang w:val="en-AU"/>
        </w:rPr>
        <w:t xml:space="preserve"> of</w:t>
      </w:r>
      <w:r w:rsidR="00DE620A" w:rsidRPr="00FE5E7A">
        <w:rPr>
          <w:szCs w:val="20"/>
          <w:lang w:val="en-AU"/>
        </w:rPr>
        <w:t xml:space="preserve"> many vitamins and minerals, particularly calcium, phosphorus, </w:t>
      </w:r>
      <w:r w:rsidR="00326E1B">
        <w:rPr>
          <w:szCs w:val="20"/>
          <w:lang w:val="en-AU"/>
        </w:rPr>
        <w:t>retinol equivalents</w:t>
      </w:r>
      <w:r w:rsidR="00DE620A" w:rsidRPr="00FE5E7A">
        <w:rPr>
          <w:szCs w:val="20"/>
          <w:lang w:val="en-AU"/>
        </w:rPr>
        <w:t>, riboflavin, vitamins B</w:t>
      </w:r>
      <w:r w:rsidR="00DE620A" w:rsidRPr="00FE5E7A">
        <w:rPr>
          <w:szCs w:val="20"/>
          <w:vertAlign w:val="subscript"/>
          <w:lang w:val="en-AU"/>
        </w:rPr>
        <w:t>6</w:t>
      </w:r>
      <w:r w:rsidR="00DE620A" w:rsidRPr="00FE5E7A">
        <w:rPr>
          <w:szCs w:val="20"/>
          <w:lang w:val="en-AU"/>
        </w:rPr>
        <w:t xml:space="preserve"> and B</w:t>
      </w:r>
      <w:r w:rsidR="00DE620A" w:rsidRPr="00FE5E7A">
        <w:rPr>
          <w:szCs w:val="20"/>
          <w:vertAlign w:val="subscript"/>
          <w:lang w:val="en-AU"/>
        </w:rPr>
        <w:t xml:space="preserve">12 </w:t>
      </w:r>
      <w:r w:rsidR="00DE620A" w:rsidRPr="00FE5E7A">
        <w:rPr>
          <w:szCs w:val="20"/>
          <w:lang w:val="en-AU"/>
        </w:rPr>
        <w:t>and iodine; and particularly</w:t>
      </w:r>
      <w:r w:rsidR="00DE620A">
        <w:rPr>
          <w:szCs w:val="20"/>
          <w:lang w:val="en-AU"/>
        </w:rPr>
        <w:t xml:space="preserve"> </w:t>
      </w:r>
      <w:r w:rsidR="00001936">
        <w:rPr>
          <w:szCs w:val="20"/>
          <w:lang w:val="en-AU"/>
        </w:rPr>
        <w:t xml:space="preserve">so </w:t>
      </w:r>
      <w:r w:rsidR="00DE620A">
        <w:rPr>
          <w:szCs w:val="20"/>
          <w:lang w:val="en-AU"/>
        </w:rPr>
        <w:t>for young children. Milk is also an important source of energy for children.</w:t>
      </w:r>
    </w:p>
    <w:p w14:paraId="6F033E36" w14:textId="77777777" w:rsidR="006413B5" w:rsidRDefault="006413B5" w:rsidP="00D20A1E">
      <w:pPr>
        <w:widowControl/>
        <w:rPr>
          <w:szCs w:val="20"/>
          <w:lang w:val="en-AU"/>
        </w:rPr>
      </w:pPr>
    </w:p>
    <w:p w14:paraId="2A8C58CD" w14:textId="435AD8C6" w:rsidR="00DE620A" w:rsidRDefault="00752E01" w:rsidP="00D20A1E">
      <w:pPr>
        <w:widowControl/>
      </w:pPr>
      <w:r>
        <w:rPr>
          <w:szCs w:val="22"/>
          <w:lang w:val="en-US"/>
        </w:rPr>
        <w:t xml:space="preserve">A </w:t>
      </w:r>
      <w:r w:rsidR="00111C3B">
        <w:rPr>
          <w:szCs w:val="22"/>
          <w:lang w:val="en-US"/>
        </w:rPr>
        <w:t>previous</w:t>
      </w:r>
      <w:r>
        <w:rPr>
          <w:szCs w:val="22"/>
          <w:lang w:val="en-US"/>
        </w:rPr>
        <w:t xml:space="preserve"> assessment based on the 1995 AusNNS and 1997 NZNNS indicates that </w:t>
      </w:r>
      <w:r w:rsidR="00DE620A" w:rsidRPr="00237123">
        <w:rPr>
          <w:szCs w:val="22"/>
          <w:lang w:val="en-US"/>
        </w:rPr>
        <w:t>mean intakes of calcium</w:t>
      </w:r>
      <w:r w:rsidR="00C01AA0">
        <w:rPr>
          <w:szCs w:val="22"/>
          <w:lang w:val="en-US"/>
        </w:rPr>
        <w:t>,</w:t>
      </w:r>
      <w:r w:rsidR="00CA0919">
        <w:rPr>
          <w:szCs w:val="22"/>
          <w:lang w:val="en-US"/>
        </w:rPr>
        <w:t xml:space="preserve"> naturally occurring folates</w:t>
      </w:r>
      <w:r w:rsidR="00DE620A" w:rsidRPr="00237123">
        <w:rPr>
          <w:szCs w:val="22"/>
          <w:lang w:val="en-US"/>
        </w:rPr>
        <w:t xml:space="preserve">, magnesium, phosphorus, zinc, </w:t>
      </w:r>
      <w:r w:rsidR="00326E1B">
        <w:rPr>
          <w:szCs w:val="22"/>
          <w:lang w:val="en-US"/>
        </w:rPr>
        <w:t>retinol equivalents</w:t>
      </w:r>
      <w:r w:rsidR="00DE620A" w:rsidRPr="00237123">
        <w:rPr>
          <w:szCs w:val="22"/>
          <w:lang w:val="en-US"/>
        </w:rPr>
        <w:t>, riboflavin, thiamin, vitamins B</w:t>
      </w:r>
      <w:r w:rsidR="00DE620A" w:rsidRPr="00237123">
        <w:rPr>
          <w:szCs w:val="22"/>
          <w:vertAlign w:val="subscript"/>
          <w:lang w:val="en-US"/>
        </w:rPr>
        <w:t>6</w:t>
      </w:r>
      <w:r w:rsidR="00DE620A" w:rsidRPr="00237123">
        <w:rPr>
          <w:szCs w:val="22"/>
          <w:lang w:val="en-US"/>
        </w:rPr>
        <w:t>, B</w:t>
      </w:r>
      <w:r w:rsidR="00DE620A" w:rsidRPr="00237123">
        <w:rPr>
          <w:szCs w:val="22"/>
          <w:vertAlign w:val="subscript"/>
          <w:lang w:val="en-US"/>
        </w:rPr>
        <w:t>12</w:t>
      </w:r>
      <w:r w:rsidR="00DE620A" w:rsidRPr="00237123">
        <w:rPr>
          <w:szCs w:val="22"/>
          <w:lang w:val="en-US"/>
        </w:rPr>
        <w:t xml:space="preserve"> and D </w:t>
      </w:r>
      <w:r>
        <w:rPr>
          <w:szCs w:val="22"/>
          <w:lang w:val="en-US"/>
        </w:rPr>
        <w:t>were</w:t>
      </w:r>
      <w:r w:rsidRPr="00237123">
        <w:rPr>
          <w:szCs w:val="22"/>
          <w:lang w:val="en-US"/>
        </w:rPr>
        <w:t xml:space="preserve"> </w:t>
      </w:r>
      <w:r w:rsidR="00DE620A" w:rsidRPr="00237123">
        <w:rPr>
          <w:szCs w:val="22"/>
          <w:lang w:val="en-US"/>
        </w:rPr>
        <w:t>lower for non-dairy consumers compared to the general population</w:t>
      </w:r>
      <w:r w:rsidR="00DE620A">
        <w:rPr>
          <w:szCs w:val="22"/>
          <w:lang w:val="en-US"/>
        </w:rPr>
        <w:t xml:space="preserve">. Of the vitamins and minerals, the greatest magnitude of difference between the general population and non-dairy consumers </w:t>
      </w:r>
      <w:r>
        <w:rPr>
          <w:szCs w:val="22"/>
          <w:lang w:val="en-US"/>
        </w:rPr>
        <w:t xml:space="preserve">was for calcium </w:t>
      </w:r>
      <w:r w:rsidR="00DE620A">
        <w:rPr>
          <w:szCs w:val="22"/>
          <w:lang w:val="en-US"/>
        </w:rPr>
        <w:t xml:space="preserve">(non-dairy consumers </w:t>
      </w:r>
      <w:r>
        <w:rPr>
          <w:szCs w:val="22"/>
          <w:lang w:val="en-US"/>
        </w:rPr>
        <w:t xml:space="preserve">had </w:t>
      </w:r>
      <w:r w:rsidR="00DE620A">
        <w:rPr>
          <w:szCs w:val="22"/>
          <w:lang w:val="en-US"/>
        </w:rPr>
        <w:t>mean calcium intakes approximately 60-70% lower than the general population).</w:t>
      </w:r>
      <w:r>
        <w:rPr>
          <w:szCs w:val="22"/>
          <w:lang w:val="en-US"/>
        </w:rPr>
        <w:t xml:space="preserve"> </w:t>
      </w:r>
      <w:r w:rsidR="00DE620A">
        <w:rPr>
          <w:lang w:val="en-US"/>
        </w:rPr>
        <w:t xml:space="preserve">Estimated mean protein intakes </w:t>
      </w:r>
      <w:r>
        <w:rPr>
          <w:lang w:val="en-US"/>
        </w:rPr>
        <w:t xml:space="preserve">were </w:t>
      </w:r>
      <w:r w:rsidR="00DE620A">
        <w:rPr>
          <w:lang w:val="en-US"/>
        </w:rPr>
        <w:t>1</w:t>
      </w:r>
      <w:r w:rsidR="00F550BE">
        <w:rPr>
          <w:lang w:val="en-US"/>
        </w:rPr>
        <w:t>7</w:t>
      </w:r>
      <w:r w:rsidR="00D60EE0">
        <w:rPr>
          <w:lang w:val="en-US"/>
        </w:rPr>
        <w:t>–</w:t>
      </w:r>
      <w:r w:rsidR="00DE620A">
        <w:rPr>
          <w:lang w:val="en-US"/>
        </w:rPr>
        <w:t>22% lower in non-dairy consumers compared to the general population, with estimated mean fat intakes bein</w:t>
      </w:r>
      <w:r w:rsidR="006413B5">
        <w:rPr>
          <w:lang w:val="en-US"/>
        </w:rPr>
        <w:t>g</w:t>
      </w:r>
      <w:r w:rsidR="00DE620A">
        <w:rPr>
          <w:lang w:val="en-US"/>
        </w:rPr>
        <w:t xml:space="preserve"> 2</w:t>
      </w:r>
      <w:r w:rsidR="00F550BE">
        <w:rPr>
          <w:lang w:val="en-US"/>
        </w:rPr>
        <w:t>1</w:t>
      </w:r>
      <w:r w:rsidR="00D60EE0">
        <w:rPr>
          <w:lang w:val="en-US"/>
        </w:rPr>
        <w:t>–</w:t>
      </w:r>
      <w:r w:rsidR="00DE620A">
        <w:rPr>
          <w:lang w:val="en-US"/>
        </w:rPr>
        <w:t>25% lower.</w:t>
      </w:r>
      <w:r>
        <w:rPr>
          <w:lang w:val="en-US"/>
        </w:rPr>
        <w:t xml:space="preserve"> As vitamin and mineral intakes were similar in the more recent surveys </w:t>
      </w:r>
      <w:r w:rsidR="00111C3B">
        <w:rPr>
          <w:lang w:val="en-US"/>
        </w:rPr>
        <w:t>t</w:t>
      </w:r>
      <w:r>
        <w:rPr>
          <w:lang w:val="en-US"/>
        </w:rPr>
        <w:t>o thos</w:t>
      </w:r>
      <w:r w:rsidR="00111C3B">
        <w:rPr>
          <w:lang w:val="en-US"/>
        </w:rPr>
        <w:t>e</w:t>
      </w:r>
      <w:r>
        <w:rPr>
          <w:lang w:val="en-US"/>
        </w:rPr>
        <w:t xml:space="preserve"> reported in the 1995 and 1997 surveys, it is assumed that non-dairy consumers are likely </w:t>
      </w:r>
      <w:r w:rsidR="00C01AA0">
        <w:rPr>
          <w:lang w:val="en-US"/>
        </w:rPr>
        <w:t xml:space="preserve">to </w:t>
      </w:r>
      <w:r>
        <w:rPr>
          <w:lang w:val="en-US"/>
        </w:rPr>
        <w:t>continue to have lower micronutrient intakes compared to the general population.</w:t>
      </w:r>
    </w:p>
    <w:p w14:paraId="4087DDB4" w14:textId="77777777" w:rsidR="00C01AA0" w:rsidRDefault="00C01AA0" w:rsidP="00D20A1E">
      <w:pPr>
        <w:widowControl/>
      </w:pPr>
    </w:p>
    <w:p w14:paraId="1EFC6706" w14:textId="0F3B06A7" w:rsidR="006B2784" w:rsidRPr="003F4745" w:rsidRDefault="006B2784" w:rsidP="00D20A1E">
      <w:pPr>
        <w:widowControl/>
      </w:pPr>
      <w:r w:rsidRPr="003F4745">
        <w:t xml:space="preserve">The fortification of </w:t>
      </w:r>
      <w:r w:rsidR="006C2FB7">
        <w:t xml:space="preserve">nut- </w:t>
      </w:r>
      <w:r w:rsidR="003F4745" w:rsidRPr="003F4745">
        <w:t>and seed</w:t>
      </w:r>
      <w:r w:rsidRPr="003F4745">
        <w:t xml:space="preserve">-based beverages to levels equivalent to milk </w:t>
      </w:r>
      <w:r w:rsidR="003F4745" w:rsidRPr="003F4745">
        <w:t>(</w:t>
      </w:r>
      <w:r w:rsidRPr="003F4745">
        <w:t>and already permitted in soy</w:t>
      </w:r>
      <w:r w:rsidR="00D60EE0">
        <w:t>-</w:t>
      </w:r>
      <w:r w:rsidR="003F4745" w:rsidRPr="003F4745">
        <w:t xml:space="preserve"> and cereal-</w:t>
      </w:r>
      <w:r w:rsidRPr="003F4745">
        <w:t>based beverages</w:t>
      </w:r>
      <w:r w:rsidR="003F4745" w:rsidRPr="003F4745">
        <w:t>)</w:t>
      </w:r>
      <w:r w:rsidRPr="003F4745">
        <w:t xml:space="preserve"> would give consumers of </w:t>
      </w:r>
      <w:r w:rsidR="006C2FB7">
        <w:t xml:space="preserve">nut- </w:t>
      </w:r>
      <w:r w:rsidR="003F4745" w:rsidRPr="003F4745">
        <w:t>and seed</w:t>
      </w:r>
      <w:r w:rsidRPr="003F4745">
        <w:t>-based beverages the same opportunities for vitamin and mineral intake from this beverage source as for consumers of milk and fortified soy</w:t>
      </w:r>
      <w:r w:rsidR="003F4745" w:rsidRPr="003F4745">
        <w:t xml:space="preserve"> and cereal-</w:t>
      </w:r>
      <w:r w:rsidRPr="003F4745">
        <w:t>based beverages</w:t>
      </w:r>
      <w:r w:rsidR="00915A9B">
        <w:t>. The risk</w:t>
      </w:r>
      <w:r w:rsidR="00915A9B" w:rsidRPr="00915A9B">
        <w:t xml:space="preserve"> </w:t>
      </w:r>
      <w:r w:rsidR="00915A9B">
        <w:t>from f</w:t>
      </w:r>
      <w:r w:rsidR="00915A9B" w:rsidRPr="005A22C2">
        <w:t xml:space="preserve">ortification of </w:t>
      </w:r>
      <w:r w:rsidR="006C2FB7">
        <w:t xml:space="preserve">nut- </w:t>
      </w:r>
      <w:r w:rsidR="00915A9B" w:rsidRPr="005A22C2">
        <w:t>and seed-based beverages to similar levels of vitamins and minerals found naturally in milk poses the same risk as milk itself</w:t>
      </w:r>
      <w:r w:rsidRPr="003F4745">
        <w:t>.</w:t>
      </w:r>
    </w:p>
    <w:p w14:paraId="540905EE" w14:textId="77777777" w:rsidR="006B2784" w:rsidRPr="003F4745" w:rsidRDefault="006B2784" w:rsidP="00D20A1E">
      <w:pPr>
        <w:widowControl/>
      </w:pPr>
    </w:p>
    <w:p w14:paraId="039A142E" w14:textId="4036961D" w:rsidR="006A5920" w:rsidRDefault="001C28A7" w:rsidP="00D20A1E">
      <w:pPr>
        <w:widowControl/>
      </w:pPr>
      <w:r>
        <w:t>I</w:t>
      </w:r>
      <w:r w:rsidR="006B2784" w:rsidRPr="003F4745">
        <w:t xml:space="preserve">ndustry uptake of a </w:t>
      </w:r>
      <w:r w:rsidR="00FE032E">
        <w:t xml:space="preserve">voluntary </w:t>
      </w:r>
      <w:r w:rsidR="006B2784" w:rsidRPr="003F4745">
        <w:t xml:space="preserve">permission to fortify </w:t>
      </w:r>
      <w:r w:rsidR="006C2FB7">
        <w:t xml:space="preserve">nut- </w:t>
      </w:r>
      <w:r w:rsidR="003F4745" w:rsidRPr="003F4745">
        <w:t>and seed</w:t>
      </w:r>
      <w:r w:rsidR="006B2784" w:rsidRPr="003F4745">
        <w:t xml:space="preserve">-based beverages will help increase the </w:t>
      </w:r>
      <w:r w:rsidR="00C01AA0">
        <w:t xml:space="preserve">intake </w:t>
      </w:r>
      <w:r w:rsidR="006B2784" w:rsidRPr="003F4745">
        <w:t>of a variety of vitamins and minerals by those individuals who do not consume dairy foods or soy-based beverages</w:t>
      </w:r>
      <w:r>
        <w:t>.</w:t>
      </w:r>
    </w:p>
    <w:p w14:paraId="608B6C37" w14:textId="5F96CF04" w:rsidR="006B2784" w:rsidRPr="00357D32" w:rsidRDefault="006B2784" w:rsidP="00D20A1E">
      <w:pPr>
        <w:pStyle w:val="Heading1"/>
        <w:keepLines/>
        <w:widowControl/>
      </w:pPr>
      <w:bookmarkStart w:id="190" w:name="_Toc427672197"/>
      <w:bookmarkStart w:id="191" w:name="_Toc427678263"/>
      <w:r w:rsidRPr="00357D32">
        <w:t>References</w:t>
      </w:r>
      <w:bookmarkEnd w:id="190"/>
      <w:bookmarkEnd w:id="191"/>
    </w:p>
    <w:p w14:paraId="2C4A6020" w14:textId="77777777" w:rsidR="009D0705" w:rsidRPr="002076F3" w:rsidRDefault="009D0705" w:rsidP="0023423F">
      <w:pPr>
        <w:keepNext/>
        <w:keepLines/>
        <w:widowControl/>
        <w:spacing w:before="120" w:after="120"/>
        <w:rPr>
          <w:sz w:val="20"/>
          <w:szCs w:val="20"/>
        </w:rPr>
      </w:pPr>
      <w:r w:rsidRPr="002076F3">
        <w:rPr>
          <w:sz w:val="20"/>
          <w:szCs w:val="20"/>
        </w:rPr>
        <w:t>Akande K, Doma U, Agu H, Adamu H (2010) Major antinutrients found in plant protein sources: their effect on nutrition. Pakistan Journal of Nutrition 9(8):827–832</w:t>
      </w:r>
    </w:p>
    <w:p w14:paraId="3C568889" w14:textId="3420571C" w:rsidR="009D0705" w:rsidRPr="002076F3" w:rsidRDefault="00E853C7" w:rsidP="0023423F">
      <w:pPr>
        <w:widowControl/>
        <w:spacing w:before="120" w:after="120"/>
        <w:rPr>
          <w:sz w:val="20"/>
          <w:szCs w:val="20"/>
        </w:rPr>
      </w:pPr>
      <w:r>
        <w:rPr>
          <w:sz w:val="20"/>
          <w:szCs w:val="20"/>
        </w:rPr>
        <w:t>ABS</w:t>
      </w:r>
      <w:r w:rsidR="009D0705" w:rsidRPr="002076F3">
        <w:rPr>
          <w:sz w:val="20"/>
          <w:szCs w:val="20"/>
        </w:rPr>
        <w:t>. National Nutrition and Physical Activity Survey, 2011-12, Basic CURF.  2014</w:t>
      </w:r>
      <w:r w:rsidR="00934B60">
        <w:rPr>
          <w:sz w:val="20"/>
          <w:szCs w:val="20"/>
        </w:rPr>
        <w:t>a</w:t>
      </w:r>
      <w:r w:rsidR="009D0705" w:rsidRPr="002076F3">
        <w:rPr>
          <w:sz w:val="20"/>
          <w:szCs w:val="20"/>
        </w:rPr>
        <w:t xml:space="preserve">. </w:t>
      </w:r>
    </w:p>
    <w:p w14:paraId="7BBC19D0" w14:textId="699185C3" w:rsidR="00F6296A" w:rsidRPr="002076F3" w:rsidRDefault="00F6296A" w:rsidP="0023423F">
      <w:pPr>
        <w:widowControl/>
        <w:spacing w:before="120" w:after="120"/>
        <w:rPr>
          <w:sz w:val="20"/>
          <w:szCs w:val="20"/>
        </w:rPr>
      </w:pPr>
      <w:r>
        <w:rPr>
          <w:sz w:val="20"/>
          <w:szCs w:val="20"/>
        </w:rPr>
        <w:t>ABS</w:t>
      </w:r>
      <w:r w:rsidRPr="002076F3">
        <w:rPr>
          <w:sz w:val="20"/>
          <w:szCs w:val="20"/>
        </w:rPr>
        <w:t xml:space="preserve"> (20</w:t>
      </w:r>
      <w:r>
        <w:rPr>
          <w:sz w:val="20"/>
          <w:szCs w:val="20"/>
        </w:rPr>
        <w:t>14b</w:t>
      </w:r>
      <w:r w:rsidRPr="002076F3">
        <w:rPr>
          <w:sz w:val="20"/>
          <w:szCs w:val="20"/>
        </w:rPr>
        <w:t>)</w:t>
      </w:r>
      <w:r>
        <w:rPr>
          <w:sz w:val="20"/>
          <w:szCs w:val="20"/>
        </w:rPr>
        <w:t xml:space="preserve"> Australian Health Survey: First Results – Foods and Nutrients, 2011-12</w:t>
      </w:r>
      <w:r w:rsidRPr="002076F3">
        <w:rPr>
          <w:sz w:val="20"/>
          <w:szCs w:val="20"/>
        </w:rPr>
        <w:t xml:space="preserve">. </w:t>
      </w:r>
      <w:r>
        <w:rPr>
          <w:sz w:val="20"/>
          <w:szCs w:val="20"/>
        </w:rPr>
        <w:t>4364.0.55.007.</w:t>
      </w:r>
    </w:p>
    <w:p w14:paraId="7AF7E1E5" w14:textId="548BE692" w:rsidR="00F6296A" w:rsidRDefault="00E13B53" w:rsidP="0023423F">
      <w:pPr>
        <w:widowControl/>
        <w:spacing w:before="120" w:after="120"/>
        <w:rPr>
          <w:sz w:val="20"/>
          <w:szCs w:val="20"/>
        </w:rPr>
      </w:pPr>
      <w:hyperlink r:id="rId26" w:history="1">
        <w:r w:rsidR="00F6296A" w:rsidRPr="006D6275">
          <w:rPr>
            <w:rStyle w:val="Hyperlink"/>
            <w:sz w:val="20"/>
            <w:szCs w:val="20"/>
          </w:rPr>
          <w:t>http://www.abs.gov.au/AUSSTATS/abs@.nsf/DetailsPage/4364.0.55.0072011-12?OpenDocument</w:t>
        </w:r>
      </w:hyperlink>
      <w:r w:rsidR="00F6296A" w:rsidRPr="002076F3">
        <w:rPr>
          <w:sz w:val="20"/>
          <w:szCs w:val="20"/>
        </w:rPr>
        <w:t xml:space="preserve">. Accessed </w:t>
      </w:r>
      <w:r w:rsidR="00F6296A">
        <w:rPr>
          <w:sz w:val="20"/>
          <w:szCs w:val="20"/>
        </w:rPr>
        <w:t>27 May</w:t>
      </w:r>
      <w:r w:rsidR="00F6296A" w:rsidRPr="002076F3">
        <w:rPr>
          <w:sz w:val="20"/>
          <w:szCs w:val="20"/>
        </w:rPr>
        <w:t xml:space="preserve"> </w:t>
      </w:r>
      <w:r w:rsidR="00F6296A">
        <w:rPr>
          <w:sz w:val="20"/>
          <w:szCs w:val="20"/>
        </w:rPr>
        <w:t>2015</w:t>
      </w:r>
    </w:p>
    <w:p w14:paraId="3403AE35" w14:textId="42F857E8" w:rsidR="00934B60" w:rsidRPr="002076F3" w:rsidRDefault="00934B60" w:rsidP="0023423F">
      <w:pPr>
        <w:widowControl/>
        <w:spacing w:before="120" w:after="120"/>
        <w:rPr>
          <w:sz w:val="20"/>
          <w:szCs w:val="20"/>
        </w:rPr>
      </w:pPr>
      <w:r>
        <w:rPr>
          <w:sz w:val="20"/>
          <w:szCs w:val="20"/>
        </w:rPr>
        <w:lastRenderedPageBreak/>
        <w:t>ABS</w:t>
      </w:r>
      <w:r w:rsidRPr="002076F3">
        <w:rPr>
          <w:sz w:val="20"/>
          <w:szCs w:val="20"/>
        </w:rPr>
        <w:t xml:space="preserve">. National Nutrition and Physical Activity Survey, 2011-12, </w:t>
      </w:r>
      <w:r>
        <w:rPr>
          <w:sz w:val="20"/>
          <w:szCs w:val="20"/>
        </w:rPr>
        <w:t>Usual nutrient intakes</w:t>
      </w:r>
      <w:r w:rsidRPr="002076F3">
        <w:rPr>
          <w:sz w:val="20"/>
          <w:szCs w:val="20"/>
        </w:rPr>
        <w:t>.  201</w:t>
      </w:r>
      <w:r w:rsidR="007B078B">
        <w:rPr>
          <w:sz w:val="20"/>
          <w:szCs w:val="20"/>
        </w:rPr>
        <w:t>5</w:t>
      </w:r>
      <w:r w:rsidRPr="002076F3">
        <w:rPr>
          <w:sz w:val="20"/>
          <w:szCs w:val="20"/>
        </w:rPr>
        <w:t xml:space="preserve">. </w:t>
      </w:r>
    </w:p>
    <w:p w14:paraId="272E24CE" w14:textId="675F39CD" w:rsidR="00F156F8" w:rsidRPr="002076F3" w:rsidRDefault="00F156F8" w:rsidP="0023423F">
      <w:pPr>
        <w:widowControl/>
        <w:spacing w:before="120" w:after="120"/>
        <w:rPr>
          <w:sz w:val="20"/>
          <w:szCs w:val="20"/>
        </w:rPr>
      </w:pPr>
      <w:r>
        <w:rPr>
          <w:sz w:val="20"/>
          <w:szCs w:val="20"/>
        </w:rPr>
        <w:t>ABS</w:t>
      </w:r>
      <w:r w:rsidR="001D0FBF">
        <w:rPr>
          <w:sz w:val="20"/>
          <w:szCs w:val="20"/>
        </w:rPr>
        <w:t>,</w:t>
      </w:r>
      <w:r>
        <w:rPr>
          <w:sz w:val="20"/>
          <w:szCs w:val="20"/>
        </w:rPr>
        <w:t xml:space="preserve"> </w:t>
      </w:r>
      <w:r w:rsidRPr="002076F3">
        <w:rPr>
          <w:sz w:val="20"/>
          <w:szCs w:val="20"/>
        </w:rPr>
        <w:t>FSANZ (20</w:t>
      </w:r>
      <w:r>
        <w:rPr>
          <w:sz w:val="20"/>
          <w:szCs w:val="20"/>
        </w:rPr>
        <w:t>1</w:t>
      </w:r>
      <w:r w:rsidR="00965B6B">
        <w:rPr>
          <w:sz w:val="20"/>
          <w:szCs w:val="20"/>
        </w:rPr>
        <w:t>5</w:t>
      </w:r>
      <w:r w:rsidRPr="002076F3">
        <w:rPr>
          <w:sz w:val="20"/>
          <w:szCs w:val="20"/>
        </w:rPr>
        <w:t>)</w:t>
      </w:r>
      <w:r>
        <w:rPr>
          <w:sz w:val="20"/>
          <w:szCs w:val="20"/>
        </w:rPr>
        <w:t xml:space="preserve"> Australian Health Survey: Usual Nutrient Intakes, 2011-12</w:t>
      </w:r>
      <w:r w:rsidRPr="002076F3">
        <w:rPr>
          <w:sz w:val="20"/>
          <w:szCs w:val="20"/>
        </w:rPr>
        <w:t xml:space="preserve">. </w:t>
      </w:r>
      <w:r>
        <w:rPr>
          <w:sz w:val="20"/>
          <w:szCs w:val="20"/>
        </w:rPr>
        <w:t>4364.0.55.008.</w:t>
      </w:r>
    </w:p>
    <w:p w14:paraId="3046CD93" w14:textId="33B62924" w:rsidR="00F156F8" w:rsidRPr="002076F3" w:rsidRDefault="00E13B53" w:rsidP="0023423F">
      <w:pPr>
        <w:widowControl/>
        <w:spacing w:before="120" w:after="120"/>
        <w:rPr>
          <w:sz w:val="20"/>
          <w:szCs w:val="20"/>
        </w:rPr>
      </w:pPr>
      <w:hyperlink r:id="rId27" w:history="1">
        <w:r w:rsidR="00F156F8" w:rsidRPr="006D6275">
          <w:rPr>
            <w:rStyle w:val="Hyperlink"/>
            <w:sz w:val="20"/>
            <w:szCs w:val="20"/>
          </w:rPr>
          <w:t>http://www.ausstats.abs.gov.au/Ausstats/subscriber.nsf/0/31EEAEBF2A09D051CA257DFF000CA865/$File/australian%20health%20survey,%20usual%20nutrient%20intakes%202011-12.pdf</w:t>
        </w:r>
      </w:hyperlink>
      <w:r w:rsidR="00F156F8" w:rsidRPr="002076F3">
        <w:rPr>
          <w:sz w:val="20"/>
          <w:szCs w:val="20"/>
        </w:rPr>
        <w:t xml:space="preserve">. Accessed </w:t>
      </w:r>
      <w:r w:rsidR="00F156F8">
        <w:rPr>
          <w:sz w:val="20"/>
          <w:szCs w:val="20"/>
        </w:rPr>
        <w:t>27 May</w:t>
      </w:r>
      <w:r w:rsidR="00F156F8" w:rsidRPr="002076F3">
        <w:rPr>
          <w:sz w:val="20"/>
          <w:szCs w:val="20"/>
        </w:rPr>
        <w:t xml:space="preserve"> </w:t>
      </w:r>
      <w:r w:rsidR="00F156F8">
        <w:rPr>
          <w:sz w:val="20"/>
          <w:szCs w:val="20"/>
        </w:rPr>
        <w:t>2015</w:t>
      </w:r>
    </w:p>
    <w:p w14:paraId="5EC0D299" w14:textId="47A5E96A" w:rsidR="009D0705" w:rsidRPr="002076F3" w:rsidRDefault="009D0705" w:rsidP="0023423F">
      <w:pPr>
        <w:widowControl/>
        <w:spacing w:before="120" w:after="120"/>
        <w:rPr>
          <w:sz w:val="20"/>
          <w:szCs w:val="20"/>
        </w:rPr>
      </w:pPr>
      <w:r w:rsidRPr="002076F3">
        <w:rPr>
          <w:sz w:val="20"/>
          <w:szCs w:val="20"/>
        </w:rPr>
        <w:t>Baste N, Chordiya M, Gangurde H, Patil P (2011) Whey Protein. Scho Res J 1(2):69</w:t>
      </w:r>
    </w:p>
    <w:p w14:paraId="265C27D4" w14:textId="77777777" w:rsidR="009D0705" w:rsidRPr="002076F3" w:rsidRDefault="009D0705" w:rsidP="0023423F">
      <w:pPr>
        <w:widowControl/>
        <w:spacing w:before="120" w:after="120"/>
        <w:rPr>
          <w:sz w:val="20"/>
          <w:szCs w:val="20"/>
        </w:rPr>
      </w:pPr>
      <w:r w:rsidRPr="002076F3">
        <w:rPr>
          <w:sz w:val="20"/>
          <w:szCs w:val="20"/>
        </w:rPr>
        <w:t>Bernat N, Chafer M, Chiralt A, Gonzalez-Martinez C (2014) Vegetable milks and their fermented derivative products. International Journal of Food Studies 3(1):93–124</w:t>
      </w:r>
    </w:p>
    <w:p w14:paraId="32EB3D43" w14:textId="77777777" w:rsidR="00AA10D8" w:rsidRPr="00AA10D8" w:rsidRDefault="00AA10D8" w:rsidP="0023423F">
      <w:pPr>
        <w:pStyle w:val="NormalWeb"/>
        <w:spacing w:before="120" w:beforeAutospacing="0" w:after="120" w:afterAutospacing="0"/>
        <w:rPr>
          <w:rFonts w:ascii="Arial" w:hAnsi="Arial" w:cs="Arial"/>
          <w:noProof/>
          <w:sz w:val="20"/>
          <w:szCs w:val="20"/>
        </w:rPr>
      </w:pPr>
      <w:r w:rsidRPr="00AA10D8">
        <w:rPr>
          <w:rFonts w:ascii="Arial" w:hAnsi="Arial" w:cs="Arial"/>
          <w:noProof/>
          <w:sz w:val="20"/>
          <w:szCs w:val="20"/>
        </w:rPr>
        <w:t xml:space="preserve">Bus, A.E.M. &amp; Worsley, A., 2003a. Consumers’ sensory and nutritional perceptions of three types of milk. </w:t>
      </w:r>
      <w:r w:rsidRPr="00AA10D8">
        <w:rPr>
          <w:rFonts w:ascii="Arial" w:hAnsi="Arial" w:cs="Arial"/>
          <w:i/>
          <w:iCs/>
          <w:noProof/>
          <w:sz w:val="20"/>
          <w:szCs w:val="20"/>
        </w:rPr>
        <w:t>Public Health Nutrition</w:t>
      </w:r>
      <w:r w:rsidRPr="00AA10D8">
        <w:rPr>
          <w:rFonts w:ascii="Arial" w:hAnsi="Arial" w:cs="Arial"/>
          <w:noProof/>
          <w:sz w:val="20"/>
          <w:szCs w:val="20"/>
        </w:rPr>
        <w:t>, 6(2), pp.201–208. Available at: http://search.ebscohost.com/login.aspx?direct=true&amp;db=edb&amp;AN=10395581&amp;site=eds-live.</w:t>
      </w:r>
    </w:p>
    <w:p w14:paraId="0599FCEC" w14:textId="77777777" w:rsidR="00AA10D8" w:rsidRPr="00AA10D8" w:rsidRDefault="00AA10D8" w:rsidP="0023423F">
      <w:pPr>
        <w:pStyle w:val="NormalWeb"/>
        <w:spacing w:before="120" w:beforeAutospacing="0" w:after="120" w:afterAutospacing="0"/>
        <w:rPr>
          <w:rFonts w:ascii="Arial" w:hAnsi="Arial" w:cs="Arial"/>
          <w:noProof/>
          <w:sz w:val="20"/>
          <w:szCs w:val="20"/>
        </w:rPr>
      </w:pPr>
      <w:r w:rsidRPr="00AA10D8">
        <w:rPr>
          <w:rFonts w:ascii="Arial" w:hAnsi="Arial" w:cs="Arial"/>
          <w:noProof/>
          <w:sz w:val="20"/>
          <w:szCs w:val="20"/>
        </w:rPr>
        <w:t xml:space="preserve">Bus, A.E.M. &amp; Worsley, A., 2003b. Research Report: Consumers’ health perceptions of three types of milk: a survey in Australia. </w:t>
      </w:r>
      <w:r w:rsidRPr="00AA10D8">
        <w:rPr>
          <w:rFonts w:ascii="Arial" w:hAnsi="Arial" w:cs="Arial"/>
          <w:i/>
          <w:iCs/>
          <w:noProof/>
          <w:sz w:val="20"/>
          <w:szCs w:val="20"/>
        </w:rPr>
        <w:t>Appetite</w:t>
      </w:r>
      <w:r w:rsidRPr="00AA10D8">
        <w:rPr>
          <w:rFonts w:ascii="Arial" w:hAnsi="Arial" w:cs="Arial"/>
          <w:noProof/>
          <w:sz w:val="20"/>
          <w:szCs w:val="20"/>
        </w:rPr>
        <w:t>, 40, pp.93–100. Available at: 10.1016/S0195-6663(03)00004-7.</w:t>
      </w:r>
    </w:p>
    <w:p w14:paraId="3870A73D" w14:textId="77777777" w:rsidR="009D0705" w:rsidRPr="002076F3" w:rsidRDefault="009D0705" w:rsidP="0023423F">
      <w:pPr>
        <w:widowControl/>
        <w:spacing w:before="120" w:after="120"/>
        <w:rPr>
          <w:sz w:val="20"/>
          <w:szCs w:val="20"/>
        </w:rPr>
      </w:pPr>
      <w:r w:rsidRPr="002076F3">
        <w:rPr>
          <w:sz w:val="20"/>
          <w:szCs w:val="20"/>
        </w:rPr>
        <w:t>Chai W, Liebman M (2005) Oxalate content of legumes, nuts, and grain-based flours. Journal of Food Composition and Analysis 18(7):723–729</w:t>
      </w:r>
    </w:p>
    <w:p w14:paraId="54CCA3FA" w14:textId="77777777" w:rsidR="009D0705" w:rsidRPr="002076F3" w:rsidRDefault="009D0705" w:rsidP="0023423F">
      <w:pPr>
        <w:widowControl/>
        <w:spacing w:before="120" w:after="120"/>
        <w:rPr>
          <w:sz w:val="20"/>
          <w:szCs w:val="20"/>
        </w:rPr>
      </w:pPr>
      <w:r w:rsidRPr="002076F3">
        <w:rPr>
          <w:sz w:val="20"/>
          <w:szCs w:val="20"/>
        </w:rPr>
        <w:t>Fagbenro O, Adeparusi E, Jimoh W (2010) Effect of processing on the nutrients and anti-nutrients composition of sunflower (</w:t>
      </w:r>
      <w:r w:rsidRPr="002076F3">
        <w:rPr>
          <w:i/>
          <w:sz w:val="20"/>
          <w:szCs w:val="20"/>
        </w:rPr>
        <w:t>Helianthus annus</w:t>
      </w:r>
      <w:r w:rsidRPr="002076F3">
        <w:rPr>
          <w:sz w:val="20"/>
          <w:szCs w:val="20"/>
        </w:rPr>
        <w:t>) seed meals. International Journal of Chemistry, India 20(3):165–170</w:t>
      </w:r>
    </w:p>
    <w:p w14:paraId="5AB5422B" w14:textId="67768E91" w:rsidR="002076F3" w:rsidRPr="002076F3" w:rsidRDefault="009D0705" w:rsidP="0023423F">
      <w:pPr>
        <w:widowControl/>
        <w:spacing w:before="120" w:after="120"/>
        <w:rPr>
          <w:sz w:val="20"/>
          <w:szCs w:val="20"/>
        </w:rPr>
      </w:pPr>
      <w:r w:rsidRPr="002076F3">
        <w:rPr>
          <w:sz w:val="20"/>
          <w:szCs w:val="20"/>
        </w:rPr>
        <w:t xml:space="preserve">FSANZ (2005a) Final Assessment Report - Application A470 </w:t>
      </w:r>
      <w:r w:rsidR="00EC5420">
        <w:rPr>
          <w:sz w:val="20"/>
          <w:szCs w:val="20"/>
        </w:rPr>
        <w:t>–</w:t>
      </w:r>
      <w:r w:rsidRPr="002076F3">
        <w:rPr>
          <w:sz w:val="20"/>
          <w:szCs w:val="20"/>
        </w:rPr>
        <w:t xml:space="preserve"> Formulated</w:t>
      </w:r>
      <w:r w:rsidR="00EC5420">
        <w:rPr>
          <w:sz w:val="20"/>
          <w:szCs w:val="20"/>
        </w:rPr>
        <w:t xml:space="preserve"> </w:t>
      </w:r>
      <w:r w:rsidRPr="002076F3">
        <w:rPr>
          <w:sz w:val="20"/>
          <w:szCs w:val="20"/>
        </w:rPr>
        <w:t>Beverages. Food Standards Australia New Zealand.</w:t>
      </w:r>
      <w:r w:rsidR="002076F3" w:rsidRPr="002076F3">
        <w:rPr>
          <w:sz w:val="20"/>
          <w:szCs w:val="20"/>
        </w:rPr>
        <w:t xml:space="preserve"> </w:t>
      </w:r>
    </w:p>
    <w:p w14:paraId="3DDC8733" w14:textId="239CE204" w:rsidR="009D0705" w:rsidRPr="002076F3" w:rsidRDefault="00E13B53" w:rsidP="0023423F">
      <w:pPr>
        <w:widowControl/>
        <w:spacing w:before="120" w:after="120"/>
        <w:rPr>
          <w:sz w:val="20"/>
          <w:szCs w:val="20"/>
        </w:rPr>
      </w:pPr>
      <w:hyperlink r:id="rId28" w:history="1">
        <w:r w:rsidR="002076F3" w:rsidRPr="002076F3">
          <w:rPr>
            <w:rStyle w:val="Hyperlink"/>
            <w:sz w:val="20"/>
            <w:szCs w:val="20"/>
          </w:rPr>
          <w:t>http://www.foodstandards.gov.au/code/applications/Pages/applicationa470formulatedbeverages/Default.aspx</w:t>
        </w:r>
      </w:hyperlink>
      <w:r w:rsidR="002076F3" w:rsidRPr="002076F3">
        <w:rPr>
          <w:sz w:val="20"/>
          <w:szCs w:val="20"/>
        </w:rPr>
        <w:t xml:space="preserve"> </w:t>
      </w:r>
      <w:r w:rsidR="009D0705" w:rsidRPr="002076F3">
        <w:rPr>
          <w:sz w:val="20"/>
          <w:szCs w:val="20"/>
        </w:rPr>
        <w:t>. Accessed 11 February 2015a</w:t>
      </w:r>
      <w:r w:rsidR="002076F3" w:rsidRPr="002076F3">
        <w:rPr>
          <w:sz w:val="20"/>
          <w:szCs w:val="20"/>
        </w:rPr>
        <w:t xml:space="preserve"> </w:t>
      </w:r>
    </w:p>
    <w:p w14:paraId="503B8B04" w14:textId="77777777" w:rsidR="009D0705" w:rsidRPr="002076F3" w:rsidRDefault="009D0705" w:rsidP="0023423F">
      <w:pPr>
        <w:widowControl/>
        <w:spacing w:before="120" w:after="120"/>
        <w:rPr>
          <w:sz w:val="20"/>
          <w:szCs w:val="20"/>
        </w:rPr>
      </w:pPr>
      <w:r w:rsidRPr="002076F3">
        <w:rPr>
          <w:sz w:val="20"/>
          <w:szCs w:val="20"/>
        </w:rPr>
        <w:t>FSANZ (2005b) Final Assessment Report: Application A500 - Fortification of Cereal-Based Beverages.</w:t>
      </w:r>
    </w:p>
    <w:p w14:paraId="1750E9FA" w14:textId="44EF7906" w:rsidR="009D0705" w:rsidRPr="002076F3" w:rsidRDefault="00E13B53" w:rsidP="0023423F">
      <w:pPr>
        <w:widowControl/>
        <w:spacing w:before="120" w:after="120"/>
        <w:rPr>
          <w:sz w:val="20"/>
          <w:szCs w:val="20"/>
        </w:rPr>
      </w:pPr>
      <w:hyperlink r:id="rId29" w:history="1">
        <w:r w:rsidR="002076F3" w:rsidRPr="00A15AB6">
          <w:rPr>
            <w:rStyle w:val="Hyperlink"/>
            <w:sz w:val="20"/>
            <w:szCs w:val="20"/>
          </w:rPr>
          <w:t>http://www.foodstandards.gov.au/code/applications/documents/A500%20Fort%20of%20cereal-based%20bevs%20FAR%20FINAL.pdf</w:t>
        </w:r>
      </w:hyperlink>
      <w:r w:rsidR="002076F3">
        <w:rPr>
          <w:sz w:val="20"/>
          <w:szCs w:val="20"/>
        </w:rPr>
        <w:t xml:space="preserve"> </w:t>
      </w:r>
      <w:r w:rsidR="009D0705" w:rsidRPr="002076F3">
        <w:rPr>
          <w:sz w:val="20"/>
          <w:szCs w:val="20"/>
        </w:rPr>
        <w:t>. Accessed 11 February 2015b</w:t>
      </w:r>
    </w:p>
    <w:p w14:paraId="0DCD77C1" w14:textId="5C9BFB4D" w:rsidR="00C00894" w:rsidRPr="002076F3" w:rsidRDefault="00C00894" w:rsidP="0023423F">
      <w:pPr>
        <w:widowControl/>
        <w:spacing w:before="120" w:after="120"/>
        <w:rPr>
          <w:sz w:val="20"/>
          <w:szCs w:val="20"/>
        </w:rPr>
      </w:pPr>
      <w:r w:rsidRPr="002076F3">
        <w:rPr>
          <w:sz w:val="20"/>
          <w:szCs w:val="20"/>
        </w:rPr>
        <w:t>FSANZ (200</w:t>
      </w:r>
      <w:r>
        <w:rPr>
          <w:sz w:val="20"/>
          <w:szCs w:val="20"/>
        </w:rPr>
        <w:t>8</w:t>
      </w:r>
      <w:r w:rsidRPr="002076F3">
        <w:rPr>
          <w:sz w:val="20"/>
          <w:szCs w:val="20"/>
        </w:rPr>
        <w:t xml:space="preserve">) Final Assessment </w:t>
      </w:r>
      <w:r>
        <w:rPr>
          <w:sz w:val="20"/>
          <w:szCs w:val="20"/>
        </w:rPr>
        <w:t xml:space="preserve">– Dietary Intake Assessment </w:t>
      </w:r>
      <w:r w:rsidRPr="002076F3">
        <w:rPr>
          <w:sz w:val="20"/>
          <w:szCs w:val="20"/>
        </w:rPr>
        <w:t>Report</w:t>
      </w:r>
      <w:r>
        <w:rPr>
          <w:sz w:val="20"/>
          <w:szCs w:val="20"/>
        </w:rPr>
        <w:t xml:space="preserve"> (Attachment 7)</w:t>
      </w:r>
      <w:r w:rsidRPr="002076F3">
        <w:rPr>
          <w:sz w:val="20"/>
          <w:szCs w:val="20"/>
        </w:rPr>
        <w:t xml:space="preserve">: </w:t>
      </w:r>
      <w:r>
        <w:rPr>
          <w:sz w:val="20"/>
          <w:szCs w:val="20"/>
        </w:rPr>
        <w:t>Proposal P230</w:t>
      </w:r>
      <w:r w:rsidRPr="002076F3">
        <w:rPr>
          <w:sz w:val="20"/>
          <w:szCs w:val="20"/>
        </w:rPr>
        <w:t xml:space="preserve"> </w:t>
      </w:r>
      <w:r w:rsidRPr="00C00894">
        <w:rPr>
          <w:sz w:val="20"/>
          <w:szCs w:val="20"/>
        </w:rPr>
        <w:t>– Consideration of Mandatory Fortification with Iodine for New Zealand</w:t>
      </w:r>
      <w:r w:rsidRPr="002076F3">
        <w:rPr>
          <w:sz w:val="20"/>
          <w:szCs w:val="20"/>
        </w:rPr>
        <w:t>.</w:t>
      </w:r>
    </w:p>
    <w:p w14:paraId="1E77EB4D" w14:textId="445EFE78" w:rsidR="00C00894" w:rsidRPr="002076F3" w:rsidRDefault="00E13B53" w:rsidP="0023423F">
      <w:pPr>
        <w:widowControl/>
        <w:spacing w:before="120" w:after="120"/>
        <w:rPr>
          <w:sz w:val="20"/>
          <w:szCs w:val="20"/>
        </w:rPr>
      </w:pPr>
      <w:hyperlink r:id="rId30" w:history="1">
        <w:r w:rsidR="00C00894" w:rsidRPr="00F8180B">
          <w:rPr>
            <w:rStyle w:val="Hyperlink"/>
            <w:sz w:val="20"/>
            <w:szCs w:val="20"/>
          </w:rPr>
          <w:t>http://www.foodstandards.gov.au/code/proposals/Pages/proposalp230iodinefo2802.aspx</w:t>
        </w:r>
      </w:hyperlink>
      <w:r w:rsidR="00C00894">
        <w:rPr>
          <w:sz w:val="20"/>
          <w:szCs w:val="20"/>
        </w:rPr>
        <w:t>. Accessed 04 June 2015</w:t>
      </w:r>
    </w:p>
    <w:p w14:paraId="162CE747" w14:textId="77777777" w:rsidR="009D0705" w:rsidRPr="002076F3" w:rsidRDefault="009D0705" w:rsidP="0023423F">
      <w:pPr>
        <w:widowControl/>
        <w:spacing w:before="120" w:after="120"/>
        <w:rPr>
          <w:sz w:val="20"/>
          <w:szCs w:val="20"/>
        </w:rPr>
      </w:pPr>
      <w:r w:rsidRPr="002076F3">
        <w:rPr>
          <w:sz w:val="20"/>
          <w:szCs w:val="20"/>
        </w:rPr>
        <w:t>FSANZ (2010) NUTTAB 2010 - Australian food composition tables. Food Standards Australia New Zealand.</w:t>
      </w:r>
    </w:p>
    <w:p w14:paraId="53B13EE5" w14:textId="2017DB69" w:rsidR="009D0705" w:rsidRDefault="00E13B53" w:rsidP="0023423F">
      <w:pPr>
        <w:widowControl/>
        <w:autoSpaceDE w:val="0"/>
        <w:autoSpaceDN w:val="0"/>
        <w:adjustRightInd w:val="0"/>
        <w:spacing w:before="120" w:after="120"/>
        <w:rPr>
          <w:rStyle w:val="Hyperlink"/>
          <w:sz w:val="20"/>
          <w:szCs w:val="20"/>
        </w:rPr>
      </w:pPr>
      <w:hyperlink r:id="rId31" w:history="1">
        <w:r w:rsidR="002076F3" w:rsidRPr="00A15AB6">
          <w:rPr>
            <w:rStyle w:val="Hyperlink"/>
            <w:rFonts w:cs="Arial"/>
            <w:sz w:val="20"/>
            <w:szCs w:val="20"/>
            <w:lang w:eastAsia="en-GB" w:bidi="ar-SA"/>
          </w:rPr>
          <w:t>http://www.foodstandards.gov.au/science/monitoringnutrients/nutrientables/nuttab/Pages/default.aspx.</w:t>
        </w:r>
        <w:r w:rsidR="002076F3" w:rsidRPr="00A15AB6">
          <w:rPr>
            <w:rStyle w:val="Hyperlink"/>
            <w:sz w:val="20"/>
            <w:szCs w:val="20"/>
          </w:rPr>
          <w:t xml:space="preserve"> Accessed 11 February 2015</w:t>
        </w:r>
      </w:hyperlink>
    </w:p>
    <w:p w14:paraId="22D8570A" w14:textId="08EC1FE4" w:rsidR="00954E58" w:rsidRDefault="00954E58" w:rsidP="0023423F">
      <w:pPr>
        <w:widowControl/>
        <w:autoSpaceDE w:val="0"/>
        <w:autoSpaceDN w:val="0"/>
        <w:adjustRightInd w:val="0"/>
        <w:spacing w:before="120" w:after="120"/>
        <w:rPr>
          <w:sz w:val="20"/>
          <w:szCs w:val="20"/>
        </w:rPr>
      </w:pPr>
      <w:r w:rsidRPr="002076F3">
        <w:rPr>
          <w:sz w:val="20"/>
          <w:szCs w:val="20"/>
        </w:rPr>
        <w:t>FSANZ (201</w:t>
      </w:r>
      <w:r>
        <w:rPr>
          <w:sz w:val="20"/>
          <w:szCs w:val="20"/>
        </w:rPr>
        <w:t>4</w:t>
      </w:r>
      <w:r w:rsidRPr="002076F3">
        <w:rPr>
          <w:sz w:val="20"/>
          <w:szCs w:val="20"/>
        </w:rPr>
        <w:t xml:space="preserve">) </w:t>
      </w:r>
      <w:r>
        <w:rPr>
          <w:sz w:val="20"/>
          <w:szCs w:val="20"/>
        </w:rPr>
        <w:t xml:space="preserve">. </w:t>
      </w:r>
      <w:r w:rsidRPr="00954E58">
        <w:rPr>
          <w:sz w:val="20"/>
          <w:szCs w:val="20"/>
        </w:rPr>
        <w:t>AUSNUT 2011-13 food nutrient database</w:t>
      </w:r>
      <w:r>
        <w:rPr>
          <w:sz w:val="20"/>
          <w:szCs w:val="20"/>
        </w:rPr>
        <w:t>. Food Standards Australia New Zealand.</w:t>
      </w:r>
    </w:p>
    <w:p w14:paraId="490C0D24" w14:textId="15192BB8" w:rsidR="00954E58" w:rsidRDefault="00954E58" w:rsidP="0023423F">
      <w:pPr>
        <w:widowControl/>
        <w:autoSpaceDE w:val="0"/>
        <w:autoSpaceDN w:val="0"/>
        <w:adjustRightInd w:val="0"/>
        <w:spacing w:before="120" w:after="120"/>
        <w:rPr>
          <w:sz w:val="20"/>
          <w:szCs w:val="20"/>
        </w:rPr>
      </w:pPr>
      <w:r w:rsidRPr="00954E58">
        <w:rPr>
          <w:sz w:val="20"/>
          <w:szCs w:val="20"/>
        </w:rPr>
        <w:t>http://www.foodstandards.gov.au/science/monitoringnutrients/ausnut/Documents/8b.%20AUSNUT%202011-13%20AHS%20Food%20Nutrient%20Database.xls</w:t>
      </w:r>
    </w:p>
    <w:p w14:paraId="51C6C88F" w14:textId="77777777" w:rsidR="009D0705" w:rsidRPr="002076F3" w:rsidRDefault="009D0705" w:rsidP="0023423F">
      <w:pPr>
        <w:widowControl/>
        <w:spacing w:before="120" w:after="120"/>
        <w:rPr>
          <w:sz w:val="20"/>
          <w:szCs w:val="20"/>
        </w:rPr>
      </w:pPr>
      <w:r w:rsidRPr="002076F3">
        <w:rPr>
          <w:sz w:val="20"/>
          <w:szCs w:val="20"/>
        </w:rPr>
        <w:t>FSANZ (2015) Technological and Nutrition Assessment - Application A1090; Voluntary addition of vitamin D to breakfast cereal. Food Standards Australia New Zealand.</w:t>
      </w:r>
    </w:p>
    <w:p w14:paraId="5208E8F8" w14:textId="14BADE58" w:rsidR="009D0705" w:rsidRDefault="00E13B53" w:rsidP="0023423F">
      <w:pPr>
        <w:widowControl/>
        <w:autoSpaceDE w:val="0"/>
        <w:autoSpaceDN w:val="0"/>
        <w:adjustRightInd w:val="0"/>
        <w:spacing w:before="120" w:after="120"/>
        <w:rPr>
          <w:sz w:val="20"/>
          <w:szCs w:val="20"/>
        </w:rPr>
      </w:pPr>
      <w:hyperlink r:id="rId32" w:history="1">
        <w:r w:rsidR="002076F3" w:rsidRPr="00A15AB6">
          <w:rPr>
            <w:rStyle w:val="Hyperlink"/>
            <w:rFonts w:cs="Arial"/>
            <w:sz w:val="20"/>
            <w:szCs w:val="20"/>
            <w:lang w:eastAsia="en-GB" w:bidi="ar-SA"/>
          </w:rPr>
          <w:t>http://www.foodstandards.gov.au/code/applications/Documents/A1090-VitaminD-CFS-SD1.pdf.</w:t>
        </w:r>
        <w:r w:rsidR="002076F3" w:rsidRPr="00A15AB6">
          <w:rPr>
            <w:rStyle w:val="Hyperlink"/>
            <w:sz w:val="20"/>
            <w:szCs w:val="20"/>
          </w:rPr>
          <w:t xml:space="preserve"> Accessed 11 February 2015</w:t>
        </w:r>
      </w:hyperlink>
    </w:p>
    <w:p w14:paraId="3ADE55D3" w14:textId="77777777" w:rsidR="009D0705" w:rsidRDefault="009D0705" w:rsidP="0023423F">
      <w:pPr>
        <w:widowControl/>
        <w:spacing w:before="120" w:after="120"/>
        <w:rPr>
          <w:sz w:val="20"/>
          <w:szCs w:val="20"/>
        </w:rPr>
      </w:pPr>
      <w:r w:rsidRPr="002076F3">
        <w:rPr>
          <w:sz w:val="20"/>
          <w:szCs w:val="20"/>
        </w:rPr>
        <w:t>Heaney R, Dowell M, Rafferty K, Bierman J (2000) Bioavailability of the calcium in fortified soy imitation milk, with some observations on method. Am J Clin Nutr 71(5):1166–1169</w:t>
      </w:r>
    </w:p>
    <w:p w14:paraId="22F4EAF2" w14:textId="7142A166" w:rsidR="00AA10D8" w:rsidRPr="00AA10D8" w:rsidRDefault="00AA10D8" w:rsidP="0023423F">
      <w:pPr>
        <w:widowControl/>
        <w:spacing w:before="120" w:after="120"/>
        <w:rPr>
          <w:sz w:val="20"/>
          <w:szCs w:val="20"/>
        </w:rPr>
      </w:pPr>
      <w:r w:rsidRPr="00AA10D8">
        <w:rPr>
          <w:rFonts w:cs="Arial"/>
          <w:noProof/>
          <w:sz w:val="20"/>
          <w:szCs w:val="20"/>
        </w:rPr>
        <w:t xml:space="preserve">Hinze, A. et al., 2005. The acceptability of different types of soymilks available in Cape Town in consumers from high and low socio-economic areas. </w:t>
      </w:r>
      <w:r w:rsidRPr="00AA10D8">
        <w:rPr>
          <w:rFonts w:cs="Arial"/>
          <w:i/>
          <w:iCs/>
          <w:noProof/>
          <w:sz w:val="20"/>
          <w:szCs w:val="20"/>
        </w:rPr>
        <w:t>International Journal of Consumer Studies</w:t>
      </w:r>
      <w:r w:rsidRPr="00AA10D8">
        <w:rPr>
          <w:rFonts w:cs="Arial"/>
          <w:noProof/>
          <w:sz w:val="20"/>
          <w:szCs w:val="20"/>
        </w:rPr>
        <w:t>, 28(1), pp.40–48.</w:t>
      </w:r>
    </w:p>
    <w:p w14:paraId="7E8F506C" w14:textId="77777777" w:rsidR="009D0705" w:rsidRPr="002076F3" w:rsidRDefault="009D0705" w:rsidP="0023423F">
      <w:pPr>
        <w:widowControl/>
        <w:spacing w:before="120" w:after="120"/>
        <w:rPr>
          <w:sz w:val="20"/>
          <w:szCs w:val="20"/>
        </w:rPr>
      </w:pPr>
      <w:r w:rsidRPr="002076F3">
        <w:rPr>
          <w:sz w:val="20"/>
          <w:szCs w:val="20"/>
        </w:rPr>
        <w:t>Hurrell R (2003) Influence of vegetable protein sources on trace element and mineral bioavailability. J Nutr 133(9):2973S–2977S</w:t>
      </w:r>
    </w:p>
    <w:p w14:paraId="5B0D3818" w14:textId="77777777" w:rsidR="009D0705" w:rsidRPr="002076F3" w:rsidRDefault="009D0705" w:rsidP="0023423F">
      <w:pPr>
        <w:widowControl/>
        <w:spacing w:before="120" w:after="120"/>
        <w:rPr>
          <w:sz w:val="20"/>
          <w:szCs w:val="20"/>
        </w:rPr>
      </w:pPr>
      <w:r w:rsidRPr="002076F3">
        <w:rPr>
          <w:sz w:val="20"/>
          <w:szCs w:val="20"/>
        </w:rPr>
        <w:lastRenderedPageBreak/>
        <w:t>Jimoh W, Fagbenro O, Adeparusi E (2011) Effect of processing on some minerals, anti-nutrients and nutritional composition of sesame (</w:t>
      </w:r>
      <w:r w:rsidRPr="002076F3">
        <w:rPr>
          <w:i/>
          <w:sz w:val="20"/>
          <w:szCs w:val="20"/>
        </w:rPr>
        <w:t>Sesamum indicum</w:t>
      </w:r>
      <w:r w:rsidRPr="002076F3">
        <w:rPr>
          <w:sz w:val="20"/>
          <w:szCs w:val="20"/>
        </w:rPr>
        <w:t>) seed meals. Electronic Journal of Environmental, Agricultural and Food Chemistry 10(1):1858–1864</w:t>
      </w:r>
    </w:p>
    <w:p w14:paraId="252DCA1C" w14:textId="77777777" w:rsidR="009D0705" w:rsidRPr="002076F3" w:rsidRDefault="009D0705" w:rsidP="0023423F">
      <w:pPr>
        <w:widowControl/>
        <w:spacing w:before="120" w:after="120"/>
        <w:rPr>
          <w:sz w:val="20"/>
          <w:szCs w:val="20"/>
        </w:rPr>
      </w:pPr>
      <w:r w:rsidRPr="002076F3">
        <w:rPr>
          <w:sz w:val="20"/>
          <w:szCs w:val="20"/>
        </w:rPr>
        <w:t>Liener I (1994) Implications of antinutritional components in soybean foods. Crit Rev Food Sci Nutr 34(1):31–67</w:t>
      </w:r>
    </w:p>
    <w:p w14:paraId="68AF6265" w14:textId="77777777" w:rsidR="009D0705" w:rsidRPr="002076F3" w:rsidRDefault="009D0705" w:rsidP="0023423F">
      <w:pPr>
        <w:widowControl/>
        <w:spacing w:before="120" w:after="120"/>
        <w:rPr>
          <w:sz w:val="20"/>
          <w:szCs w:val="20"/>
        </w:rPr>
      </w:pPr>
      <w:r w:rsidRPr="002076F3">
        <w:rPr>
          <w:sz w:val="20"/>
          <w:szCs w:val="20"/>
        </w:rPr>
        <w:t>Macfarlane B, Bezwoda W, Bothwell T, Baynes R, Bothwell J, MacPhail A, Lamparelli R, Mayet F (1988) Inhibitory effect of nuts on iron absorption. The American Journal of Clinical Nutrition 47(2):270–274</w:t>
      </w:r>
    </w:p>
    <w:p w14:paraId="2B5EAECF" w14:textId="77777777" w:rsidR="009D0705" w:rsidRPr="002076F3" w:rsidRDefault="009D0705" w:rsidP="0023423F">
      <w:pPr>
        <w:widowControl/>
        <w:spacing w:before="120" w:after="120"/>
        <w:rPr>
          <w:sz w:val="20"/>
          <w:szCs w:val="20"/>
        </w:rPr>
      </w:pPr>
      <w:r w:rsidRPr="002076F3">
        <w:rPr>
          <w:sz w:val="20"/>
          <w:szCs w:val="20"/>
        </w:rPr>
        <w:t>McCready, SA (17-3-2011) Non-Dairy, Nut-Based Milk and Method of Production. U.S.A. Patent US20110064862 A1 Patent Application US 12/758,304.</w:t>
      </w:r>
    </w:p>
    <w:p w14:paraId="6A65072D" w14:textId="681DEE63" w:rsidR="009D0705" w:rsidRPr="002076F3" w:rsidRDefault="00E13B53" w:rsidP="0023423F">
      <w:pPr>
        <w:widowControl/>
        <w:spacing w:before="120" w:after="120"/>
        <w:rPr>
          <w:sz w:val="20"/>
          <w:szCs w:val="20"/>
        </w:rPr>
      </w:pPr>
      <w:hyperlink r:id="rId33" w:history="1">
        <w:r w:rsidR="002076F3" w:rsidRPr="00A15AB6">
          <w:rPr>
            <w:rStyle w:val="Hyperlink"/>
            <w:sz w:val="20"/>
            <w:szCs w:val="20"/>
          </w:rPr>
          <w:t>https://www.google.com/patents/US20110064862?dq=US+patent+Non-dairy,+nut-based+milk+and+method+of+production&amp;hl=en&amp;sa=X&amp;ei=txcrVe7MHIOwmAWwvIAo&amp;ved=0CB4Q6AEwAA</w:t>
        </w:r>
      </w:hyperlink>
      <w:r w:rsidR="002076F3">
        <w:rPr>
          <w:sz w:val="20"/>
          <w:szCs w:val="20"/>
        </w:rPr>
        <w:t xml:space="preserve"> </w:t>
      </w:r>
    </w:p>
    <w:p w14:paraId="334DEDF4" w14:textId="3B6394CB" w:rsidR="009D0705" w:rsidRPr="002076F3" w:rsidRDefault="009D0705" w:rsidP="0023423F">
      <w:pPr>
        <w:widowControl/>
        <w:spacing w:before="120" w:after="120"/>
        <w:rPr>
          <w:sz w:val="20"/>
          <w:szCs w:val="20"/>
        </w:rPr>
      </w:pPr>
      <w:r w:rsidRPr="002076F3">
        <w:rPr>
          <w:sz w:val="20"/>
          <w:szCs w:val="20"/>
        </w:rPr>
        <w:t xml:space="preserve">NHMRC </w:t>
      </w:r>
      <w:r w:rsidR="00355686">
        <w:rPr>
          <w:sz w:val="20"/>
          <w:szCs w:val="20"/>
        </w:rPr>
        <w:t xml:space="preserve">and </w:t>
      </w:r>
      <w:r w:rsidR="00B03B50">
        <w:rPr>
          <w:sz w:val="20"/>
          <w:szCs w:val="20"/>
        </w:rPr>
        <w:t>NZ MOH</w:t>
      </w:r>
      <w:r w:rsidR="00355686">
        <w:rPr>
          <w:sz w:val="20"/>
          <w:szCs w:val="20"/>
        </w:rPr>
        <w:t xml:space="preserve">. </w:t>
      </w:r>
      <w:r w:rsidRPr="002076F3">
        <w:rPr>
          <w:sz w:val="20"/>
          <w:szCs w:val="20"/>
        </w:rPr>
        <w:t>(2006) Nutrient Reference Values for Australia and New Zealand. Commonwealth of Australia.</w:t>
      </w:r>
    </w:p>
    <w:p w14:paraId="4FAE7F48" w14:textId="79A752EC" w:rsidR="009D0705" w:rsidRPr="002076F3" w:rsidRDefault="00E13B53" w:rsidP="0023423F">
      <w:pPr>
        <w:widowControl/>
        <w:spacing w:before="120" w:after="120"/>
        <w:rPr>
          <w:sz w:val="20"/>
          <w:szCs w:val="20"/>
        </w:rPr>
      </w:pPr>
      <w:hyperlink r:id="rId34" w:history="1">
        <w:r w:rsidR="00A05207" w:rsidRPr="00F0161E">
          <w:rPr>
            <w:rStyle w:val="Hyperlink"/>
            <w:sz w:val="20"/>
            <w:szCs w:val="20"/>
          </w:rPr>
          <w:t>https://www.nhmrc.gov.au/_files_nhmrc/publications/attachments/n35.pdf</w:t>
        </w:r>
      </w:hyperlink>
      <w:r w:rsidR="00A05207">
        <w:rPr>
          <w:sz w:val="20"/>
          <w:szCs w:val="20"/>
        </w:rPr>
        <w:t>.</w:t>
      </w:r>
      <w:r w:rsidR="009D0705" w:rsidRPr="002076F3">
        <w:rPr>
          <w:sz w:val="20"/>
          <w:szCs w:val="20"/>
        </w:rPr>
        <w:t xml:space="preserve"> Accessed 17 February 2015</w:t>
      </w:r>
    </w:p>
    <w:p w14:paraId="4986EF2C" w14:textId="77777777" w:rsidR="009D0705" w:rsidRPr="002076F3" w:rsidRDefault="009D0705" w:rsidP="0023423F">
      <w:pPr>
        <w:widowControl/>
        <w:spacing w:before="120" w:after="120"/>
        <w:rPr>
          <w:sz w:val="20"/>
          <w:szCs w:val="20"/>
        </w:rPr>
      </w:pPr>
      <w:r w:rsidRPr="002076F3">
        <w:rPr>
          <w:sz w:val="20"/>
          <w:szCs w:val="20"/>
        </w:rPr>
        <w:t>Raes K, Knockaert D, Struijs K, Camp Jv (2014) Role of processing on bioaccessibility of minerals: influence of localization of minerals and anti-nutritional factors in the plant. Trends in Food Science &amp; Technology 37(1):32–41</w:t>
      </w:r>
    </w:p>
    <w:p w14:paraId="58923B02" w14:textId="77777777" w:rsidR="009D0705" w:rsidRPr="002076F3" w:rsidRDefault="009D0705" w:rsidP="0023423F">
      <w:pPr>
        <w:widowControl/>
        <w:spacing w:before="120" w:after="120"/>
        <w:rPr>
          <w:sz w:val="20"/>
          <w:szCs w:val="20"/>
        </w:rPr>
      </w:pPr>
      <w:r w:rsidRPr="002076F3">
        <w:rPr>
          <w:sz w:val="20"/>
          <w:szCs w:val="20"/>
        </w:rPr>
        <w:t>Rafferty K, Walters G, Heaney R (2007) Calcium fortificants: overview and strategies for improving calcium nutriture of the U.S. population. J Food Sci 72(9):R152–R158</w:t>
      </w:r>
    </w:p>
    <w:p w14:paraId="7CEE9543" w14:textId="77777777" w:rsidR="009D0705" w:rsidRPr="002076F3" w:rsidRDefault="009D0705" w:rsidP="0023423F">
      <w:pPr>
        <w:widowControl/>
        <w:spacing w:before="120" w:after="120"/>
        <w:rPr>
          <w:sz w:val="20"/>
          <w:szCs w:val="20"/>
        </w:rPr>
      </w:pPr>
      <w:r w:rsidRPr="002076F3">
        <w:rPr>
          <w:sz w:val="20"/>
          <w:szCs w:val="20"/>
        </w:rPr>
        <w:t>Reddy N, Sathe S (2001) Food phytates.  CRC Press,</w:t>
      </w:r>
    </w:p>
    <w:p w14:paraId="67E12DDD" w14:textId="77777777" w:rsidR="009D0705" w:rsidRPr="002076F3" w:rsidRDefault="009D0705" w:rsidP="0023423F">
      <w:pPr>
        <w:widowControl/>
        <w:spacing w:before="120" w:after="120"/>
        <w:rPr>
          <w:sz w:val="20"/>
          <w:szCs w:val="20"/>
        </w:rPr>
      </w:pPr>
      <w:r w:rsidRPr="002076F3">
        <w:rPr>
          <w:sz w:val="20"/>
          <w:szCs w:val="20"/>
        </w:rPr>
        <w:t>Reddy N, Sathe S, Salunkhe D (1982) Phytates in legumes and cereals. Advances in food research 28:1–92</w:t>
      </w:r>
    </w:p>
    <w:p w14:paraId="44A96129" w14:textId="77777777" w:rsidR="009D0705" w:rsidRPr="002076F3" w:rsidRDefault="009D0705" w:rsidP="0023423F">
      <w:pPr>
        <w:widowControl/>
        <w:spacing w:before="120" w:after="120"/>
        <w:rPr>
          <w:sz w:val="20"/>
          <w:szCs w:val="20"/>
        </w:rPr>
      </w:pPr>
      <w:r w:rsidRPr="002076F3">
        <w:rPr>
          <w:sz w:val="20"/>
          <w:szCs w:val="20"/>
        </w:rPr>
        <w:t>Reinhold J (1971) High phytate content of rural Iranian bread: a possible cause of human zinc deficiency. Am J Clin Nutr 24(10):1204–1206</w:t>
      </w:r>
    </w:p>
    <w:p w14:paraId="31012E9F" w14:textId="77777777" w:rsidR="009D0705" w:rsidRPr="002076F3" w:rsidRDefault="009D0705" w:rsidP="0023423F">
      <w:pPr>
        <w:widowControl/>
        <w:spacing w:before="120" w:after="120"/>
        <w:rPr>
          <w:sz w:val="20"/>
          <w:szCs w:val="20"/>
        </w:rPr>
      </w:pPr>
      <w:r w:rsidRPr="002076F3">
        <w:rPr>
          <w:sz w:val="20"/>
          <w:szCs w:val="20"/>
        </w:rPr>
        <w:t>Reinhold J, Nasr K, Lahimgarzadeh A, Hedayati H (1973) Effects of purified phytate and phytate-rich bread upon metabolism of zinc, calcium, phosphorus, and nitrogen in man. Lancet 1(7798):283–288</w:t>
      </w:r>
    </w:p>
    <w:p w14:paraId="1566639B" w14:textId="77777777" w:rsidR="009D0705" w:rsidRPr="002076F3" w:rsidRDefault="009D0705" w:rsidP="0023423F">
      <w:pPr>
        <w:widowControl/>
        <w:spacing w:before="120" w:after="120"/>
        <w:rPr>
          <w:sz w:val="20"/>
          <w:szCs w:val="20"/>
        </w:rPr>
      </w:pPr>
      <w:r w:rsidRPr="002076F3">
        <w:rPr>
          <w:sz w:val="20"/>
          <w:szCs w:val="20"/>
        </w:rPr>
        <w:t>Reinwald S, Weaver C (2010) Soy components vs. whole soy: are we betting our bones on a long shot? J Nutr 140(12):2312S–2317S</w:t>
      </w:r>
    </w:p>
    <w:p w14:paraId="1407DC9F" w14:textId="77777777" w:rsidR="009D0705" w:rsidRPr="002076F3" w:rsidRDefault="009D0705" w:rsidP="0023423F">
      <w:pPr>
        <w:widowControl/>
        <w:spacing w:before="120" w:after="120"/>
        <w:rPr>
          <w:sz w:val="20"/>
          <w:szCs w:val="20"/>
        </w:rPr>
      </w:pPr>
      <w:r w:rsidRPr="002076F3">
        <w:rPr>
          <w:sz w:val="20"/>
          <w:szCs w:val="20"/>
        </w:rPr>
        <w:t>Retail World Pty Ltd (2012) Retail World Annual Report. 46th ed, Retail World Pty Ltd, North Parramatta</w:t>
      </w:r>
    </w:p>
    <w:p w14:paraId="0CA772CB" w14:textId="77777777" w:rsidR="009D0705" w:rsidRPr="002076F3" w:rsidRDefault="009D0705" w:rsidP="0023423F">
      <w:pPr>
        <w:widowControl/>
        <w:spacing w:before="120" w:after="120"/>
        <w:rPr>
          <w:sz w:val="20"/>
          <w:szCs w:val="20"/>
        </w:rPr>
      </w:pPr>
      <w:r w:rsidRPr="002076F3">
        <w:rPr>
          <w:sz w:val="20"/>
          <w:szCs w:val="20"/>
        </w:rPr>
        <w:t>Retail World Pty Ltd (2014) Retail World Annual Report. 48th ed, Retail World Pty Ltd, North Parramatta</w:t>
      </w:r>
    </w:p>
    <w:p w14:paraId="0EEB7D9C" w14:textId="77777777" w:rsidR="009D0705" w:rsidRPr="002076F3" w:rsidRDefault="009D0705" w:rsidP="0023423F">
      <w:pPr>
        <w:widowControl/>
        <w:spacing w:before="120" w:after="120"/>
        <w:rPr>
          <w:sz w:val="20"/>
          <w:szCs w:val="20"/>
        </w:rPr>
      </w:pPr>
      <w:r w:rsidRPr="002076F3">
        <w:rPr>
          <w:sz w:val="20"/>
          <w:szCs w:val="20"/>
        </w:rPr>
        <w:t>Tang A, Walker K, Wilcox G, Strauss B, Ashton J, Stojanovska L (2010) Calcium absorption in Australian osteopenic post-menopausal women: an acute comparative study of fortified soymilk to cows' milk. Asia Pac J Clin Nutr 19(2):243–249</w:t>
      </w:r>
    </w:p>
    <w:p w14:paraId="07C94B2A" w14:textId="1B202299" w:rsidR="001D0FBF" w:rsidRPr="002076F3" w:rsidRDefault="001D0FBF" w:rsidP="0023423F">
      <w:pPr>
        <w:widowControl/>
        <w:spacing w:before="120" w:after="120"/>
        <w:rPr>
          <w:sz w:val="20"/>
          <w:szCs w:val="20"/>
        </w:rPr>
      </w:pPr>
      <w:r>
        <w:rPr>
          <w:sz w:val="20"/>
          <w:szCs w:val="20"/>
        </w:rPr>
        <w:t>WHO</w:t>
      </w:r>
      <w:r w:rsidRPr="002076F3">
        <w:rPr>
          <w:sz w:val="20"/>
          <w:szCs w:val="20"/>
        </w:rPr>
        <w:t xml:space="preserve"> (20</w:t>
      </w:r>
      <w:r>
        <w:rPr>
          <w:sz w:val="20"/>
          <w:szCs w:val="20"/>
        </w:rPr>
        <w:t>09</w:t>
      </w:r>
      <w:r w:rsidRPr="002076F3">
        <w:rPr>
          <w:sz w:val="20"/>
          <w:szCs w:val="20"/>
        </w:rPr>
        <w:t xml:space="preserve">) </w:t>
      </w:r>
      <w:r>
        <w:rPr>
          <w:sz w:val="20"/>
          <w:szCs w:val="20"/>
        </w:rPr>
        <w:t>Environmental Health Criteria 240: Principles and Methods for the Risk Assessment of Chemicals in Food – Annex 1 Glossary of Terms</w:t>
      </w:r>
      <w:r w:rsidRPr="002076F3">
        <w:rPr>
          <w:sz w:val="20"/>
          <w:szCs w:val="20"/>
        </w:rPr>
        <w:t>.</w:t>
      </w:r>
    </w:p>
    <w:p w14:paraId="5055460D" w14:textId="7B65B55C" w:rsidR="001D0FBF" w:rsidRPr="002076F3" w:rsidRDefault="00E13B53" w:rsidP="0023423F">
      <w:pPr>
        <w:widowControl/>
        <w:spacing w:before="120" w:after="120"/>
        <w:rPr>
          <w:sz w:val="20"/>
          <w:szCs w:val="20"/>
        </w:rPr>
      </w:pPr>
      <w:hyperlink r:id="rId35" w:history="1">
        <w:r w:rsidR="001D0FBF" w:rsidRPr="006D6275">
          <w:rPr>
            <w:rStyle w:val="Hyperlink"/>
          </w:rPr>
          <w:t>http://www.inchem.org/documents/ehc/ehc/ehc240_annex1.pdf</w:t>
        </w:r>
      </w:hyperlink>
      <w:r w:rsidR="001D0FBF" w:rsidRPr="002076F3">
        <w:rPr>
          <w:sz w:val="20"/>
          <w:szCs w:val="20"/>
        </w:rPr>
        <w:t>. Accessed 2</w:t>
      </w:r>
      <w:r w:rsidR="001D0FBF">
        <w:rPr>
          <w:sz w:val="20"/>
          <w:szCs w:val="20"/>
        </w:rPr>
        <w:t>7</w:t>
      </w:r>
      <w:r w:rsidR="001D0FBF" w:rsidRPr="002076F3">
        <w:rPr>
          <w:sz w:val="20"/>
          <w:szCs w:val="20"/>
        </w:rPr>
        <w:t xml:space="preserve"> </w:t>
      </w:r>
      <w:r w:rsidR="001D0FBF">
        <w:rPr>
          <w:sz w:val="20"/>
          <w:szCs w:val="20"/>
        </w:rPr>
        <w:t>May</w:t>
      </w:r>
      <w:r w:rsidR="001D0FBF" w:rsidRPr="002076F3">
        <w:rPr>
          <w:sz w:val="20"/>
          <w:szCs w:val="20"/>
        </w:rPr>
        <w:t xml:space="preserve"> 2015</w:t>
      </w:r>
    </w:p>
    <w:p w14:paraId="29108EDB" w14:textId="248E31BE" w:rsidR="006B2784" w:rsidRDefault="009D0705" w:rsidP="0023423F">
      <w:pPr>
        <w:widowControl/>
        <w:spacing w:before="120" w:after="120"/>
      </w:pPr>
      <w:r w:rsidRPr="002076F3">
        <w:rPr>
          <w:sz w:val="20"/>
          <w:szCs w:val="20"/>
        </w:rPr>
        <w:t xml:space="preserve">Zhao Y, Martin B, Weaver C (2005) Calcium bioavailability of calcium carbonate fortified soymilk is equivalent to </w:t>
      </w:r>
      <w:r w:rsidRPr="002076F3" w:rsidDel="00321FCF">
        <w:rPr>
          <w:sz w:val="20"/>
          <w:szCs w:val="20"/>
        </w:rPr>
        <w:t>cow's</w:t>
      </w:r>
      <w:r w:rsidRPr="002076F3">
        <w:rPr>
          <w:sz w:val="20"/>
          <w:szCs w:val="20"/>
        </w:rPr>
        <w:t xml:space="preserve"> milk in young women. J Nutr 135(10):2379–2382</w:t>
      </w:r>
    </w:p>
    <w:p w14:paraId="7B4534E2" w14:textId="77777777" w:rsidR="006B2784" w:rsidRDefault="006B2784" w:rsidP="00D20A1E">
      <w:pPr>
        <w:pStyle w:val="Caption"/>
        <w:widowControl/>
        <w:sectPr w:rsidR="006B2784" w:rsidSect="008A3D24">
          <w:pgSz w:w="11906" w:h="16838"/>
          <w:pgMar w:top="1440" w:right="1440" w:bottom="1440" w:left="1440" w:header="709" w:footer="709" w:gutter="0"/>
          <w:pgBorders w:offsetFrom="page">
            <w:top w:val="single" w:sz="2" w:space="6" w:color="FFFFFF" w:themeColor="accent5" w:themeTint="00" w:themeShade="00" w:shadow="1" w:frame="1"/>
          </w:pgBorders>
          <w:cols w:space="708"/>
          <w:docGrid w:linePitch="360"/>
        </w:sectPr>
      </w:pPr>
    </w:p>
    <w:p w14:paraId="290AAD53" w14:textId="7AAB7B7D" w:rsidR="006B2784" w:rsidRDefault="006B2784" w:rsidP="0023423F">
      <w:pPr>
        <w:pStyle w:val="Heading2"/>
      </w:pPr>
      <w:bookmarkStart w:id="192" w:name="_Ref417648450"/>
      <w:bookmarkStart w:id="193" w:name="_Toc427672198"/>
      <w:bookmarkStart w:id="194" w:name="_Toc427678264"/>
      <w:r>
        <w:lastRenderedPageBreak/>
        <w:t xml:space="preserve">Appendix </w:t>
      </w:r>
      <w:fldSimple w:instr=" SEQ Appendix \* ARABIC ">
        <w:r w:rsidR="00047581">
          <w:rPr>
            <w:noProof/>
          </w:rPr>
          <w:t>1</w:t>
        </w:r>
      </w:fldSimple>
      <w:bookmarkEnd w:id="192"/>
      <w:r w:rsidR="0023423F">
        <w:rPr>
          <w:noProof/>
        </w:rPr>
        <w:t xml:space="preserve"> – </w:t>
      </w:r>
      <w:r w:rsidR="00A92E94">
        <w:rPr>
          <w:noProof/>
        </w:rPr>
        <w:t>Additional nutrient composition, nutrient intake and food consumption information</w:t>
      </w:r>
      <w:bookmarkEnd w:id="193"/>
      <w:bookmarkEnd w:id="194"/>
    </w:p>
    <w:p w14:paraId="246FBC64" w14:textId="46A156FE" w:rsidR="006B2784" w:rsidRDefault="006B2784" w:rsidP="00D20A1E">
      <w:pPr>
        <w:pStyle w:val="FSTableTitle"/>
        <w:widowControl/>
        <w:rPr>
          <w:noProof/>
        </w:rPr>
      </w:pPr>
      <w:bookmarkStart w:id="195" w:name="_Ref417648633"/>
      <w:r>
        <w:t>Table A1.</w:t>
      </w:r>
      <w:fldSimple w:instr=" SEQ Table_A1. \* ARABIC ">
        <w:r w:rsidR="00047581">
          <w:rPr>
            <w:noProof/>
          </w:rPr>
          <w:t>1</w:t>
        </w:r>
      </w:fldSimple>
      <w:bookmarkEnd w:id="195"/>
      <w:r>
        <w:t>:</w:t>
      </w:r>
      <w:r w:rsidR="00F6296A">
        <w:rPr>
          <w:noProof/>
        </w:rPr>
        <w:t xml:space="preserve"> </w:t>
      </w:r>
      <w:r>
        <w:rPr>
          <w:noProof/>
        </w:rPr>
        <w:t xml:space="preserve">Nutrient content of </w:t>
      </w:r>
      <w:r w:rsidR="00FA56B6">
        <w:rPr>
          <w:noProof/>
        </w:rPr>
        <w:t>cow’s</w:t>
      </w:r>
      <w:r>
        <w:rPr>
          <w:noProof/>
        </w:rPr>
        <w:t xml:space="preserve"> milk</w:t>
      </w:r>
      <w:r w:rsidR="00932BFD">
        <w:rPr>
          <w:noProof/>
        </w:rPr>
        <w:t>, coconut-based milk substitutes</w:t>
      </w:r>
      <w:r w:rsidR="00D96B30">
        <w:rPr>
          <w:noProof/>
        </w:rPr>
        <w:t xml:space="preserve"> </w:t>
      </w:r>
      <w:r>
        <w:rPr>
          <w:noProof/>
        </w:rPr>
        <w:t>and soy-, oat-, rice-</w:t>
      </w:r>
      <w:r w:rsidR="00D96B30">
        <w:rPr>
          <w:noProof/>
        </w:rPr>
        <w:t>,</w:t>
      </w:r>
      <w:r>
        <w:rPr>
          <w:noProof/>
        </w:rPr>
        <w:t xml:space="preserve"> almond-</w:t>
      </w:r>
      <w:r w:rsidR="00D96B30">
        <w:rPr>
          <w:noProof/>
        </w:rPr>
        <w:t>, almond blend- and other nut-</w:t>
      </w:r>
      <w:r>
        <w:rPr>
          <w:noProof/>
        </w:rPr>
        <w:t>based beverages</w:t>
      </w:r>
    </w:p>
    <w:p w14:paraId="1FAD5D0E" w14:textId="77777777" w:rsidR="0023423F" w:rsidRPr="0023423F" w:rsidRDefault="0023423F" w:rsidP="0023423F"/>
    <w:tbl>
      <w:tblPr>
        <w:tblStyle w:val="LightShading-Accent3"/>
        <w:tblW w:w="13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763"/>
        <w:gridCol w:w="780"/>
        <w:gridCol w:w="610"/>
        <w:gridCol w:w="609"/>
        <w:gridCol w:w="609"/>
        <w:gridCol w:w="609"/>
        <w:gridCol w:w="609"/>
        <w:gridCol w:w="722"/>
        <w:gridCol w:w="609"/>
        <w:gridCol w:w="609"/>
        <w:gridCol w:w="609"/>
        <w:gridCol w:w="609"/>
        <w:gridCol w:w="609"/>
        <w:gridCol w:w="609"/>
        <w:gridCol w:w="609"/>
        <w:gridCol w:w="609"/>
        <w:gridCol w:w="609"/>
        <w:gridCol w:w="609"/>
        <w:gridCol w:w="612"/>
      </w:tblGrid>
      <w:tr w:rsidR="006B2784" w:rsidRPr="0047393D" w14:paraId="7439161E" w14:textId="77777777" w:rsidTr="0026334B">
        <w:trPr>
          <w:cnfStyle w:val="100000000000" w:firstRow="1" w:lastRow="0" w:firstColumn="0" w:lastColumn="0" w:oddVBand="0" w:evenVBand="0" w:oddHBand="0" w:evenHBand="0" w:firstRowFirstColumn="0" w:firstRowLastColumn="0" w:lastRowFirstColumn="0" w:lastRowLastColumn="0"/>
          <w:trHeight w:val="419"/>
          <w:tblHeader/>
        </w:trPr>
        <w:tc>
          <w:tcPr>
            <w:cnfStyle w:val="001000000000" w:firstRow="0" w:lastRow="0" w:firstColumn="1" w:lastColumn="0" w:oddVBand="0" w:evenVBand="0" w:oddHBand="0" w:evenHBand="0" w:firstRowFirstColumn="0" w:firstRowLastColumn="0" w:lastRowFirstColumn="0" w:lastRowLastColumn="0"/>
            <w:tcW w:w="1747" w:type="dxa"/>
            <w:tcBorders>
              <w:top w:val="single" w:sz="8" w:space="0" w:color="auto"/>
              <w:left w:val="single" w:sz="8" w:space="0" w:color="auto"/>
              <w:bottom w:val="single" w:sz="6" w:space="0" w:color="auto"/>
              <w:right w:val="single" w:sz="6" w:space="0" w:color="auto"/>
            </w:tcBorders>
            <w:shd w:val="clear" w:color="auto" w:fill="B8CCE4" w:themeFill="accent1" w:themeFillTint="66"/>
            <w:vAlign w:val="center"/>
            <w:hideMark/>
          </w:tcPr>
          <w:p w14:paraId="6D9B12A8"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Nutrients</w:t>
            </w:r>
          </w:p>
        </w:tc>
        <w:tc>
          <w:tcPr>
            <w:tcW w:w="763" w:type="dxa"/>
            <w:tcBorders>
              <w:top w:val="single" w:sz="8" w:space="0" w:color="auto"/>
              <w:left w:val="single" w:sz="6" w:space="0" w:color="auto"/>
              <w:bottom w:val="single" w:sz="6" w:space="0" w:color="auto"/>
              <w:right w:val="single" w:sz="6" w:space="0" w:color="auto"/>
            </w:tcBorders>
            <w:shd w:val="clear" w:color="auto" w:fill="B8CCE4" w:themeFill="accent1" w:themeFillTint="66"/>
            <w:noWrap/>
            <w:vAlign w:val="center"/>
            <w:hideMark/>
          </w:tcPr>
          <w:p w14:paraId="71279810" w14:textId="7C0E0129" w:rsidR="006B2784" w:rsidRPr="0047393D" w:rsidRDefault="00FA56B6" w:rsidP="00D20A1E">
            <w:pPr>
              <w:widowControl/>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lang w:eastAsia="en-GB" w:bidi="ar-SA"/>
              </w:rPr>
            </w:pPr>
            <w:r>
              <w:rPr>
                <w:rFonts w:cs="Arial"/>
                <w:color w:val="000000"/>
                <w:sz w:val="18"/>
                <w:szCs w:val="18"/>
                <w:lang w:eastAsia="en-GB" w:bidi="ar-SA"/>
              </w:rPr>
              <w:t>Cow’s</w:t>
            </w:r>
            <w:r w:rsidR="006B2784" w:rsidRPr="0047393D">
              <w:rPr>
                <w:rFonts w:cs="Arial"/>
                <w:color w:val="000000"/>
                <w:sz w:val="18"/>
                <w:szCs w:val="18"/>
                <w:lang w:eastAsia="en-GB" w:bidi="ar-SA"/>
              </w:rPr>
              <w:t xml:space="preserve"> Milk</w:t>
            </w:r>
          </w:p>
        </w:tc>
        <w:tc>
          <w:tcPr>
            <w:tcW w:w="1390" w:type="dxa"/>
            <w:gridSpan w:val="2"/>
            <w:tcBorders>
              <w:top w:val="single" w:sz="8" w:space="0" w:color="auto"/>
              <w:left w:val="single" w:sz="6" w:space="0" w:color="auto"/>
              <w:bottom w:val="single" w:sz="6" w:space="0" w:color="auto"/>
              <w:right w:val="single" w:sz="6" w:space="0" w:color="auto"/>
            </w:tcBorders>
            <w:shd w:val="clear" w:color="auto" w:fill="B8CCE4" w:themeFill="accent1" w:themeFillTint="66"/>
            <w:noWrap/>
            <w:vAlign w:val="center"/>
            <w:hideMark/>
          </w:tcPr>
          <w:p w14:paraId="17018059" w14:textId="77777777"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Soy Beverages</w:t>
            </w:r>
          </w:p>
        </w:tc>
        <w:tc>
          <w:tcPr>
            <w:tcW w:w="1218" w:type="dxa"/>
            <w:gridSpan w:val="2"/>
            <w:tcBorders>
              <w:top w:val="single" w:sz="8" w:space="0" w:color="auto"/>
              <w:left w:val="single" w:sz="6" w:space="0" w:color="auto"/>
              <w:bottom w:val="single" w:sz="6" w:space="0" w:color="auto"/>
              <w:right w:val="single" w:sz="6" w:space="0" w:color="auto"/>
            </w:tcBorders>
            <w:shd w:val="clear" w:color="auto" w:fill="B8CCE4" w:themeFill="accent1" w:themeFillTint="66"/>
            <w:noWrap/>
            <w:vAlign w:val="center"/>
            <w:hideMark/>
          </w:tcPr>
          <w:p w14:paraId="2FA5846A" w14:textId="77777777"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 xml:space="preserve">Oat </w:t>
            </w:r>
            <w:r>
              <w:rPr>
                <w:rFonts w:cs="Arial"/>
                <w:color w:val="000000"/>
                <w:sz w:val="18"/>
                <w:szCs w:val="18"/>
                <w:lang w:eastAsia="en-GB" w:bidi="ar-SA"/>
              </w:rPr>
              <w:t>–Based Beverage</w:t>
            </w:r>
            <w:r w:rsidRPr="0047393D">
              <w:rPr>
                <w:rFonts w:cs="Arial"/>
                <w:color w:val="000000"/>
                <w:sz w:val="18"/>
                <w:szCs w:val="18"/>
                <w:lang w:eastAsia="en-GB" w:bidi="ar-SA"/>
              </w:rPr>
              <w:t>s</w:t>
            </w:r>
          </w:p>
        </w:tc>
        <w:tc>
          <w:tcPr>
            <w:tcW w:w="1218" w:type="dxa"/>
            <w:gridSpan w:val="2"/>
            <w:tcBorders>
              <w:top w:val="single" w:sz="8" w:space="0" w:color="auto"/>
              <w:left w:val="single" w:sz="6" w:space="0" w:color="auto"/>
              <w:bottom w:val="single" w:sz="6" w:space="0" w:color="auto"/>
              <w:right w:val="single" w:sz="6" w:space="0" w:color="auto"/>
            </w:tcBorders>
            <w:shd w:val="clear" w:color="auto" w:fill="B8CCE4" w:themeFill="accent1" w:themeFillTint="66"/>
            <w:noWrap/>
            <w:vAlign w:val="center"/>
            <w:hideMark/>
          </w:tcPr>
          <w:p w14:paraId="7BD5A52E" w14:textId="77777777"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Rice</w:t>
            </w:r>
            <w:r>
              <w:rPr>
                <w:rFonts w:cs="Arial"/>
                <w:color w:val="000000"/>
                <w:sz w:val="18"/>
                <w:szCs w:val="18"/>
                <w:lang w:eastAsia="en-GB" w:bidi="ar-SA"/>
              </w:rPr>
              <w:t>-Based Beverages</w:t>
            </w:r>
          </w:p>
        </w:tc>
        <w:tc>
          <w:tcPr>
            <w:tcW w:w="7424" w:type="dxa"/>
            <w:gridSpan w:val="12"/>
            <w:tcBorders>
              <w:top w:val="single" w:sz="8" w:space="0" w:color="auto"/>
              <w:left w:val="single" w:sz="6" w:space="0" w:color="auto"/>
              <w:bottom w:val="single" w:sz="6" w:space="0" w:color="auto"/>
              <w:right w:val="single" w:sz="8" w:space="0" w:color="auto"/>
            </w:tcBorders>
            <w:shd w:val="clear" w:color="auto" w:fill="B8CCE4" w:themeFill="accent1" w:themeFillTint="66"/>
            <w:noWrap/>
            <w:vAlign w:val="center"/>
            <w:hideMark/>
          </w:tcPr>
          <w:p w14:paraId="4E2ECB46" w14:textId="77777777"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Almond</w:t>
            </w:r>
            <w:r>
              <w:rPr>
                <w:rFonts w:cs="Arial"/>
                <w:color w:val="000000"/>
                <w:sz w:val="18"/>
                <w:szCs w:val="18"/>
                <w:lang w:eastAsia="en-GB" w:bidi="ar-SA"/>
              </w:rPr>
              <w:t>-Based Beverages</w:t>
            </w:r>
          </w:p>
        </w:tc>
      </w:tr>
      <w:tr w:rsidR="00E13B53" w:rsidRPr="0047393D" w14:paraId="3D7CFB2C" w14:textId="77777777" w:rsidTr="0026334B">
        <w:trPr>
          <w:cnfStyle w:val="100000000000" w:firstRow="1" w:lastRow="0" w:firstColumn="0" w:lastColumn="0" w:oddVBand="0" w:evenVBand="0" w:oddHBand="0" w:evenHBand="0" w:firstRowFirstColumn="0" w:firstRowLastColumn="0" w:lastRowFirstColumn="0" w:lastRowLastColumn="0"/>
          <w:trHeight w:val="2274"/>
          <w:tblHeader/>
        </w:trPr>
        <w:tc>
          <w:tcPr>
            <w:cnfStyle w:val="001000000000" w:firstRow="0" w:lastRow="0" w:firstColumn="1" w:lastColumn="0" w:oddVBand="0" w:evenVBand="0" w:oddHBand="0" w:evenHBand="0" w:firstRowFirstColumn="0" w:firstRowLastColumn="0" w:lastRowFirstColumn="0" w:lastRowLastColumn="0"/>
            <w:tcW w:w="1747" w:type="dxa"/>
            <w:tcBorders>
              <w:top w:val="single" w:sz="6" w:space="0" w:color="auto"/>
              <w:left w:val="single" w:sz="8" w:space="0" w:color="auto"/>
              <w:bottom w:val="single" w:sz="8" w:space="0" w:color="auto"/>
              <w:right w:val="single" w:sz="6" w:space="0" w:color="auto"/>
            </w:tcBorders>
            <w:shd w:val="clear" w:color="auto" w:fill="B8CCE4" w:themeFill="accent1" w:themeFillTint="66"/>
            <w:hideMark/>
          </w:tcPr>
          <w:p w14:paraId="4D1266FF"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per 100 mL</w:t>
            </w:r>
          </w:p>
        </w:tc>
        <w:tc>
          <w:tcPr>
            <w:tcW w:w="763" w:type="dxa"/>
            <w:tcBorders>
              <w:top w:val="single" w:sz="6" w:space="0" w:color="auto"/>
              <w:left w:val="single" w:sz="6" w:space="0" w:color="auto"/>
              <w:bottom w:val="single" w:sz="8" w:space="0" w:color="auto"/>
              <w:right w:val="single" w:sz="6" w:space="0" w:color="auto"/>
            </w:tcBorders>
            <w:shd w:val="clear" w:color="auto" w:fill="B8CCE4" w:themeFill="accent1" w:themeFillTint="66"/>
            <w:textDirection w:val="btLr"/>
            <w:vAlign w:val="center"/>
            <w:hideMark/>
          </w:tcPr>
          <w:p w14:paraId="56062644" w14:textId="77777777"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Milk, cow, fluid, regular fat (~3.5%) ɫ</w:t>
            </w:r>
          </w:p>
        </w:tc>
        <w:tc>
          <w:tcPr>
            <w:tcW w:w="780" w:type="dxa"/>
            <w:tcBorders>
              <w:top w:val="single" w:sz="6" w:space="0" w:color="auto"/>
              <w:left w:val="single" w:sz="6" w:space="0" w:color="auto"/>
              <w:bottom w:val="single" w:sz="8" w:space="0" w:color="auto"/>
              <w:right w:val="single" w:sz="6" w:space="0" w:color="auto"/>
            </w:tcBorders>
            <w:shd w:val="clear" w:color="auto" w:fill="B8CCE4" w:themeFill="accent1" w:themeFillTint="66"/>
            <w:textDirection w:val="btLr"/>
            <w:vAlign w:val="center"/>
            <w:hideMark/>
          </w:tcPr>
          <w:p w14:paraId="44F6F28B" w14:textId="77777777"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Soy beverage, regular fat (~3%), unfortified ɫ</w:t>
            </w:r>
          </w:p>
        </w:tc>
        <w:tc>
          <w:tcPr>
            <w:tcW w:w="609" w:type="dxa"/>
            <w:tcBorders>
              <w:top w:val="single" w:sz="6" w:space="0" w:color="auto"/>
              <w:left w:val="single" w:sz="6" w:space="0" w:color="auto"/>
              <w:bottom w:val="single" w:sz="8" w:space="0" w:color="auto"/>
              <w:right w:val="single" w:sz="6" w:space="0" w:color="auto"/>
            </w:tcBorders>
            <w:shd w:val="clear" w:color="auto" w:fill="B8CCE4" w:themeFill="accent1" w:themeFillTint="66"/>
            <w:textDirection w:val="btLr"/>
            <w:vAlign w:val="center"/>
            <w:hideMark/>
          </w:tcPr>
          <w:p w14:paraId="50C3914B" w14:textId="77777777"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Soy beverage, regular fat (~3%), added Ca &amp; vitamins A, B1, B2 &amp; B12 ɫ</w:t>
            </w:r>
          </w:p>
        </w:tc>
        <w:tc>
          <w:tcPr>
            <w:tcW w:w="609" w:type="dxa"/>
            <w:tcBorders>
              <w:top w:val="single" w:sz="6" w:space="0" w:color="auto"/>
              <w:left w:val="single" w:sz="6" w:space="0" w:color="auto"/>
              <w:bottom w:val="single" w:sz="8" w:space="0" w:color="auto"/>
              <w:right w:val="single" w:sz="6" w:space="0" w:color="auto"/>
            </w:tcBorders>
            <w:shd w:val="clear" w:color="auto" w:fill="B8CCE4" w:themeFill="accent1" w:themeFillTint="66"/>
            <w:textDirection w:val="btLr"/>
            <w:vAlign w:val="center"/>
            <w:hideMark/>
          </w:tcPr>
          <w:p w14:paraId="79A9B911" w14:textId="77777777"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Milk, oat, fluid, unfortified ɫ</w:t>
            </w:r>
          </w:p>
        </w:tc>
        <w:tc>
          <w:tcPr>
            <w:tcW w:w="609" w:type="dxa"/>
            <w:tcBorders>
              <w:top w:val="single" w:sz="6" w:space="0" w:color="auto"/>
              <w:left w:val="single" w:sz="6" w:space="0" w:color="auto"/>
              <w:bottom w:val="single" w:sz="8" w:space="0" w:color="auto"/>
              <w:right w:val="single" w:sz="6" w:space="0" w:color="auto"/>
            </w:tcBorders>
            <w:shd w:val="clear" w:color="auto" w:fill="B8CCE4" w:themeFill="accent1" w:themeFillTint="66"/>
            <w:textDirection w:val="btLr"/>
            <w:vAlign w:val="center"/>
            <w:hideMark/>
          </w:tcPr>
          <w:p w14:paraId="7F2DC4AC" w14:textId="77777777"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Milk, oat, fluid, added calcium ɫ</w:t>
            </w:r>
          </w:p>
        </w:tc>
        <w:tc>
          <w:tcPr>
            <w:tcW w:w="609" w:type="dxa"/>
            <w:tcBorders>
              <w:top w:val="single" w:sz="6" w:space="0" w:color="auto"/>
              <w:left w:val="single" w:sz="6" w:space="0" w:color="auto"/>
              <w:bottom w:val="single" w:sz="8" w:space="0" w:color="auto"/>
              <w:right w:val="single" w:sz="6" w:space="0" w:color="auto"/>
            </w:tcBorders>
            <w:shd w:val="clear" w:color="auto" w:fill="B8CCE4" w:themeFill="accent1" w:themeFillTint="66"/>
            <w:textDirection w:val="btLr"/>
            <w:vAlign w:val="center"/>
            <w:hideMark/>
          </w:tcPr>
          <w:p w14:paraId="19DEF24C" w14:textId="77777777"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Milk, rice, fluid, added calcium ɫ</w:t>
            </w:r>
          </w:p>
        </w:tc>
        <w:tc>
          <w:tcPr>
            <w:tcW w:w="609" w:type="dxa"/>
            <w:tcBorders>
              <w:top w:val="single" w:sz="6" w:space="0" w:color="auto"/>
              <w:left w:val="single" w:sz="6" w:space="0" w:color="auto"/>
              <w:bottom w:val="single" w:sz="8" w:space="0" w:color="auto"/>
              <w:right w:val="single" w:sz="6" w:space="0" w:color="auto"/>
            </w:tcBorders>
            <w:shd w:val="clear" w:color="auto" w:fill="B8CCE4" w:themeFill="accent1" w:themeFillTint="66"/>
            <w:textDirection w:val="btLr"/>
            <w:vAlign w:val="center"/>
            <w:hideMark/>
          </w:tcPr>
          <w:p w14:paraId="1902122C" w14:textId="77777777"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Milk, rice, fluid, protein enriched, added calcium ɫ</w:t>
            </w:r>
          </w:p>
        </w:tc>
        <w:tc>
          <w:tcPr>
            <w:tcW w:w="722" w:type="dxa"/>
            <w:tcBorders>
              <w:top w:val="single" w:sz="6" w:space="0" w:color="auto"/>
              <w:left w:val="single" w:sz="6" w:space="0" w:color="auto"/>
              <w:bottom w:val="single" w:sz="8" w:space="0" w:color="auto"/>
              <w:right w:val="single" w:sz="6" w:space="0" w:color="auto"/>
            </w:tcBorders>
            <w:shd w:val="clear" w:color="auto" w:fill="B8CCE4" w:themeFill="accent1" w:themeFillTint="66"/>
            <w:textDirection w:val="btLr"/>
            <w:vAlign w:val="center"/>
            <w:hideMark/>
          </w:tcPr>
          <w:p w14:paraId="7F7FDD2D" w14:textId="77777777"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Milk, almond, fluid, unfortified ɫ</w:t>
            </w:r>
          </w:p>
        </w:tc>
        <w:tc>
          <w:tcPr>
            <w:tcW w:w="609" w:type="dxa"/>
            <w:tcBorders>
              <w:top w:val="single" w:sz="6" w:space="0" w:color="auto"/>
              <w:left w:val="single" w:sz="6" w:space="0" w:color="auto"/>
              <w:bottom w:val="single" w:sz="8" w:space="0" w:color="auto"/>
              <w:right w:val="single" w:sz="6" w:space="0" w:color="auto"/>
            </w:tcBorders>
            <w:shd w:val="clear" w:color="auto" w:fill="B8CCE4" w:themeFill="accent1" w:themeFillTint="66"/>
            <w:textDirection w:val="btLr"/>
            <w:vAlign w:val="center"/>
            <w:hideMark/>
          </w:tcPr>
          <w:p w14:paraId="6754F437" w14:textId="7BB77E1B"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So Good</w:t>
            </w:r>
            <w:r w:rsidR="00A05207">
              <w:rPr>
                <w:rFonts w:cs="Arial"/>
                <w:b w:val="0"/>
                <w:color w:val="000000"/>
                <w:sz w:val="18"/>
                <w:szCs w:val="18"/>
                <w:lang w:eastAsia="en-GB" w:bidi="ar-SA"/>
              </w:rPr>
              <w:t>™</w:t>
            </w:r>
            <w:r w:rsidRPr="0047393D">
              <w:rPr>
                <w:rFonts w:cs="Arial"/>
                <w:b w:val="0"/>
                <w:color w:val="000000"/>
                <w:sz w:val="18"/>
                <w:szCs w:val="18"/>
                <w:lang w:eastAsia="en-GB" w:bidi="ar-SA"/>
              </w:rPr>
              <w:t xml:space="preserve"> Almond M</w:t>
            </w:r>
            <w:r w:rsidR="00D03354">
              <w:rPr>
                <w:rFonts w:cs="Arial"/>
                <w:b w:val="0"/>
                <w:color w:val="000000"/>
                <w:sz w:val="18"/>
                <w:szCs w:val="18"/>
                <w:lang w:eastAsia="en-GB" w:bidi="ar-SA"/>
              </w:rPr>
              <w:t xml:space="preserve">ilk </w:t>
            </w:r>
            <w:r w:rsidRPr="0047393D">
              <w:rPr>
                <w:rFonts w:cs="Arial"/>
                <w:b w:val="0"/>
                <w:color w:val="000000"/>
                <w:sz w:val="18"/>
                <w:szCs w:val="18"/>
                <w:lang w:eastAsia="en-GB" w:bidi="ar-SA"/>
              </w:rPr>
              <w:t>Regular #</w:t>
            </w:r>
          </w:p>
        </w:tc>
        <w:tc>
          <w:tcPr>
            <w:tcW w:w="609" w:type="dxa"/>
            <w:tcBorders>
              <w:top w:val="single" w:sz="6" w:space="0" w:color="auto"/>
              <w:left w:val="single" w:sz="6" w:space="0" w:color="auto"/>
              <w:bottom w:val="single" w:sz="8" w:space="0" w:color="auto"/>
              <w:right w:val="single" w:sz="6" w:space="0" w:color="auto"/>
            </w:tcBorders>
            <w:shd w:val="clear" w:color="auto" w:fill="B8CCE4" w:themeFill="accent1" w:themeFillTint="66"/>
            <w:textDirection w:val="btLr"/>
            <w:vAlign w:val="center"/>
            <w:hideMark/>
          </w:tcPr>
          <w:p w14:paraId="4129DF56" w14:textId="727ADF97"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So Good</w:t>
            </w:r>
            <w:r w:rsidR="00A05207">
              <w:rPr>
                <w:rFonts w:cs="Arial"/>
                <w:b w:val="0"/>
                <w:color w:val="000000"/>
                <w:sz w:val="18"/>
                <w:szCs w:val="18"/>
                <w:lang w:eastAsia="en-GB" w:bidi="ar-SA"/>
              </w:rPr>
              <w:t xml:space="preserve">™ </w:t>
            </w:r>
            <w:r w:rsidRPr="0047393D">
              <w:rPr>
                <w:rFonts w:cs="Arial"/>
                <w:b w:val="0"/>
                <w:color w:val="000000"/>
                <w:sz w:val="18"/>
                <w:szCs w:val="18"/>
                <w:lang w:eastAsia="en-GB" w:bidi="ar-SA"/>
              </w:rPr>
              <w:t>Almond Milk Unsweetened #</w:t>
            </w:r>
          </w:p>
        </w:tc>
        <w:tc>
          <w:tcPr>
            <w:tcW w:w="609" w:type="dxa"/>
            <w:tcBorders>
              <w:top w:val="single" w:sz="6" w:space="0" w:color="auto"/>
              <w:left w:val="single" w:sz="6" w:space="0" w:color="auto"/>
              <w:bottom w:val="single" w:sz="8" w:space="0" w:color="auto"/>
              <w:right w:val="single" w:sz="6" w:space="0" w:color="auto"/>
            </w:tcBorders>
            <w:shd w:val="clear" w:color="auto" w:fill="B8CCE4" w:themeFill="accent1" w:themeFillTint="66"/>
            <w:textDirection w:val="btLr"/>
            <w:vAlign w:val="center"/>
            <w:hideMark/>
          </w:tcPr>
          <w:p w14:paraId="7E69BBA8" w14:textId="714D36AE"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So Good</w:t>
            </w:r>
            <w:r w:rsidR="00A05207">
              <w:rPr>
                <w:rFonts w:cs="Arial"/>
                <w:b w:val="0"/>
                <w:color w:val="000000"/>
                <w:sz w:val="18"/>
                <w:szCs w:val="18"/>
                <w:lang w:eastAsia="en-GB" w:bidi="ar-SA"/>
              </w:rPr>
              <w:t xml:space="preserve">™ </w:t>
            </w:r>
            <w:r w:rsidRPr="0047393D">
              <w:rPr>
                <w:rFonts w:cs="Arial"/>
                <w:b w:val="0"/>
                <w:color w:val="000000"/>
                <w:sz w:val="18"/>
                <w:szCs w:val="18"/>
                <w:lang w:eastAsia="en-GB" w:bidi="ar-SA"/>
              </w:rPr>
              <w:t>Almond Milk Vanilla Flavoured #</w:t>
            </w:r>
          </w:p>
        </w:tc>
        <w:tc>
          <w:tcPr>
            <w:tcW w:w="609" w:type="dxa"/>
            <w:tcBorders>
              <w:top w:val="single" w:sz="6" w:space="0" w:color="auto"/>
              <w:left w:val="single" w:sz="6" w:space="0" w:color="auto"/>
              <w:bottom w:val="single" w:sz="8" w:space="0" w:color="auto"/>
              <w:right w:val="single" w:sz="6" w:space="0" w:color="auto"/>
            </w:tcBorders>
            <w:shd w:val="clear" w:color="auto" w:fill="B8CCE4" w:themeFill="accent1" w:themeFillTint="66"/>
            <w:textDirection w:val="btLr"/>
            <w:vAlign w:val="center"/>
            <w:hideMark/>
          </w:tcPr>
          <w:p w14:paraId="39511EEF" w14:textId="7CF25637"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Almond Breeze</w:t>
            </w:r>
            <w:r w:rsidR="00A05207">
              <w:rPr>
                <w:rFonts w:cs="Arial"/>
                <w:b w:val="0"/>
                <w:color w:val="000000"/>
                <w:sz w:val="18"/>
                <w:szCs w:val="18"/>
                <w:lang w:eastAsia="en-GB" w:bidi="ar-SA"/>
              </w:rPr>
              <w:t>™</w:t>
            </w:r>
            <w:r w:rsidRPr="0047393D">
              <w:rPr>
                <w:rFonts w:cs="Arial"/>
                <w:b w:val="0"/>
                <w:color w:val="000000"/>
                <w:sz w:val="18"/>
                <w:szCs w:val="18"/>
                <w:lang w:eastAsia="en-GB" w:bidi="ar-SA"/>
              </w:rPr>
              <w:t xml:space="preserve"> Original Almond Milk #</w:t>
            </w:r>
          </w:p>
        </w:tc>
        <w:tc>
          <w:tcPr>
            <w:tcW w:w="609" w:type="dxa"/>
            <w:tcBorders>
              <w:top w:val="single" w:sz="6" w:space="0" w:color="auto"/>
              <w:left w:val="single" w:sz="6" w:space="0" w:color="auto"/>
              <w:bottom w:val="single" w:sz="8" w:space="0" w:color="auto"/>
              <w:right w:val="single" w:sz="6" w:space="0" w:color="auto"/>
            </w:tcBorders>
            <w:shd w:val="clear" w:color="auto" w:fill="B8CCE4" w:themeFill="accent1" w:themeFillTint="66"/>
            <w:textDirection w:val="btLr"/>
            <w:vAlign w:val="center"/>
            <w:hideMark/>
          </w:tcPr>
          <w:p w14:paraId="781C76E3" w14:textId="77E27270"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Almond Breeze</w:t>
            </w:r>
            <w:r w:rsidR="00A05207">
              <w:rPr>
                <w:rFonts w:cs="Arial"/>
                <w:b w:val="0"/>
                <w:color w:val="000000"/>
                <w:sz w:val="18"/>
                <w:szCs w:val="18"/>
                <w:lang w:eastAsia="en-GB" w:bidi="ar-SA"/>
              </w:rPr>
              <w:t>™</w:t>
            </w:r>
            <w:r w:rsidRPr="0047393D">
              <w:rPr>
                <w:rFonts w:cs="Arial"/>
                <w:b w:val="0"/>
                <w:color w:val="000000"/>
                <w:sz w:val="18"/>
                <w:szCs w:val="18"/>
                <w:lang w:eastAsia="en-GB" w:bidi="ar-SA"/>
              </w:rPr>
              <w:t xml:space="preserve"> Original Unsweetened Almond Milk #</w:t>
            </w:r>
          </w:p>
        </w:tc>
        <w:tc>
          <w:tcPr>
            <w:tcW w:w="609" w:type="dxa"/>
            <w:tcBorders>
              <w:top w:val="single" w:sz="6" w:space="0" w:color="auto"/>
              <w:left w:val="single" w:sz="6" w:space="0" w:color="auto"/>
              <w:bottom w:val="single" w:sz="8" w:space="0" w:color="auto"/>
              <w:right w:val="single" w:sz="6" w:space="0" w:color="auto"/>
            </w:tcBorders>
            <w:shd w:val="clear" w:color="auto" w:fill="B8CCE4" w:themeFill="accent1" w:themeFillTint="66"/>
            <w:textDirection w:val="btLr"/>
            <w:vAlign w:val="center"/>
            <w:hideMark/>
          </w:tcPr>
          <w:p w14:paraId="7709C7EA" w14:textId="3CECBE6F"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Almond Breeze</w:t>
            </w:r>
            <w:r w:rsidR="00A05207">
              <w:rPr>
                <w:rFonts w:cs="Arial"/>
                <w:b w:val="0"/>
                <w:color w:val="000000"/>
                <w:sz w:val="18"/>
                <w:szCs w:val="18"/>
                <w:lang w:eastAsia="en-GB" w:bidi="ar-SA"/>
              </w:rPr>
              <w:t>™</w:t>
            </w:r>
            <w:r w:rsidRPr="0047393D">
              <w:rPr>
                <w:rFonts w:cs="Arial"/>
                <w:b w:val="0"/>
                <w:color w:val="000000"/>
                <w:sz w:val="18"/>
                <w:szCs w:val="18"/>
                <w:lang w:eastAsia="en-GB" w:bidi="ar-SA"/>
              </w:rPr>
              <w:t xml:space="preserve"> Almond Milk with a Hint of Honey #</w:t>
            </w:r>
          </w:p>
        </w:tc>
        <w:tc>
          <w:tcPr>
            <w:tcW w:w="609" w:type="dxa"/>
            <w:tcBorders>
              <w:top w:val="single" w:sz="6" w:space="0" w:color="auto"/>
              <w:left w:val="single" w:sz="6" w:space="0" w:color="auto"/>
              <w:bottom w:val="single" w:sz="8" w:space="0" w:color="auto"/>
              <w:right w:val="single" w:sz="6" w:space="0" w:color="auto"/>
            </w:tcBorders>
            <w:shd w:val="clear" w:color="auto" w:fill="B8CCE4" w:themeFill="accent1" w:themeFillTint="66"/>
            <w:textDirection w:val="btLr"/>
            <w:vAlign w:val="center"/>
            <w:hideMark/>
          </w:tcPr>
          <w:p w14:paraId="4D4759F6" w14:textId="2ED15A4D"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Australia's Own</w:t>
            </w:r>
            <w:r w:rsidR="00A05207">
              <w:rPr>
                <w:rFonts w:cs="Arial"/>
                <w:b w:val="0"/>
                <w:color w:val="000000"/>
                <w:sz w:val="18"/>
                <w:szCs w:val="18"/>
                <w:lang w:eastAsia="en-GB" w:bidi="ar-SA"/>
              </w:rPr>
              <w:t>™</w:t>
            </w:r>
            <w:r w:rsidRPr="0047393D">
              <w:rPr>
                <w:rFonts w:cs="Arial"/>
                <w:b w:val="0"/>
                <w:color w:val="000000"/>
                <w:sz w:val="18"/>
                <w:szCs w:val="18"/>
                <w:lang w:eastAsia="en-GB" w:bidi="ar-SA"/>
              </w:rPr>
              <w:t xml:space="preserve"> Almond Milk #</w:t>
            </w:r>
          </w:p>
        </w:tc>
        <w:tc>
          <w:tcPr>
            <w:tcW w:w="609" w:type="dxa"/>
            <w:tcBorders>
              <w:top w:val="single" w:sz="6" w:space="0" w:color="auto"/>
              <w:left w:val="single" w:sz="6" w:space="0" w:color="auto"/>
              <w:bottom w:val="single" w:sz="8" w:space="0" w:color="auto"/>
              <w:right w:val="single" w:sz="6" w:space="0" w:color="auto"/>
            </w:tcBorders>
            <w:shd w:val="clear" w:color="auto" w:fill="B8CCE4" w:themeFill="accent1" w:themeFillTint="66"/>
            <w:textDirection w:val="btLr"/>
            <w:vAlign w:val="center"/>
            <w:hideMark/>
          </w:tcPr>
          <w:p w14:paraId="4553193E" w14:textId="014FE269"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Pure Harvest</w:t>
            </w:r>
            <w:r w:rsidR="00A05207">
              <w:rPr>
                <w:rFonts w:cs="Arial"/>
                <w:b w:val="0"/>
                <w:color w:val="000000"/>
                <w:sz w:val="18"/>
                <w:szCs w:val="18"/>
                <w:lang w:eastAsia="en-GB" w:bidi="ar-SA"/>
              </w:rPr>
              <w:t>™</w:t>
            </w:r>
            <w:r w:rsidRPr="0047393D">
              <w:rPr>
                <w:rFonts w:cs="Arial"/>
                <w:b w:val="0"/>
                <w:color w:val="000000"/>
                <w:sz w:val="18"/>
                <w:szCs w:val="18"/>
                <w:lang w:eastAsia="en-GB" w:bidi="ar-SA"/>
              </w:rPr>
              <w:t xml:space="preserve"> Almond Milk Original #</w:t>
            </w:r>
          </w:p>
        </w:tc>
        <w:tc>
          <w:tcPr>
            <w:tcW w:w="609" w:type="dxa"/>
            <w:tcBorders>
              <w:top w:val="single" w:sz="6" w:space="0" w:color="auto"/>
              <w:left w:val="single" w:sz="6" w:space="0" w:color="auto"/>
              <w:bottom w:val="single" w:sz="8" w:space="0" w:color="auto"/>
              <w:right w:val="single" w:sz="6" w:space="0" w:color="auto"/>
            </w:tcBorders>
            <w:shd w:val="clear" w:color="auto" w:fill="B8CCE4" w:themeFill="accent1" w:themeFillTint="66"/>
            <w:textDirection w:val="btLr"/>
            <w:vAlign w:val="center"/>
            <w:hideMark/>
          </w:tcPr>
          <w:p w14:paraId="1FFC486D" w14:textId="79F3263A"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Coles</w:t>
            </w:r>
            <w:r w:rsidR="00A05207">
              <w:rPr>
                <w:rFonts w:cs="Arial"/>
                <w:b w:val="0"/>
                <w:color w:val="000000"/>
                <w:sz w:val="18"/>
                <w:szCs w:val="18"/>
                <w:lang w:eastAsia="en-GB" w:bidi="ar-SA"/>
              </w:rPr>
              <w:t>™</w:t>
            </w:r>
            <w:r w:rsidRPr="0047393D">
              <w:rPr>
                <w:rFonts w:cs="Arial"/>
                <w:b w:val="0"/>
                <w:color w:val="000000"/>
                <w:sz w:val="18"/>
                <w:szCs w:val="18"/>
                <w:lang w:eastAsia="en-GB" w:bidi="ar-SA"/>
              </w:rPr>
              <w:t xml:space="preserve"> Sweetened Almond Milk #</w:t>
            </w:r>
          </w:p>
        </w:tc>
        <w:tc>
          <w:tcPr>
            <w:tcW w:w="609" w:type="dxa"/>
            <w:tcBorders>
              <w:top w:val="single" w:sz="6" w:space="0" w:color="auto"/>
              <w:left w:val="single" w:sz="6" w:space="0" w:color="auto"/>
              <w:bottom w:val="single" w:sz="8" w:space="0" w:color="auto"/>
              <w:right w:val="single" w:sz="6" w:space="0" w:color="auto"/>
            </w:tcBorders>
            <w:shd w:val="clear" w:color="auto" w:fill="B8CCE4" w:themeFill="accent1" w:themeFillTint="66"/>
            <w:textDirection w:val="btLr"/>
            <w:vAlign w:val="center"/>
            <w:hideMark/>
          </w:tcPr>
          <w:p w14:paraId="2C733C77" w14:textId="56AD92BA"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Woolworths</w:t>
            </w:r>
            <w:r w:rsidR="00A05207">
              <w:rPr>
                <w:rFonts w:cs="Arial"/>
                <w:b w:val="0"/>
                <w:color w:val="000000"/>
                <w:sz w:val="18"/>
                <w:szCs w:val="18"/>
                <w:lang w:eastAsia="en-GB" w:bidi="ar-SA"/>
              </w:rPr>
              <w:t>™</w:t>
            </w:r>
            <w:r w:rsidRPr="0047393D">
              <w:rPr>
                <w:rFonts w:cs="Arial"/>
                <w:b w:val="0"/>
                <w:color w:val="000000"/>
                <w:sz w:val="18"/>
                <w:szCs w:val="18"/>
                <w:lang w:eastAsia="en-GB" w:bidi="ar-SA"/>
              </w:rPr>
              <w:t xml:space="preserve"> Original Almond Milk #</w:t>
            </w:r>
          </w:p>
        </w:tc>
        <w:tc>
          <w:tcPr>
            <w:tcW w:w="609" w:type="dxa"/>
            <w:tcBorders>
              <w:top w:val="single" w:sz="6" w:space="0" w:color="auto"/>
              <w:left w:val="single" w:sz="6" w:space="0" w:color="auto"/>
              <w:bottom w:val="single" w:sz="8" w:space="0" w:color="auto"/>
              <w:right w:val="single" w:sz="8" w:space="0" w:color="auto"/>
            </w:tcBorders>
            <w:shd w:val="clear" w:color="auto" w:fill="B8CCE4" w:themeFill="accent1" w:themeFillTint="66"/>
            <w:textDirection w:val="btLr"/>
            <w:vAlign w:val="center"/>
            <w:hideMark/>
          </w:tcPr>
          <w:p w14:paraId="5BE363EA" w14:textId="0648BBD2"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Woolworths</w:t>
            </w:r>
            <w:r w:rsidR="00A05207">
              <w:rPr>
                <w:rFonts w:cs="Arial"/>
                <w:b w:val="0"/>
                <w:color w:val="000000"/>
                <w:sz w:val="18"/>
                <w:szCs w:val="18"/>
                <w:lang w:eastAsia="en-GB" w:bidi="ar-SA"/>
              </w:rPr>
              <w:t>™</w:t>
            </w:r>
            <w:r w:rsidRPr="0047393D">
              <w:rPr>
                <w:rFonts w:cs="Arial"/>
                <w:b w:val="0"/>
                <w:color w:val="000000"/>
                <w:sz w:val="18"/>
                <w:szCs w:val="18"/>
                <w:lang w:eastAsia="en-GB" w:bidi="ar-SA"/>
              </w:rPr>
              <w:t xml:space="preserve"> Unsweetened Almond Milk #</w:t>
            </w:r>
          </w:p>
        </w:tc>
      </w:tr>
      <w:tr w:rsidR="006B2784" w:rsidRPr="0047393D" w14:paraId="4E8C13BC" w14:textId="77777777" w:rsidTr="0026334B">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747" w:type="dxa"/>
            <w:tcBorders>
              <w:top w:val="single" w:sz="8" w:space="0" w:color="auto"/>
              <w:left w:val="none" w:sz="0" w:space="0" w:color="auto"/>
              <w:right w:val="none" w:sz="0" w:space="0" w:color="auto"/>
            </w:tcBorders>
            <w:shd w:val="clear" w:color="auto" w:fill="auto"/>
            <w:vAlign w:val="center"/>
            <w:hideMark/>
          </w:tcPr>
          <w:p w14:paraId="7EBCA7CA"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Energy (kJ)</w:t>
            </w:r>
          </w:p>
        </w:tc>
        <w:tc>
          <w:tcPr>
            <w:tcW w:w="763" w:type="dxa"/>
            <w:tcBorders>
              <w:top w:val="single" w:sz="8" w:space="0" w:color="auto"/>
              <w:left w:val="none" w:sz="0" w:space="0" w:color="auto"/>
              <w:right w:val="none" w:sz="0" w:space="0" w:color="auto"/>
            </w:tcBorders>
            <w:shd w:val="clear" w:color="auto" w:fill="auto"/>
            <w:vAlign w:val="center"/>
            <w:hideMark/>
          </w:tcPr>
          <w:p w14:paraId="267DE44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281</w:t>
            </w:r>
          </w:p>
        </w:tc>
        <w:tc>
          <w:tcPr>
            <w:tcW w:w="780" w:type="dxa"/>
            <w:tcBorders>
              <w:top w:val="single" w:sz="8" w:space="0" w:color="auto"/>
              <w:left w:val="none" w:sz="0" w:space="0" w:color="auto"/>
              <w:right w:val="none" w:sz="0" w:space="0" w:color="auto"/>
            </w:tcBorders>
            <w:shd w:val="clear" w:color="auto" w:fill="auto"/>
            <w:vAlign w:val="center"/>
            <w:hideMark/>
          </w:tcPr>
          <w:p w14:paraId="46AC117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246</w:t>
            </w:r>
          </w:p>
        </w:tc>
        <w:tc>
          <w:tcPr>
            <w:tcW w:w="609" w:type="dxa"/>
            <w:tcBorders>
              <w:top w:val="single" w:sz="8" w:space="0" w:color="auto"/>
              <w:left w:val="none" w:sz="0" w:space="0" w:color="auto"/>
              <w:right w:val="none" w:sz="0" w:space="0" w:color="auto"/>
            </w:tcBorders>
            <w:shd w:val="clear" w:color="auto" w:fill="auto"/>
            <w:vAlign w:val="center"/>
            <w:hideMark/>
          </w:tcPr>
          <w:p w14:paraId="52263A7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251</w:t>
            </w:r>
          </w:p>
        </w:tc>
        <w:tc>
          <w:tcPr>
            <w:tcW w:w="609" w:type="dxa"/>
            <w:tcBorders>
              <w:top w:val="single" w:sz="8" w:space="0" w:color="auto"/>
              <w:left w:val="none" w:sz="0" w:space="0" w:color="auto"/>
              <w:right w:val="none" w:sz="0" w:space="0" w:color="auto"/>
            </w:tcBorders>
            <w:shd w:val="clear" w:color="auto" w:fill="auto"/>
            <w:vAlign w:val="center"/>
            <w:hideMark/>
          </w:tcPr>
          <w:p w14:paraId="1F9D272B" w14:textId="77777777" w:rsidR="006B2784" w:rsidRPr="00C414F3"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222</w:t>
            </w:r>
          </w:p>
        </w:tc>
        <w:tc>
          <w:tcPr>
            <w:tcW w:w="609" w:type="dxa"/>
            <w:tcBorders>
              <w:top w:val="single" w:sz="8" w:space="0" w:color="auto"/>
              <w:left w:val="none" w:sz="0" w:space="0" w:color="auto"/>
              <w:right w:val="none" w:sz="0" w:space="0" w:color="auto"/>
            </w:tcBorders>
            <w:shd w:val="clear" w:color="auto" w:fill="auto"/>
            <w:vAlign w:val="center"/>
            <w:hideMark/>
          </w:tcPr>
          <w:p w14:paraId="6AF46AD8"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220</w:t>
            </w:r>
          </w:p>
        </w:tc>
        <w:tc>
          <w:tcPr>
            <w:tcW w:w="609" w:type="dxa"/>
            <w:tcBorders>
              <w:top w:val="single" w:sz="8" w:space="0" w:color="auto"/>
              <w:left w:val="none" w:sz="0" w:space="0" w:color="auto"/>
              <w:right w:val="none" w:sz="0" w:space="0" w:color="auto"/>
            </w:tcBorders>
            <w:shd w:val="clear" w:color="auto" w:fill="auto"/>
            <w:vAlign w:val="center"/>
            <w:hideMark/>
          </w:tcPr>
          <w:p w14:paraId="3DB3D29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225</w:t>
            </w:r>
          </w:p>
        </w:tc>
        <w:tc>
          <w:tcPr>
            <w:tcW w:w="609" w:type="dxa"/>
            <w:tcBorders>
              <w:top w:val="single" w:sz="8" w:space="0" w:color="auto"/>
              <w:left w:val="none" w:sz="0" w:space="0" w:color="auto"/>
              <w:right w:val="none" w:sz="0" w:space="0" w:color="auto"/>
            </w:tcBorders>
            <w:shd w:val="clear" w:color="auto" w:fill="auto"/>
            <w:vAlign w:val="center"/>
            <w:hideMark/>
          </w:tcPr>
          <w:p w14:paraId="36A2908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159</w:t>
            </w:r>
          </w:p>
        </w:tc>
        <w:tc>
          <w:tcPr>
            <w:tcW w:w="722" w:type="dxa"/>
            <w:tcBorders>
              <w:top w:val="single" w:sz="8" w:space="0" w:color="auto"/>
              <w:left w:val="none" w:sz="0" w:space="0" w:color="auto"/>
              <w:right w:val="none" w:sz="0" w:space="0" w:color="auto"/>
            </w:tcBorders>
            <w:shd w:val="clear" w:color="auto" w:fill="auto"/>
            <w:vAlign w:val="center"/>
            <w:hideMark/>
          </w:tcPr>
          <w:p w14:paraId="15900C5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143</w:t>
            </w:r>
          </w:p>
        </w:tc>
        <w:tc>
          <w:tcPr>
            <w:tcW w:w="609" w:type="dxa"/>
            <w:tcBorders>
              <w:top w:val="single" w:sz="8" w:space="0" w:color="auto"/>
              <w:left w:val="none" w:sz="0" w:space="0" w:color="auto"/>
              <w:right w:val="none" w:sz="0" w:space="0" w:color="auto"/>
            </w:tcBorders>
            <w:shd w:val="clear" w:color="auto" w:fill="auto"/>
            <w:vAlign w:val="center"/>
            <w:hideMark/>
          </w:tcPr>
          <w:p w14:paraId="523682BB"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126</w:t>
            </w:r>
          </w:p>
        </w:tc>
        <w:tc>
          <w:tcPr>
            <w:tcW w:w="609" w:type="dxa"/>
            <w:tcBorders>
              <w:top w:val="single" w:sz="8" w:space="0" w:color="auto"/>
              <w:left w:val="none" w:sz="0" w:space="0" w:color="auto"/>
              <w:right w:val="none" w:sz="0" w:space="0" w:color="auto"/>
            </w:tcBorders>
            <w:shd w:val="clear" w:color="auto" w:fill="auto"/>
            <w:vAlign w:val="center"/>
            <w:hideMark/>
          </w:tcPr>
          <w:p w14:paraId="104215F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70</w:t>
            </w:r>
          </w:p>
        </w:tc>
        <w:tc>
          <w:tcPr>
            <w:tcW w:w="609" w:type="dxa"/>
            <w:tcBorders>
              <w:top w:val="single" w:sz="8" w:space="0" w:color="auto"/>
              <w:left w:val="none" w:sz="0" w:space="0" w:color="auto"/>
              <w:right w:val="none" w:sz="0" w:space="0" w:color="auto"/>
            </w:tcBorders>
            <w:shd w:val="clear" w:color="auto" w:fill="auto"/>
            <w:vAlign w:val="center"/>
            <w:hideMark/>
          </w:tcPr>
          <w:p w14:paraId="5250F932"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142</w:t>
            </w:r>
          </w:p>
        </w:tc>
        <w:tc>
          <w:tcPr>
            <w:tcW w:w="609" w:type="dxa"/>
            <w:tcBorders>
              <w:top w:val="single" w:sz="8" w:space="0" w:color="auto"/>
              <w:left w:val="none" w:sz="0" w:space="0" w:color="auto"/>
              <w:right w:val="none" w:sz="0" w:space="0" w:color="auto"/>
            </w:tcBorders>
            <w:shd w:val="clear" w:color="auto" w:fill="auto"/>
            <w:vAlign w:val="center"/>
            <w:hideMark/>
          </w:tcPr>
          <w:p w14:paraId="0774DEE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105</w:t>
            </w:r>
          </w:p>
        </w:tc>
        <w:tc>
          <w:tcPr>
            <w:tcW w:w="609" w:type="dxa"/>
            <w:tcBorders>
              <w:top w:val="single" w:sz="8" w:space="0" w:color="auto"/>
              <w:left w:val="none" w:sz="0" w:space="0" w:color="auto"/>
              <w:right w:val="none" w:sz="0" w:space="0" w:color="auto"/>
            </w:tcBorders>
            <w:shd w:val="clear" w:color="auto" w:fill="auto"/>
            <w:vAlign w:val="center"/>
            <w:hideMark/>
          </w:tcPr>
          <w:p w14:paraId="29987221"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67</w:t>
            </w:r>
          </w:p>
        </w:tc>
        <w:tc>
          <w:tcPr>
            <w:tcW w:w="609" w:type="dxa"/>
            <w:tcBorders>
              <w:top w:val="single" w:sz="8" w:space="0" w:color="auto"/>
              <w:left w:val="none" w:sz="0" w:space="0" w:color="auto"/>
              <w:right w:val="none" w:sz="0" w:space="0" w:color="auto"/>
            </w:tcBorders>
            <w:shd w:val="clear" w:color="auto" w:fill="auto"/>
            <w:vAlign w:val="center"/>
            <w:hideMark/>
          </w:tcPr>
          <w:p w14:paraId="585F1B87"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85</w:t>
            </w:r>
          </w:p>
        </w:tc>
        <w:tc>
          <w:tcPr>
            <w:tcW w:w="609" w:type="dxa"/>
            <w:tcBorders>
              <w:top w:val="single" w:sz="8" w:space="0" w:color="auto"/>
              <w:left w:val="none" w:sz="0" w:space="0" w:color="auto"/>
              <w:right w:val="none" w:sz="0" w:space="0" w:color="auto"/>
            </w:tcBorders>
            <w:shd w:val="clear" w:color="auto" w:fill="auto"/>
            <w:vAlign w:val="center"/>
            <w:hideMark/>
          </w:tcPr>
          <w:p w14:paraId="53AFE51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150</w:t>
            </w:r>
          </w:p>
        </w:tc>
        <w:tc>
          <w:tcPr>
            <w:tcW w:w="609" w:type="dxa"/>
            <w:tcBorders>
              <w:top w:val="single" w:sz="8" w:space="0" w:color="auto"/>
              <w:left w:val="none" w:sz="0" w:space="0" w:color="auto"/>
              <w:right w:val="none" w:sz="0" w:space="0" w:color="auto"/>
            </w:tcBorders>
            <w:shd w:val="clear" w:color="auto" w:fill="auto"/>
            <w:vAlign w:val="center"/>
            <w:hideMark/>
          </w:tcPr>
          <w:p w14:paraId="1DF424B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175</w:t>
            </w:r>
          </w:p>
        </w:tc>
        <w:tc>
          <w:tcPr>
            <w:tcW w:w="609" w:type="dxa"/>
            <w:tcBorders>
              <w:top w:val="single" w:sz="8" w:space="0" w:color="auto"/>
              <w:left w:val="none" w:sz="0" w:space="0" w:color="auto"/>
              <w:right w:val="none" w:sz="0" w:space="0" w:color="auto"/>
            </w:tcBorders>
            <w:shd w:val="clear" w:color="auto" w:fill="auto"/>
            <w:vAlign w:val="center"/>
            <w:hideMark/>
          </w:tcPr>
          <w:p w14:paraId="3A30F192"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130</w:t>
            </w:r>
          </w:p>
        </w:tc>
        <w:tc>
          <w:tcPr>
            <w:tcW w:w="609" w:type="dxa"/>
            <w:tcBorders>
              <w:top w:val="single" w:sz="8" w:space="0" w:color="auto"/>
              <w:left w:val="none" w:sz="0" w:space="0" w:color="auto"/>
              <w:right w:val="none" w:sz="0" w:space="0" w:color="auto"/>
            </w:tcBorders>
            <w:shd w:val="clear" w:color="auto" w:fill="auto"/>
            <w:vAlign w:val="center"/>
            <w:hideMark/>
          </w:tcPr>
          <w:p w14:paraId="02B0424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104</w:t>
            </w:r>
          </w:p>
        </w:tc>
        <w:tc>
          <w:tcPr>
            <w:tcW w:w="609" w:type="dxa"/>
            <w:tcBorders>
              <w:top w:val="single" w:sz="8" w:space="0" w:color="auto"/>
              <w:left w:val="none" w:sz="0" w:space="0" w:color="auto"/>
              <w:right w:val="none" w:sz="0" w:space="0" w:color="auto"/>
            </w:tcBorders>
            <w:shd w:val="clear" w:color="auto" w:fill="auto"/>
            <w:vAlign w:val="center"/>
            <w:hideMark/>
          </w:tcPr>
          <w:p w14:paraId="3EEABE1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68</w:t>
            </w:r>
          </w:p>
        </w:tc>
      </w:tr>
      <w:tr w:rsidR="006B2784" w:rsidRPr="0047393D" w14:paraId="36FC244F" w14:textId="77777777" w:rsidTr="0026334B">
        <w:trPr>
          <w:trHeight w:val="300"/>
        </w:trPr>
        <w:tc>
          <w:tcPr>
            <w:cnfStyle w:val="001000000000" w:firstRow="0" w:lastRow="0" w:firstColumn="1" w:lastColumn="0" w:oddVBand="0" w:evenVBand="0" w:oddHBand="0" w:evenHBand="0" w:firstRowFirstColumn="0" w:firstRowLastColumn="0" w:lastRowFirstColumn="0" w:lastRowLastColumn="0"/>
            <w:tcW w:w="1747" w:type="dxa"/>
            <w:shd w:val="clear" w:color="auto" w:fill="auto"/>
            <w:vAlign w:val="center"/>
            <w:hideMark/>
          </w:tcPr>
          <w:p w14:paraId="6EDE02CA"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Protein (g)</w:t>
            </w:r>
          </w:p>
        </w:tc>
        <w:tc>
          <w:tcPr>
            <w:tcW w:w="763" w:type="dxa"/>
            <w:shd w:val="clear" w:color="auto" w:fill="auto"/>
            <w:vAlign w:val="center"/>
            <w:hideMark/>
          </w:tcPr>
          <w:p w14:paraId="561DE40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3.4</w:t>
            </w:r>
          </w:p>
        </w:tc>
        <w:tc>
          <w:tcPr>
            <w:tcW w:w="780" w:type="dxa"/>
            <w:shd w:val="clear" w:color="auto" w:fill="auto"/>
            <w:vAlign w:val="center"/>
            <w:hideMark/>
          </w:tcPr>
          <w:p w14:paraId="53C11ED4"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3.7</w:t>
            </w:r>
          </w:p>
        </w:tc>
        <w:tc>
          <w:tcPr>
            <w:tcW w:w="609" w:type="dxa"/>
            <w:shd w:val="clear" w:color="auto" w:fill="auto"/>
            <w:vAlign w:val="center"/>
            <w:hideMark/>
          </w:tcPr>
          <w:p w14:paraId="32C89FC1"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4.1</w:t>
            </w:r>
          </w:p>
        </w:tc>
        <w:tc>
          <w:tcPr>
            <w:tcW w:w="609" w:type="dxa"/>
            <w:shd w:val="clear" w:color="auto" w:fill="auto"/>
            <w:vAlign w:val="center"/>
            <w:hideMark/>
          </w:tcPr>
          <w:p w14:paraId="55A588CD" w14:textId="77777777" w:rsidR="006B2784" w:rsidRPr="00C414F3"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1.5</w:t>
            </w:r>
          </w:p>
        </w:tc>
        <w:tc>
          <w:tcPr>
            <w:tcW w:w="609" w:type="dxa"/>
            <w:shd w:val="clear" w:color="auto" w:fill="auto"/>
            <w:vAlign w:val="center"/>
            <w:hideMark/>
          </w:tcPr>
          <w:p w14:paraId="4A7E0A9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1.5</w:t>
            </w:r>
          </w:p>
        </w:tc>
        <w:tc>
          <w:tcPr>
            <w:tcW w:w="609" w:type="dxa"/>
            <w:shd w:val="clear" w:color="auto" w:fill="auto"/>
            <w:vAlign w:val="center"/>
            <w:hideMark/>
          </w:tcPr>
          <w:p w14:paraId="606864A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w:t>
            </w:r>
          </w:p>
        </w:tc>
        <w:tc>
          <w:tcPr>
            <w:tcW w:w="609" w:type="dxa"/>
            <w:shd w:val="clear" w:color="auto" w:fill="auto"/>
            <w:vAlign w:val="center"/>
            <w:hideMark/>
          </w:tcPr>
          <w:p w14:paraId="1FEAE7F6"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1.5*</w:t>
            </w:r>
          </w:p>
        </w:tc>
        <w:tc>
          <w:tcPr>
            <w:tcW w:w="722" w:type="dxa"/>
            <w:shd w:val="clear" w:color="auto" w:fill="auto"/>
            <w:vAlign w:val="center"/>
            <w:hideMark/>
          </w:tcPr>
          <w:p w14:paraId="11D19B2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0.6</w:t>
            </w:r>
          </w:p>
        </w:tc>
        <w:tc>
          <w:tcPr>
            <w:tcW w:w="609" w:type="dxa"/>
            <w:shd w:val="clear" w:color="auto" w:fill="auto"/>
            <w:vAlign w:val="center"/>
            <w:hideMark/>
          </w:tcPr>
          <w:p w14:paraId="313A691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0.6</w:t>
            </w:r>
          </w:p>
        </w:tc>
        <w:tc>
          <w:tcPr>
            <w:tcW w:w="609" w:type="dxa"/>
            <w:shd w:val="clear" w:color="auto" w:fill="auto"/>
            <w:vAlign w:val="center"/>
            <w:hideMark/>
          </w:tcPr>
          <w:p w14:paraId="28DE27C4"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0.6</w:t>
            </w:r>
          </w:p>
        </w:tc>
        <w:tc>
          <w:tcPr>
            <w:tcW w:w="609" w:type="dxa"/>
            <w:shd w:val="clear" w:color="auto" w:fill="auto"/>
            <w:vAlign w:val="center"/>
            <w:hideMark/>
          </w:tcPr>
          <w:p w14:paraId="6DA85B9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0.5</w:t>
            </w:r>
          </w:p>
        </w:tc>
        <w:tc>
          <w:tcPr>
            <w:tcW w:w="609" w:type="dxa"/>
            <w:shd w:val="clear" w:color="auto" w:fill="auto"/>
            <w:vAlign w:val="center"/>
            <w:hideMark/>
          </w:tcPr>
          <w:p w14:paraId="6ECDFA4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0.4</w:t>
            </w:r>
          </w:p>
        </w:tc>
        <w:tc>
          <w:tcPr>
            <w:tcW w:w="609" w:type="dxa"/>
            <w:shd w:val="clear" w:color="auto" w:fill="auto"/>
            <w:vAlign w:val="center"/>
            <w:hideMark/>
          </w:tcPr>
          <w:p w14:paraId="6F077AF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0.5</w:t>
            </w:r>
          </w:p>
        </w:tc>
        <w:tc>
          <w:tcPr>
            <w:tcW w:w="609" w:type="dxa"/>
            <w:shd w:val="clear" w:color="auto" w:fill="auto"/>
            <w:vAlign w:val="center"/>
            <w:hideMark/>
          </w:tcPr>
          <w:p w14:paraId="0D0440D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0.5</w:t>
            </w:r>
          </w:p>
        </w:tc>
        <w:tc>
          <w:tcPr>
            <w:tcW w:w="609" w:type="dxa"/>
            <w:shd w:val="clear" w:color="auto" w:fill="auto"/>
            <w:vAlign w:val="center"/>
            <w:hideMark/>
          </w:tcPr>
          <w:p w14:paraId="7738A1D1"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0.6</w:t>
            </w:r>
          </w:p>
        </w:tc>
        <w:tc>
          <w:tcPr>
            <w:tcW w:w="609" w:type="dxa"/>
            <w:shd w:val="clear" w:color="auto" w:fill="auto"/>
            <w:vAlign w:val="center"/>
            <w:hideMark/>
          </w:tcPr>
          <w:p w14:paraId="52A4B8B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w:t>
            </w:r>
          </w:p>
        </w:tc>
        <w:tc>
          <w:tcPr>
            <w:tcW w:w="609" w:type="dxa"/>
            <w:shd w:val="clear" w:color="auto" w:fill="auto"/>
            <w:vAlign w:val="center"/>
            <w:hideMark/>
          </w:tcPr>
          <w:p w14:paraId="144F7D5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0.6</w:t>
            </w:r>
          </w:p>
        </w:tc>
        <w:tc>
          <w:tcPr>
            <w:tcW w:w="609" w:type="dxa"/>
            <w:shd w:val="clear" w:color="auto" w:fill="auto"/>
            <w:vAlign w:val="center"/>
            <w:hideMark/>
          </w:tcPr>
          <w:p w14:paraId="4887DD7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0.6</w:t>
            </w:r>
          </w:p>
        </w:tc>
        <w:tc>
          <w:tcPr>
            <w:tcW w:w="609" w:type="dxa"/>
            <w:shd w:val="clear" w:color="auto" w:fill="auto"/>
            <w:vAlign w:val="center"/>
            <w:hideMark/>
          </w:tcPr>
          <w:p w14:paraId="1F48629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0.6</w:t>
            </w:r>
          </w:p>
        </w:tc>
      </w:tr>
      <w:tr w:rsidR="006B2784" w:rsidRPr="0047393D" w14:paraId="54CDF5AE" w14:textId="77777777" w:rsidTr="002633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7" w:type="dxa"/>
            <w:tcBorders>
              <w:left w:val="none" w:sz="0" w:space="0" w:color="auto"/>
              <w:right w:val="none" w:sz="0" w:space="0" w:color="auto"/>
            </w:tcBorders>
            <w:shd w:val="clear" w:color="auto" w:fill="auto"/>
            <w:vAlign w:val="center"/>
            <w:hideMark/>
          </w:tcPr>
          <w:p w14:paraId="0209CD89"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Total fat (g)</w:t>
            </w:r>
          </w:p>
        </w:tc>
        <w:tc>
          <w:tcPr>
            <w:tcW w:w="763" w:type="dxa"/>
            <w:tcBorders>
              <w:left w:val="none" w:sz="0" w:space="0" w:color="auto"/>
              <w:right w:val="none" w:sz="0" w:space="0" w:color="auto"/>
            </w:tcBorders>
            <w:shd w:val="clear" w:color="auto" w:fill="auto"/>
            <w:vAlign w:val="center"/>
            <w:hideMark/>
          </w:tcPr>
          <w:p w14:paraId="4D1EA44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3.4</w:t>
            </w:r>
          </w:p>
        </w:tc>
        <w:tc>
          <w:tcPr>
            <w:tcW w:w="780" w:type="dxa"/>
            <w:tcBorders>
              <w:left w:val="none" w:sz="0" w:space="0" w:color="auto"/>
              <w:right w:val="none" w:sz="0" w:space="0" w:color="auto"/>
            </w:tcBorders>
            <w:shd w:val="clear" w:color="auto" w:fill="auto"/>
            <w:vAlign w:val="center"/>
            <w:hideMark/>
          </w:tcPr>
          <w:p w14:paraId="2B91621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2.7</w:t>
            </w:r>
          </w:p>
        </w:tc>
        <w:tc>
          <w:tcPr>
            <w:tcW w:w="609" w:type="dxa"/>
            <w:tcBorders>
              <w:left w:val="none" w:sz="0" w:space="0" w:color="auto"/>
              <w:right w:val="none" w:sz="0" w:space="0" w:color="auto"/>
            </w:tcBorders>
            <w:shd w:val="clear" w:color="auto" w:fill="auto"/>
            <w:vAlign w:val="center"/>
            <w:hideMark/>
          </w:tcPr>
          <w:p w14:paraId="036D91A2"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2.7</w:t>
            </w:r>
          </w:p>
        </w:tc>
        <w:tc>
          <w:tcPr>
            <w:tcW w:w="609" w:type="dxa"/>
            <w:tcBorders>
              <w:left w:val="none" w:sz="0" w:space="0" w:color="auto"/>
              <w:right w:val="none" w:sz="0" w:space="0" w:color="auto"/>
            </w:tcBorders>
            <w:shd w:val="clear" w:color="auto" w:fill="auto"/>
            <w:vAlign w:val="center"/>
            <w:hideMark/>
          </w:tcPr>
          <w:p w14:paraId="1D78B5F1" w14:textId="77777777" w:rsidR="006B2784" w:rsidRPr="00C414F3"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2.1</w:t>
            </w:r>
          </w:p>
        </w:tc>
        <w:tc>
          <w:tcPr>
            <w:tcW w:w="609" w:type="dxa"/>
            <w:tcBorders>
              <w:left w:val="none" w:sz="0" w:space="0" w:color="auto"/>
              <w:right w:val="none" w:sz="0" w:space="0" w:color="auto"/>
            </w:tcBorders>
            <w:shd w:val="clear" w:color="auto" w:fill="auto"/>
            <w:vAlign w:val="center"/>
            <w:hideMark/>
          </w:tcPr>
          <w:p w14:paraId="3AE899F8"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w:t>
            </w:r>
          </w:p>
        </w:tc>
        <w:tc>
          <w:tcPr>
            <w:tcW w:w="609" w:type="dxa"/>
            <w:tcBorders>
              <w:left w:val="none" w:sz="0" w:space="0" w:color="auto"/>
              <w:right w:val="none" w:sz="0" w:space="0" w:color="auto"/>
            </w:tcBorders>
            <w:shd w:val="clear" w:color="auto" w:fill="auto"/>
            <w:vAlign w:val="center"/>
            <w:hideMark/>
          </w:tcPr>
          <w:p w14:paraId="08679A8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w:t>
            </w:r>
          </w:p>
        </w:tc>
        <w:tc>
          <w:tcPr>
            <w:tcW w:w="609" w:type="dxa"/>
            <w:tcBorders>
              <w:left w:val="none" w:sz="0" w:space="0" w:color="auto"/>
              <w:right w:val="none" w:sz="0" w:space="0" w:color="auto"/>
            </w:tcBorders>
            <w:shd w:val="clear" w:color="auto" w:fill="auto"/>
            <w:vAlign w:val="center"/>
            <w:hideMark/>
          </w:tcPr>
          <w:p w14:paraId="099F37C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1.1</w:t>
            </w:r>
          </w:p>
        </w:tc>
        <w:tc>
          <w:tcPr>
            <w:tcW w:w="722" w:type="dxa"/>
            <w:tcBorders>
              <w:left w:val="none" w:sz="0" w:space="0" w:color="auto"/>
              <w:right w:val="none" w:sz="0" w:space="0" w:color="auto"/>
            </w:tcBorders>
            <w:shd w:val="clear" w:color="auto" w:fill="auto"/>
            <w:vAlign w:val="center"/>
            <w:hideMark/>
          </w:tcPr>
          <w:p w14:paraId="3C2BC33B"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2.7</w:t>
            </w:r>
          </w:p>
        </w:tc>
        <w:tc>
          <w:tcPr>
            <w:tcW w:w="609" w:type="dxa"/>
            <w:tcBorders>
              <w:left w:val="none" w:sz="0" w:space="0" w:color="auto"/>
              <w:right w:val="none" w:sz="0" w:space="0" w:color="auto"/>
            </w:tcBorders>
            <w:shd w:val="clear" w:color="auto" w:fill="auto"/>
            <w:vAlign w:val="center"/>
            <w:hideMark/>
          </w:tcPr>
          <w:p w14:paraId="75ED848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1.4</w:t>
            </w:r>
          </w:p>
        </w:tc>
        <w:tc>
          <w:tcPr>
            <w:tcW w:w="609" w:type="dxa"/>
            <w:tcBorders>
              <w:left w:val="none" w:sz="0" w:space="0" w:color="auto"/>
              <w:right w:val="none" w:sz="0" w:space="0" w:color="auto"/>
            </w:tcBorders>
            <w:shd w:val="clear" w:color="auto" w:fill="auto"/>
            <w:vAlign w:val="center"/>
            <w:hideMark/>
          </w:tcPr>
          <w:p w14:paraId="3401FD92"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1.4</w:t>
            </w:r>
          </w:p>
        </w:tc>
        <w:tc>
          <w:tcPr>
            <w:tcW w:w="609" w:type="dxa"/>
            <w:tcBorders>
              <w:left w:val="none" w:sz="0" w:space="0" w:color="auto"/>
              <w:right w:val="none" w:sz="0" w:space="0" w:color="auto"/>
            </w:tcBorders>
            <w:shd w:val="clear" w:color="auto" w:fill="auto"/>
            <w:vAlign w:val="center"/>
            <w:hideMark/>
          </w:tcPr>
          <w:p w14:paraId="4B698B4D"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1.3</w:t>
            </w:r>
          </w:p>
        </w:tc>
        <w:tc>
          <w:tcPr>
            <w:tcW w:w="609" w:type="dxa"/>
            <w:tcBorders>
              <w:left w:val="none" w:sz="0" w:space="0" w:color="auto"/>
              <w:right w:val="none" w:sz="0" w:space="0" w:color="auto"/>
            </w:tcBorders>
            <w:shd w:val="clear" w:color="auto" w:fill="auto"/>
            <w:vAlign w:val="center"/>
            <w:hideMark/>
          </w:tcPr>
          <w:p w14:paraId="2B11EAD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1.1</w:t>
            </w:r>
          </w:p>
        </w:tc>
        <w:tc>
          <w:tcPr>
            <w:tcW w:w="609" w:type="dxa"/>
            <w:tcBorders>
              <w:left w:val="none" w:sz="0" w:space="0" w:color="auto"/>
              <w:right w:val="none" w:sz="0" w:space="0" w:color="auto"/>
            </w:tcBorders>
            <w:shd w:val="clear" w:color="auto" w:fill="auto"/>
            <w:vAlign w:val="center"/>
            <w:hideMark/>
          </w:tcPr>
          <w:p w14:paraId="696AA96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1.2</w:t>
            </w:r>
          </w:p>
        </w:tc>
        <w:tc>
          <w:tcPr>
            <w:tcW w:w="609" w:type="dxa"/>
            <w:tcBorders>
              <w:left w:val="none" w:sz="0" w:space="0" w:color="auto"/>
              <w:right w:val="none" w:sz="0" w:space="0" w:color="auto"/>
            </w:tcBorders>
            <w:shd w:val="clear" w:color="auto" w:fill="auto"/>
            <w:vAlign w:val="center"/>
            <w:hideMark/>
          </w:tcPr>
          <w:p w14:paraId="3BF1747D"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1.1</w:t>
            </w:r>
          </w:p>
        </w:tc>
        <w:tc>
          <w:tcPr>
            <w:tcW w:w="609" w:type="dxa"/>
            <w:tcBorders>
              <w:left w:val="none" w:sz="0" w:space="0" w:color="auto"/>
              <w:right w:val="none" w:sz="0" w:space="0" w:color="auto"/>
            </w:tcBorders>
            <w:shd w:val="clear" w:color="auto" w:fill="auto"/>
            <w:vAlign w:val="center"/>
            <w:hideMark/>
          </w:tcPr>
          <w:p w14:paraId="390EAF5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2.7</w:t>
            </w:r>
          </w:p>
        </w:tc>
        <w:tc>
          <w:tcPr>
            <w:tcW w:w="609" w:type="dxa"/>
            <w:tcBorders>
              <w:left w:val="none" w:sz="0" w:space="0" w:color="auto"/>
              <w:right w:val="none" w:sz="0" w:space="0" w:color="auto"/>
            </w:tcBorders>
            <w:shd w:val="clear" w:color="auto" w:fill="auto"/>
            <w:vAlign w:val="center"/>
            <w:hideMark/>
          </w:tcPr>
          <w:p w14:paraId="036A2EF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0.4</w:t>
            </w:r>
          </w:p>
        </w:tc>
        <w:tc>
          <w:tcPr>
            <w:tcW w:w="609" w:type="dxa"/>
            <w:tcBorders>
              <w:left w:val="none" w:sz="0" w:space="0" w:color="auto"/>
              <w:right w:val="none" w:sz="0" w:space="0" w:color="auto"/>
            </w:tcBorders>
            <w:shd w:val="clear" w:color="auto" w:fill="auto"/>
            <w:vAlign w:val="center"/>
            <w:hideMark/>
          </w:tcPr>
          <w:p w14:paraId="1B99A68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1.5</w:t>
            </w:r>
          </w:p>
        </w:tc>
        <w:tc>
          <w:tcPr>
            <w:tcW w:w="609" w:type="dxa"/>
            <w:tcBorders>
              <w:left w:val="none" w:sz="0" w:space="0" w:color="auto"/>
              <w:right w:val="none" w:sz="0" w:space="0" w:color="auto"/>
            </w:tcBorders>
            <w:shd w:val="clear" w:color="auto" w:fill="auto"/>
            <w:vAlign w:val="center"/>
            <w:hideMark/>
          </w:tcPr>
          <w:p w14:paraId="70977F1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1.2</w:t>
            </w:r>
          </w:p>
        </w:tc>
        <w:tc>
          <w:tcPr>
            <w:tcW w:w="609" w:type="dxa"/>
            <w:tcBorders>
              <w:left w:val="none" w:sz="0" w:space="0" w:color="auto"/>
              <w:right w:val="none" w:sz="0" w:space="0" w:color="auto"/>
            </w:tcBorders>
            <w:shd w:val="clear" w:color="auto" w:fill="auto"/>
            <w:vAlign w:val="center"/>
            <w:hideMark/>
          </w:tcPr>
          <w:p w14:paraId="7EF33F3D"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1.3</w:t>
            </w:r>
          </w:p>
        </w:tc>
      </w:tr>
      <w:tr w:rsidR="006B2784" w:rsidRPr="0047393D" w14:paraId="0A4F17E2" w14:textId="77777777" w:rsidTr="0026334B">
        <w:trPr>
          <w:trHeight w:val="300"/>
        </w:trPr>
        <w:tc>
          <w:tcPr>
            <w:cnfStyle w:val="001000000000" w:firstRow="0" w:lastRow="0" w:firstColumn="1" w:lastColumn="0" w:oddVBand="0" w:evenVBand="0" w:oddHBand="0" w:evenHBand="0" w:firstRowFirstColumn="0" w:firstRowLastColumn="0" w:lastRowFirstColumn="0" w:lastRowLastColumn="0"/>
            <w:tcW w:w="1747" w:type="dxa"/>
            <w:shd w:val="clear" w:color="auto" w:fill="auto"/>
            <w:vAlign w:val="center"/>
            <w:hideMark/>
          </w:tcPr>
          <w:p w14:paraId="7C56EB0D"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Saturated fat (g)</w:t>
            </w:r>
          </w:p>
        </w:tc>
        <w:tc>
          <w:tcPr>
            <w:tcW w:w="763" w:type="dxa"/>
            <w:shd w:val="clear" w:color="auto" w:fill="auto"/>
            <w:vAlign w:val="center"/>
            <w:hideMark/>
          </w:tcPr>
          <w:p w14:paraId="2D843F9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2.19</w:t>
            </w:r>
          </w:p>
        </w:tc>
        <w:tc>
          <w:tcPr>
            <w:tcW w:w="780" w:type="dxa"/>
            <w:shd w:val="clear" w:color="auto" w:fill="auto"/>
            <w:vAlign w:val="center"/>
            <w:hideMark/>
          </w:tcPr>
          <w:p w14:paraId="45878274"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0.43</w:t>
            </w:r>
          </w:p>
        </w:tc>
        <w:tc>
          <w:tcPr>
            <w:tcW w:w="609" w:type="dxa"/>
            <w:shd w:val="clear" w:color="auto" w:fill="auto"/>
            <w:vAlign w:val="center"/>
            <w:hideMark/>
          </w:tcPr>
          <w:p w14:paraId="7AA481B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0.43</w:t>
            </w:r>
          </w:p>
        </w:tc>
        <w:tc>
          <w:tcPr>
            <w:tcW w:w="609" w:type="dxa"/>
            <w:shd w:val="clear" w:color="auto" w:fill="auto"/>
            <w:vAlign w:val="center"/>
            <w:hideMark/>
          </w:tcPr>
          <w:p w14:paraId="14123B8E" w14:textId="77777777" w:rsidR="006B2784" w:rsidRPr="00C414F3"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0.29</w:t>
            </w:r>
          </w:p>
        </w:tc>
        <w:tc>
          <w:tcPr>
            <w:tcW w:w="609" w:type="dxa"/>
            <w:shd w:val="clear" w:color="auto" w:fill="auto"/>
            <w:vAlign w:val="center"/>
            <w:hideMark/>
          </w:tcPr>
          <w:p w14:paraId="1A836EDC"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0.29</w:t>
            </w:r>
          </w:p>
        </w:tc>
        <w:tc>
          <w:tcPr>
            <w:tcW w:w="609" w:type="dxa"/>
            <w:shd w:val="clear" w:color="auto" w:fill="auto"/>
            <w:vAlign w:val="center"/>
            <w:hideMark/>
          </w:tcPr>
          <w:p w14:paraId="3F40B13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0.16</w:t>
            </w:r>
          </w:p>
        </w:tc>
        <w:tc>
          <w:tcPr>
            <w:tcW w:w="609" w:type="dxa"/>
            <w:shd w:val="clear" w:color="auto" w:fill="auto"/>
            <w:vAlign w:val="center"/>
            <w:hideMark/>
          </w:tcPr>
          <w:p w14:paraId="2FDB1C71"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0.18</w:t>
            </w:r>
          </w:p>
        </w:tc>
        <w:tc>
          <w:tcPr>
            <w:tcW w:w="722" w:type="dxa"/>
            <w:shd w:val="clear" w:color="auto" w:fill="auto"/>
            <w:vAlign w:val="center"/>
            <w:hideMark/>
          </w:tcPr>
          <w:p w14:paraId="03DEDAE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0.21</w:t>
            </w:r>
          </w:p>
        </w:tc>
        <w:tc>
          <w:tcPr>
            <w:tcW w:w="609" w:type="dxa"/>
            <w:shd w:val="clear" w:color="auto" w:fill="auto"/>
            <w:vAlign w:val="center"/>
            <w:hideMark/>
          </w:tcPr>
          <w:p w14:paraId="17802D61"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w:t>
            </w:r>
          </w:p>
        </w:tc>
        <w:tc>
          <w:tcPr>
            <w:tcW w:w="609" w:type="dxa"/>
            <w:shd w:val="clear" w:color="auto" w:fill="auto"/>
            <w:vAlign w:val="center"/>
            <w:hideMark/>
          </w:tcPr>
          <w:p w14:paraId="2B599FD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w:t>
            </w:r>
          </w:p>
        </w:tc>
        <w:tc>
          <w:tcPr>
            <w:tcW w:w="609" w:type="dxa"/>
            <w:shd w:val="clear" w:color="auto" w:fill="auto"/>
            <w:vAlign w:val="center"/>
            <w:hideMark/>
          </w:tcPr>
          <w:p w14:paraId="28556DB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w:t>
            </w:r>
          </w:p>
        </w:tc>
        <w:tc>
          <w:tcPr>
            <w:tcW w:w="609" w:type="dxa"/>
            <w:shd w:val="clear" w:color="auto" w:fill="auto"/>
            <w:vAlign w:val="center"/>
            <w:hideMark/>
          </w:tcPr>
          <w:p w14:paraId="705E0BC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&lt;0.1</w:t>
            </w:r>
          </w:p>
        </w:tc>
        <w:tc>
          <w:tcPr>
            <w:tcW w:w="609" w:type="dxa"/>
            <w:shd w:val="clear" w:color="auto" w:fill="auto"/>
            <w:vAlign w:val="center"/>
            <w:hideMark/>
          </w:tcPr>
          <w:p w14:paraId="62F76B8C"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&lt;0.1</w:t>
            </w:r>
          </w:p>
        </w:tc>
        <w:tc>
          <w:tcPr>
            <w:tcW w:w="609" w:type="dxa"/>
            <w:shd w:val="clear" w:color="auto" w:fill="auto"/>
            <w:vAlign w:val="center"/>
            <w:hideMark/>
          </w:tcPr>
          <w:p w14:paraId="48E5BCF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&lt;0.1</w:t>
            </w:r>
          </w:p>
        </w:tc>
        <w:tc>
          <w:tcPr>
            <w:tcW w:w="609" w:type="dxa"/>
            <w:shd w:val="clear" w:color="auto" w:fill="auto"/>
            <w:vAlign w:val="center"/>
            <w:hideMark/>
          </w:tcPr>
          <w:p w14:paraId="30901BA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0.2</w:t>
            </w:r>
          </w:p>
        </w:tc>
        <w:tc>
          <w:tcPr>
            <w:tcW w:w="609" w:type="dxa"/>
            <w:shd w:val="clear" w:color="auto" w:fill="auto"/>
            <w:vAlign w:val="center"/>
            <w:hideMark/>
          </w:tcPr>
          <w:p w14:paraId="238215DC"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&lt;0.1</w:t>
            </w:r>
          </w:p>
        </w:tc>
        <w:tc>
          <w:tcPr>
            <w:tcW w:w="609" w:type="dxa"/>
            <w:shd w:val="clear" w:color="auto" w:fill="auto"/>
            <w:vAlign w:val="center"/>
            <w:hideMark/>
          </w:tcPr>
          <w:p w14:paraId="508D6F3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w:t>
            </w:r>
          </w:p>
        </w:tc>
        <w:tc>
          <w:tcPr>
            <w:tcW w:w="609" w:type="dxa"/>
            <w:shd w:val="clear" w:color="auto" w:fill="auto"/>
            <w:vAlign w:val="center"/>
            <w:hideMark/>
          </w:tcPr>
          <w:p w14:paraId="5CF15A9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w:t>
            </w:r>
          </w:p>
        </w:tc>
        <w:tc>
          <w:tcPr>
            <w:tcW w:w="609" w:type="dxa"/>
            <w:shd w:val="clear" w:color="auto" w:fill="auto"/>
            <w:vAlign w:val="center"/>
            <w:hideMark/>
          </w:tcPr>
          <w:p w14:paraId="322D2E1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w:t>
            </w:r>
          </w:p>
        </w:tc>
      </w:tr>
      <w:tr w:rsidR="006B2784" w:rsidRPr="0047393D" w14:paraId="17FAFB99" w14:textId="77777777" w:rsidTr="002633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7" w:type="dxa"/>
            <w:tcBorders>
              <w:left w:val="none" w:sz="0" w:space="0" w:color="auto"/>
              <w:right w:val="none" w:sz="0" w:space="0" w:color="auto"/>
            </w:tcBorders>
            <w:shd w:val="clear" w:color="auto" w:fill="auto"/>
            <w:vAlign w:val="center"/>
            <w:hideMark/>
          </w:tcPr>
          <w:p w14:paraId="1753EA8F"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Monounsaturated fat (g)</w:t>
            </w:r>
          </w:p>
        </w:tc>
        <w:tc>
          <w:tcPr>
            <w:tcW w:w="763" w:type="dxa"/>
            <w:tcBorders>
              <w:left w:val="none" w:sz="0" w:space="0" w:color="auto"/>
              <w:right w:val="none" w:sz="0" w:space="0" w:color="auto"/>
            </w:tcBorders>
            <w:shd w:val="clear" w:color="auto" w:fill="auto"/>
            <w:vAlign w:val="center"/>
            <w:hideMark/>
          </w:tcPr>
          <w:p w14:paraId="095A1EE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0.89</w:t>
            </w:r>
          </w:p>
        </w:tc>
        <w:tc>
          <w:tcPr>
            <w:tcW w:w="780" w:type="dxa"/>
            <w:tcBorders>
              <w:left w:val="none" w:sz="0" w:space="0" w:color="auto"/>
              <w:right w:val="none" w:sz="0" w:space="0" w:color="auto"/>
            </w:tcBorders>
            <w:shd w:val="clear" w:color="auto" w:fill="auto"/>
            <w:vAlign w:val="center"/>
            <w:hideMark/>
          </w:tcPr>
          <w:p w14:paraId="61616607"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0.56</w:t>
            </w:r>
          </w:p>
        </w:tc>
        <w:tc>
          <w:tcPr>
            <w:tcW w:w="609" w:type="dxa"/>
            <w:tcBorders>
              <w:left w:val="none" w:sz="0" w:space="0" w:color="auto"/>
              <w:right w:val="none" w:sz="0" w:space="0" w:color="auto"/>
            </w:tcBorders>
            <w:shd w:val="clear" w:color="auto" w:fill="auto"/>
            <w:vAlign w:val="center"/>
            <w:hideMark/>
          </w:tcPr>
          <w:p w14:paraId="7094050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0.56</w:t>
            </w:r>
          </w:p>
        </w:tc>
        <w:tc>
          <w:tcPr>
            <w:tcW w:w="609" w:type="dxa"/>
            <w:tcBorders>
              <w:left w:val="none" w:sz="0" w:space="0" w:color="auto"/>
              <w:right w:val="none" w:sz="0" w:space="0" w:color="auto"/>
            </w:tcBorders>
            <w:shd w:val="clear" w:color="auto" w:fill="auto"/>
            <w:vAlign w:val="center"/>
            <w:hideMark/>
          </w:tcPr>
          <w:p w14:paraId="7991488F" w14:textId="77777777" w:rsidR="006B2784" w:rsidRPr="00C414F3"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0.7</w:t>
            </w:r>
          </w:p>
        </w:tc>
        <w:tc>
          <w:tcPr>
            <w:tcW w:w="609" w:type="dxa"/>
            <w:tcBorders>
              <w:left w:val="none" w:sz="0" w:space="0" w:color="auto"/>
              <w:right w:val="none" w:sz="0" w:space="0" w:color="auto"/>
            </w:tcBorders>
            <w:shd w:val="clear" w:color="auto" w:fill="auto"/>
            <w:vAlign w:val="center"/>
            <w:hideMark/>
          </w:tcPr>
          <w:p w14:paraId="55999B8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0.69</w:t>
            </w:r>
          </w:p>
        </w:tc>
        <w:tc>
          <w:tcPr>
            <w:tcW w:w="609" w:type="dxa"/>
            <w:tcBorders>
              <w:left w:val="none" w:sz="0" w:space="0" w:color="auto"/>
              <w:right w:val="none" w:sz="0" w:space="0" w:color="auto"/>
            </w:tcBorders>
            <w:shd w:val="clear" w:color="auto" w:fill="auto"/>
            <w:vAlign w:val="center"/>
            <w:hideMark/>
          </w:tcPr>
          <w:p w14:paraId="00F11E9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0.47</w:t>
            </w:r>
          </w:p>
        </w:tc>
        <w:tc>
          <w:tcPr>
            <w:tcW w:w="609" w:type="dxa"/>
            <w:tcBorders>
              <w:left w:val="none" w:sz="0" w:space="0" w:color="auto"/>
              <w:right w:val="none" w:sz="0" w:space="0" w:color="auto"/>
            </w:tcBorders>
            <w:shd w:val="clear" w:color="auto" w:fill="auto"/>
            <w:vAlign w:val="center"/>
            <w:hideMark/>
          </w:tcPr>
          <w:p w14:paraId="3D2FE47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0.52</w:t>
            </w:r>
          </w:p>
        </w:tc>
        <w:tc>
          <w:tcPr>
            <w:tcW w:w="722" w:type="dxa"/>
            <w:tcBorders>
              <w:left w:val="none" w:sz="0" w:space="0" w:color="auto"/>
              <w:right w:val="none" w:sz="0" w:space="0" w:color="auto"/>
            </w:tcBorders>
            <w:shd w:val="clear" w:color="auto" w:fill="auto"/>
            <w:vAlign w:val="center"/>
            <w:hideMark/>
          </w:tcPr>
          <w:p w14:paraId="715D9AD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1.34</w:t>
            </w:r>
          </w:p>
        </w:tc>
        <w:tc>
          <w:tcPr>
            <w:tcW w:w="609" w:type="dxa"/>
            <w:tcBorders>
              <w:left w:val="none" w:sz="0" w:space="0" w:color="auto"/>
              <w:right w:val="none" w:sz="0" w:space="0" w:color="auto"/>
            </w:tcBorders>
            <w:shd w:val="clear" w:color="auto" w:fill="auto"/>
            <w:vAlign w:val="center"/>
            <w:hideMark/>
          </w:tcPr>
          <w:p w14:paraId="2F0A83C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0.9</w:t>
            </w:r>
          </w:p>
        </w:tc>
        <w:tc>
          <w:tcPr>
            <w:tcW w:w="609" w:type="dxa"/>
            <w:tcBorders>
              <w:left w:val="none" w:sz="0" w:space="0" w:color="auto"/>
              <w:right w:val="none" w:sz="0" w:space="0" w:color="auto"/>
            </w:tcBorders>
            <w:shd w:val="clear" w:color="auto" w:fill="auto"/>
            <w:vAlign w:val="center"/>
            <w:hideMark/>
          </w:tcPr>
          <w:p w14:paraId="416E1008"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0.9</w:t>
            </w:r>
          </w:p>
        </w:tc>
        <w:tc>
          <w:tcPr>
            <w:tcW w:w="609" w:type="dxa"/>
            <w:tcBorders>
              <w:left w:val="none" w:sz="0" w:space="0" w:color="auto"/>
              <w:right w:val="none" w:sz="0" w:space="0" w:color="auto"/>
            </w:tcBorders>
            <w:shd w:val="clear" w:color="auto" w:fill="auto"/>
            <w:vAlign w:val="center"/>
            <w:hideMark/>
          </w:tcPr>
          <w:p w14:paraId="3669D93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0.9</w:t>
            </w:r>
          </w:p>
        </w:tc>
        <w:tc>
          <w:tcPr>
            <w:tcW w:w="609" w:type="dxa"/>
            <w:tcBorders>
              <w:left w:val="none" w:sz="0" w:space="0" w:color="auto"/>
              <w:right w:val="none" w:sz="0" w:space="0" w:color="auto"/>
            </w:tcBorders>
            <w:shd w:val="clear" w:color="auto" w:fill="auto"/>
            <w:vAlign w:val="center"/>
            <w:hideMark/>
          </w:tcPr>
          <w:p w14:paraId="15BF432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0.7</w:t>
            </w:r>
          </w:p>
        </w:tc>
        <w:tc>
          <w:tcPr>
            <w:tcW w:w="609" w:type="dxa"/>
            <w:tcBorders>
              <w:left w:val="none" w:sz="0" w:space="0" w:color="auto"/>
              <w:right w:val="none" w:sz="0" w:space="0" w:color="auto"/>
            </w:tcBorders>
            <w:shd w:val="clear" w:color="auto" w:fill="auto"/>
            <w:vAlign w:val="center"/>
            <w:hideMark/>
          </w:tcPr>
          <w:p w14:paraId="657F70F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0.8</w:t>
            </w:r>
          </w:p>
        </w:tc>
        <w:tc>
          <w:tcPr>
            <w:tcW w:w="609" w:type="dxa"/>
            <w:tcBorders>
              <w:left w:val="none" w:sz="0" w:space="0" w:color="auto"/>
              <w:right w:val="none" w:sz="0" w:space="0" w:color="auto"/>
            </w:tcBorders>
            <w:shd w:val="clear" w:color="auto" w:fill="auto"/>
            <w:vAlign w:val="center"/>
            <w:hideMark/>
          </w:tcPr>
          <w:p w14:paraId="651E09C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0.7</w:t>
            </w:r>
          </w:p>
        </w:tc>
        <w:tc>
          <w:tcPr>
            <w:tcW w:w="609" w:type="dxa"/>
            <w:tcBorders>
              <w:left w:val="none" w:sz="0" w:space="0" w:color="auto"/>
              <w:right w:val="none" w:sz="0" w:space="0" w:color="auto"/>
            </w:tcBorders>
            <w:shd w:val="clear" w:color="auto" w:fill="auto"/>
            <w:vAlign w:val="center"/>
            <w:hideMark/>
          </w:tcPr>
          <w:p w14:paraId="4C6AD54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1.8</w:t>
            </w:r>
          </w:p>
        </w:tc>
        <w:tc>
          <w:tcPr>
            <w:tcW w:w="609" w:type="dxa"/>
            <w:tcBorders>
              <w:left w:val="none" w:sz="0" w:space="0" w:color="auto"/>
              <w:right w:val="none" w:sz="0" w:space="0" w:color="auto"/>
            </w:tcBorders>
            <w:shd w:val="clear" w:color="auto" w:fill="auto"/>
            <w:vAlign w:val="center"/>
            <w:hideMark/>
          </w:tcPr>
          <w:p w14:paraId="39854D3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w:t>
            </w:r>
          </w:p>
        </w:tc>
        <w:tc>
          <w:tcPr>
            <w:tcW w:w="609" w:type="dxa"/>
            <w:tcBorders>
              <w:left w:val="none" w:sz="0" w:space="0" w:color="auto"/>
              <w:right w:val="none" w:sz="0" w:space="0" w:color="auto"/>
            </w:tcBorders>
            <w:shd w:val="clear" w:color="auto" w:fill="auto"/>
            <w:vAlign w:val="center"/>
            <w:hideMark/>
          </w:tcPr>
          <w:p w14:paraId="49F07FA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0.8</w:t>
            </w:r>
          </w:p>
        </w:tc>
        <w:tc>
          <w:tcPr>
            <w:tcW w:w="609" w:type="dxa"/>
            <w:tcBorders>
              <w:left w:val="none" w:sz="0" w:space="0" w:color="auto"/>
              <w:right w:val="none" w:sz="0" w:space="0" w:color="auto"/>
            </w:tcBorders>
            <w:shd w:val="clear" w:color="auto" w:fill="auto"/>
            <w:vAlign w:val="center"/>
            <w:hideMark/>
          </w:tcPr>
          <w:p w14:paraId="2A5D7AB1"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5F38900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r w:rsidR="006B2784" w:rsidRPr="0047393D" w14:paraId="113AB75D" w14:textId="77777777" w:rsidTr="0026334B">
        <w:trPr>
          <w:trHeight w:val="300"/>
        </w:trPr>
        <w:tc>
          <w:tcPr>
            <w:cnfStyle w:val="001000000000" w:firstRow="0" w:lastRow="0" w:firstColumn="1" w:lastColumn="0" w:oddVBand="0" w:evenVBand="0" w:oddHBand="0" w:evenHBand="0" w:firstRowFirstColumn="0" w:firstRowLastColumn="0" w:lastRowFirstColumn="0" w:lastRowLastColumn="0"/>
            <w:tcW w:w="1747" w:type="dxa"/>
            <w:shd w:val="clear" w:color="auto" w:fill="auto"/>
            <w:vAlign w:val="center"/>
            <w:hideMark/>
          </w:tcPr>
          <w:p w14:paraId="1292CAE4"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Polyunsaturated fat (g)</w:t>
            </w:r>
          </w:p>
        </w:tc>
        <w:tc>
          <w:tcPr>
            <w:tcW w:w="763" w:type="dxa"/>
            <w:shd w:val="clear" w:color="auto" w:fill="auto"/>
            <w:vAlign w:val="center"/>
            <w:hideMark/>
          </w:tcPr>
          <w:p w14:paraId="247E4A0C"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0.09</w:t>
            </w:r>
          </w:p>
        </w:tc>
        <w:tc>
          <w:tcPr>
            <w:tcW w:w="780" w:type="dxa"/>
            <w:shd w:val="clear" w:color="auto" w:fill="auto"/>
            <w:vAlign w:val="center"/>
            <w:hideMark/>
          </w:tcPr>
          <w:p w14:paraId="1BEB713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1.49</w:t>
            </w:r>
          </w:p>
        </w:tc>
        <w:tc>
          <w:tcPr>
            <w:tcW w:w="609" w:type="dxa"/>
            <w:shd w:val="clear" w:color="auto" w:fill="auto"/>
            <w:vAlign w:val="center"/>
            <w:hideMark/>
          </w:tcPr>
          <w:p w14:paraId="326265E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1.49</w:t>
            </w:r>
          </w:p>
        </w:tc>
        <w:tc>
          <w:tcPr>
            <w:tcW w:w="609" w:type="dxa"/>
            <w:shd w:val="clear" w:color="auto" w:fill="auto"/>
            <w:vAlign w:val="center"/>
            <w:hideMark/>
          </w:tcPr>
          <w:p w14:paraId="03EC277D" w14:textId="77777777" w:rsidR="006B2784" w:rsidRPr="00C414F3"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0.96</w:t>
            </w:r>
          </w:p>
        </w:tc>
        <w:tc>
          <w:tcPr>
            <w:tcW w:w="609" w:type="dxa"/>
            <w:shd w:val="clear" w:color="auto" w:fill="auto"/>
            <w:vAlign w:val="center"/>
            <w:hideMark/>
          </w:tcPr>
          <w:p w14:paraId="15B38E5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0.94</w:t>
            </w:r>
          </w:p>
        </w:tc>
        <w:tc>
          <w:tcPr>
            <w:tcW w:w="609" w:type="dxa"/>
            <w:shd w:val="clear" w:color="auto" w:fill="auto"/>
            <w:vAlign w:val="center"/>
            <w:hideMark/>
          </w:tcPr>
          <w:p w14:paraId="2468BF0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0.31</w:t>
            </w:r>
          </w:p>
        </w:tc>
        <w:tc>
          <w:tcPr>
            <w:tcW w:w="609" w:type="dxa"/>
            <w:shd w:val="clear" w:color="auto" w:fill="auto"/>
            <w:vAlign w:val="center"/>
            <w:hideMark/>
          </w:tcPr>
          <w:p w14:paraId="617643F1"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0.34</w:t>
            </w:r>
          </w:p>
        </w:tc>
        <w:tc>
          <w:tcPr>
            <w:tcW w:w="722" w:type="dxa"/>
            <w:shd w:val="clear" w:color="auto" w:fill="auto"/>
            <w:vAlign w:val="center"/>
            <w:hideMark/>
          </w:tcPr>
          <w:p w14:paraId="111955D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w:t>
            </w:r>
          </w:p>
        </w:tc>
        <w:tc>
          <w:tcPr>
            <w:tcW w:w="609" w:type="dxa"/>
            <w:shd w:val="clear" w:color="auto" w:fill="auto"/>
            <w:vAlign w:val="center"/>
            <w:hideMark/>
          </w:tcPr>
          <w:p w14:paraId="13FDB73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0.4</w:t>
            </w:r>
          </w:p>
        </w:tc>
        <w:tc>
          <w:tcPr>
            <w:tcW w:w="609" w:type="dxa"/>
            <w:shd w:val="clear" w:color="auto" w:fill="auto"/>
            <w:vAlign w:val="center"/>
            <w:hideMark/>
          </w:tcPr>
          <w:p w14:paraId="0769E09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0.4</w:t>
            </w:r>
          </w:p>
        </w:tc>
        <w:tc>
          <w:tcPr>
            <w:tcW w:w="609" w:type="dxa"/>
            <w:shd w:val="clear" w:color="auto" w:fill="auto"/>
            <w:vAlign w:val="center"/>
            <w:hideMark/>
          </w:tcPr>
          <w:p w14:paraId="03D8E7A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0.4</w:t>
            </w:r>
          </w:p>
        </w:tc>
        <w:tc>
          <w:tcPr>
            <w:tcW w:w="609" w:type="dxa"/>
            <w:shd w:val="clear" w:color="auto" w:fill="auto"/>
            <w:vAlign w:val="center"/>
            <w:hideMark/>
          </w:tcPr>
          <w:p w14:paraId="333AD3D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w:t>
            </w:r>
          </w:p>
        </w:tc>
        <w:tc>
          <w:tcPr>
            <w:tcW w:w="609" w:type="dxa"/>
            <w:shd w:val="clear" w:color="auto" w:fill="auto"/>
            <w:vAlign w:val="center"/>
            <w:hideMark/>
          </w:tcPr>
          <w:p w14:paraId="72DED751"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w:t>
            </w:r>
          </w:p>
        </w:tc>
        <w:tc>
          <w:tcPr>
            <w:tcW w:w="609" w:type="dxa"/>
            <w:shd w:val="clear" w:color="auto" w:fill="auto"/>
            <w:vAlign w:val="center"/>
            <w:hideMark/>
          </w:tcPr>
          <w:p w14:paraId="69F73F4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w:t>
            </w:r>
          </w:p>
        </w:tc>
        <w:tc>
          <w:tcPr>
            <w:tcW w:w="609" w:type="dxa"/>
            <w:shd w:val="clear" w:color="auto" w:fill="auto"/>
            <w:vAlign w:val="center"/>
            <w:hideMark/>
          </w:tcPr>
          <w:p w14:paraId="4D4456F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0.7</w:t>
            </w:r>
          </w:p>
        </w:tc>
        <w:tc>
          <w:tcPr>
            <w:tcW w:w="609" w:type="dxa"/>
            <w:shd w:val="clear" w:color="auto" w:fill="auto"/>
            <w:vAlign w:val="center"/>
            <w:hideMark/>
          </w:tcPr>
          <w:p w14:paraId="51CA4F4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w:t>
            </w:r>
          </w:p>
        </w:tc>
        <w:tc>
          <w:tcPr>
            <w:tcW w:w="609" w:type="dxa"/>
            <w:shd w:val="clear" w:color="auto" w:fill="auto"/>
            <w:vAlign w:val="center"/>
            <w:hideMark/>
          </w:tcPr>
          <w:p w14:paraId="59510E91"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w:t>
            </w:r>
          </w:p>
        </w:tc>
        <w:tc>
          <w:tcPr>
            <w:tcW w:w="609" w:type="dxa"/>
            <w:shd w:val="clear" w:color="auto" w:fill="auto"/>
            <w:vAlign w:val="center"/>
            <w:hideMark/>
          </w:tcPr>
          <w:p w14:paraId="15A8C97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0745863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r w:rsidR="006B2784" w:rsidRPr="0047393D" w14:paraId="40786B25" w14:textId="77777777" w:rsidTr="002633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7" w:type="dxa"/>
            <w:tcBorders>
              <w:left w:val="none" w:sz="0" w:space="0" w:color="auto"/>
              <w:right w:val="none" w:sz="0" w:space="0" w:color="auto"/>
            </w:tcBorders>
            <w:shd w:val="clear" w:color="auto" w:fill="auto"/>
            <w:vAlign w:val="center"/>
            <w:hideMark/>
          </w:tcPr>
          <w:p w14:paraId="149913EC"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Trans fatty acids (g)</w:t>
            </w:r>
          </w:p>
        </w:tc>
        <w:tc>
          <w:tcPr>
            <w:tcW w:w="763" w:type="dxa"/>
            <w:tcBorders>
              <w:left w:val="none" w:sz="0" w:space="0" w:color="auto"/>
              <w:right w:val="none" w:sz="0" w:space="0" w:color="auto"/>
            </w:tcBorders>
            <w:shd w:val="clear" w:color="auto" w:fill="auto"/>
            <w:vAlign w:val="center"/>
            <w:hideMark/>
          </w:tcPr>
          <w:p w14:paraId="4F9E13D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0.11</w:t>
            </w:r>
          </w:p>
        </w:tc>
        <w:tc>
          <w:tcPr>
            <w:tcW w:w="780" w:type="dxa"/>
            <w:tcBorders>
              <w:left w:val="none" w:sz="0" w:space="0" w:color="auto"/>
              <w:right w:val="none" w:sz="0" w:space="0" w:color="auto"/>
            </w:tcBorders>
            <w:shd w:val="clear" w:color="auto" w:fill="auto"/>
            <w:vAlign w:val="center"/>
            <w:hideMark/>
          </w:tcPr>
          <w:p w14:paraId="7E6CB190"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0.02</w:t>
            </w:r>
          </w:p>
        </w:tc>
        <w:tc>
          <w:tcPr>
            <w:tcW w:w="609" w:type="dxa"/>
            <w:tcBorders>
              <w:left w:val="none" w:sz="0" w:space="0" w:color="auto"/>
              <w:right w:val="none" w:sz="0" w:space="0" w:color="auto"/>
            </w:tcBorders>
            <w:shd w:val="clear" w:color="auto" w:fill="auto"/>
            <w:vAlign w:val="center"/>
            <w:hideMark/>
          </w:tcPr>
          <w:p w14:paraId="2AE4EEE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0.02</w:t>
            </w:r>
          </w:p>
        </w:tc>
        <w:tc>
          <w:tcPr>
            <w:tcW w:w="609" w:type="dxa"/>
            <w:tcBorders>
              <w:left w:val="none" w:sz="0" w:space="0" w:color="auto"/>
              <w:right w:val="none" w:sz="0" w:space="0" w:color="auto"/>
            </w:tcBorders>
            <w:shd w:val="clear" w:color="auto" w:fill="auto"/>
            <w:vAlign w:val="center"/>
            <w:hideMark/>
          </w:tcPr>
          <w:p w14:paraId="2BAEDF7A" w14:textId="77777777" w:rsidR="006B2784" w:rsidRPr="00C414F3"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0.02</w:t>
            </w:r>
          </w:p>
        </w:tc>
        <w:tc>
          <w:tcPr>
            <w:tcW w:w="609" w:type="dxa"/>
            <w:tcBorders>
              <w:left w:val="none" w:sz="0" w:space="0" w:color="auto"/>
              <w:right w:val="none" w:sz="0" w:space="0" w:color="auto"/>
            </w:tcBorders>
            <w:shd w:val="clear" w:color="auto" w:fill="auto"/>
            <w:vAlign w:val="center"/>
            <w:hideMark/>
          </w:tcPr>
          <w:p w14:paraId="6EC01BF1"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0.02</w:t>
            </w:r>
          </w:p>
        </w:tc>
        <w:tc>
          <w:tcPr>
            <w:tcW w:w="609" w:type="dxa"/>
            <w:tcBorders>
              <w:left w:val="none" w:sz="0" w:space="0" w:color="auto"/>
              <w:right w:val="none" w:sz="0" w:space="0" w:color="auto"/>
            </w:tcBorders>
            <w:shd w:val="clear" w:color="auto" w:fill="auto"/>
            <w:vAlign w:val="center"/>
            <w:hideMark/>
          </w:tcPr>
          <w:p w14:paraId="5AFCD77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0.02</w:t>
            </w:r>
          </w:p>
        </w:tc>
        <w:tc>
          <w:tcPr>
            <w:tcW w:w="609" w:type="dxa"/>
            <w:tcBorders>
              <w:left w:val="none" w:sz="0" w:space="0" w:color="auto"/>
              <w:right w:val="none" w:sz="0" w:space="0" w:color="auto"/>
            </w:tcBorders>
            <w:shd w:val="clear" w:color="auto" w:fill="auto"/>
            <w:vAlign w:val="center"/>
            <w:hideMark/>
          </w:tcPr>
          <w:p w14:paraId="30E31E97"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0.02</w:t>
            </w:r>
          </w:p>
        </w:tc>
        <w:tc>
          <w:tcPr>
            <w:tcW w:w="722" w:type="dxa"/>
            <w:tcBorders>
              <w:left w:val="none" w:sz="0" w:space="0" w:color="auto"/>
              <w:right w:val="none" w:sz="0" w:space="0" w:color="auto"/>
            </w:tcBorders>
            <w:shd w:val="clear" w:color="auto" w:fill="auto"/>
            <w:vAlign w:val="center"/>
            <w:hideMark/>
          </w:tcPr>
          <w:p w14:paraId="1419545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0.02</w:t>
            </w:r>
          </w:p>
        </w:tc>
        <w:tc>
          <w:tcPr>
            <w:tcW w:w="609" w:type="dxa"/>
            <w:tcBorders>
              <w:left w:val="none" w:sz="0" w:space="0" w:color="auto"/>
              <w:right w:val="none" w:sz="0" w:space="0" w:color="auto"/>
            </w:tcBorders>
            <w:shd w:val="clear" w:color="auto" w:fill="auto"/>
            <w:vAlign w:val="center"/>
            <w:hideMark/>
          </w:tcPr>
          <w:p w14:paraId="2AC513AD"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609" w:type="dxa"/>
            <w:tcBorders>
              <w:left w:val="none" w:sz="0" w:space="0" w:color="auto"/>
              <w:right w:val="none" w:sz="0" w:space="0" w:color="auto"/>
            </w:tcBorders>
            <w:shd w:val="clear" w:color="auto" w:fill="auto"/>
            <w:vAlign w:val="center"/>
            <w:hideMark/>
          </w:tcPr>
          <w:p w14:paraId="6590A2A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609" w:type="dxa"/>
            <w:tcBorders>
              <w:left w:val="none" w:sz="0" w:space="0" w:color="auto"/>
              <w:right w:val="none" w:sz="0" w:space="0" w:color="auto"/>
            </w:tcBorders>
            <w:shd w:val="clear" w:color="auto" w:fill="auto"/>
            <w:vAlign w:val="center"/>
            <w:hideMark/>
          </w:tcPr>
          <w:p w14:paraId="78BD7D9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609" w:type="dxa"/>
            <w:tcBorders>
              <w:left w:val="none" w:sz="0" w:space="0" w:color="auto"/>
              <w:right w:val="none" w:sz="0" w:space="0" w:color="auto"/>
            </w:tcBorders>
            <w:shd w:val="clear" w:color="auto" w:fill="auto"/>
            <w:vAlign w:val="center"/>
            <w:hideMark/>
          </w:tcPr>
          <w:p w14:paraId="18890E2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609" w:type="dxa"/>
            <w:tcBorders>
              <w:left w:val="none" w:sz="0" w:space="0" w:color="auto"/>
              <w:right w:val="none" w:sz="0" w:space="0" w:color="auto"/>
            </w:tcBorders>
            <w:shd w:val="clear" w:color="auto" w:fill="auto"/>
            <w:vAlign w:val="center"/>
            <w:hideMark/>
          </w:tcPr>
          <w:p w14:paraId="5CF0123B"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609" w:type="dxa"/>
            <w:tcBorders>
              <w:left w:val="none" w:sz="0" w:space="0" w:color="auto"/>
              <w:right w:val="none" w:sz="0" w:space="0" w:color="auto"/>
            </w:tcBorders>
            <w:shd w:val="clear" w:color="auto" w:fill="auto"/>
            <w:vAlign w:val="center"/>
            <w:hideMark/>
          </w:tcPr>
          <w:p w14:paraId="00F8402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609" w:type="dxa"/>
            <w:tcBorders>
              <w:left w:val="none" w:sz="0" w:space="0" w:color="auto"/>
              <w:right w:val="none" w:sz="0" w:space="0" w:color="auto"/>
            </w:tcBorders>
            <w:shd w:val="clear" w:color="auto" w:fill="auto"/>
            <w:vAlign w:val="center"/>
            <w:hideMark/>
          </w:tcPr>
          <w:p w14:paraId="4EC195B2"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609" w:type="dxa"/>
            <w:tcBorders>
              <w:left w:val="none" w:sz="0" w:space="0" w:color="auto"/>
              <w:right w:val="none" w:sz="0" w:space="0" w:color="auto"/>
            </w:tcBorders>
            <w:shd w:val="clear" w:color="auto" w:fill="auto"/>
            <w:vAlign w:val="center"/>
            <w:hideMark/>
          </w:tcPr>
          <w:p w14:paraId="7398A7B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609" w:type="dxa"/>
            <w:tcBorders>
              <w:left w:val="none" w:sz="0" w:space="0" w:color="auto"/>
              <w:right w:val="none" w:sz="0" w:space="0" w:color="auto"/>
            </w:tcBorders>
            <w:shd w:val="clear" w:color="auto" w:fill="auto"/>
            <w:vAlign w:val="center"/>
            <w:hideMark/>
          </w:tcPr>
          <w:p w14:paraId="42677C9D"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609" w:type="dxa"/>
            <w:tcBorders>
              <w:left w:val="none" w:sz="0" w:space="0" w:color="auto"/>
              <w:right w:val="none" w:sz="0" w:space="0" w:color="auto"/>
            </w:tcBorders>
            <w:shd w:val="clear" w:color="auto" w:fill="auto"/>
            <w:vAlign w:val="center"/>
            <w:hideMark/>
          </w:tcPr>
          <w:p w14:paraId="1724580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&lt;0.1</w:t>
            </w:r>
          </w:p>
        </w:tc>
        <w:tc>
          <w:tcPr>
            <w:tcW w:w="609" w:type="dxa"/>
            <w:tcBorders>
              <w:left w:val="none" w:sz="0" w:space="0" w:color="auto"/>
              <w:right w:val="none" w:sz="0" w:space="0" w:color="auto"/>
            </w:tcBorders>
            <w:shd w:val="clear" w:color="auto" w:fill="auto"/>
            <w:vAlign w:val="center"/>
            <w:hideMark/>
          </w:tcPr>
          <w:p w14:paraId="685282F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&lt;0.1</w:t>
            </w:r>
          </w:p>
        </w:tc>
      </w:tr>
      <w:tr w:rsidR="006B2784" w:rsidRPr="0047393D" w14:paraId="137C00E7" w14:textId="77777777" w:rsidTr="0026334B">
        <w:trPr>
          <w:trHeight w:val="300"/>
        </w:trPr>
        <w:tc>
          <w:tcPr>
            <w:cnfStyle w:val="001000000000" w:firstRow="0" w:lastRow="0" w:firstColumn="1" w:lastColumn="0" w:oddVBand="0" w:evenVBand="0" w:oddHBand="0" w:evenHBand="0" w:firstRowFirstColumn="0" w:firstRowLastColumn="0" w:lastRowFirstColumn="0" w:lastRowLastColumn="0"/>
            <w:tcW w:w="1747" w:type="dxa"/>
            <w:shd w:val="clear" w:color="auto" w:fill="auto"/>
            <w:vAlign w:val="center"/>
            <w:hideMark/>
          </w:tcPr>
          <w:p w14:paraId="66B3439B"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Cholesterol (mg)</w:t>
            </w:r>
          </w:p>
        </w:tc>
        <w:tc>
          <w:tcPr>
            <w:tcW w:w="763" w:type="dxa"/>
            <w:shd w:val="clear" w:color="auto" w:fill="auto"/>
            <w:vAlign w:val="center"/>
            <w:hideMark/>
          </w:tcPr>
          <w:p w14:paraId="063570F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10</w:t>
            </w:r>
          </w:p>
        </w:tc>
        <w:tc>
          <w:tcPr>
            <w:tcW w:w="780" w:type="dxa"/>
            <w:shd w:val="clear" w:color="auto" w:fill="auto"/>
            <w:vAlign w:val="center"/>
            <w:hideMark/>
          </w:tcPr>
          <w:p w14:paraId="4B3C9864"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6EAEFF2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4A807328" w14:textId="77777777" w:rsidR="006B2784" w:rsidRPr="00C414F3"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0</w:t>
            </w:r>
          </w:p>
        </w:tc>
        <w:tc>
          <w:tcPr>
            <w:tcW w:w="609" w:type="dxa"/>
            <w:shd w:val="clear" w:color="auto" w:fill="auto"/>
            <w:vAlign w:val="center"/>
            <w:hideMark/>
          </w:tcPr>
          <w:p w14:paraId="3CCEB181"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607C71E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2129EB0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722" w:type="dxa"/>
            <w:shd w:val="clear" w:color="auto" w:fill="auto"/>
            <w:vAlign w:val="center"/>
            <w:hideMark/>
          </w:tcPr>
          <w:p w14:paraId="60296186"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2E8F3B8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47EC835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57766DE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75630896"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734D623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7ABED92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069ED93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1700A1B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0E480DC6"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7D450BD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5CE3352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r>
      <w:tr w:rsidR="006B2784" w:rsidRPr="0047393D" w14:paraId="3B6EFF34" w14:textId="77777777" w:rsidTr="002633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7" w:type="dxa"/>
            <w:tcBorders>
              <w:left w:val="none" w:sz="0" w:space="0" w:color="auto"/>
              <w:right w:val="none" w:sz="0" w:space="0" w:color="auto"/>
            </w:tcBorders>
            <w:shd w:val="clear" w:color="auto" w:fill="auto"/>
            <w:vAlign w:val="center"/>
            <w:hideMark/>
          </w:tcPr>
          <w:p w14:paraId="173B5392"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Carbohydrates (g)</w:t>
            </w:r>
          </w:p>
        </w:tc>
        <w:tc>
          <w:tcPr>
            <w:tcW w:w="763" w:type="dxa"/>
            <w:tcBorders>
              <w:left w:val="none" w:sz="0" w:space="0" w:color="auto"/>
              <w:right w:val="none" w:sz="0" w:space="0" w:color="auto"/>
            </w:tcBorders>
            <w:shd w:val="clear" w:color="auto" w:fill="auto"/>
            <w:vAlign w:val="center"/>
            <w:hideMark/>
          </w:tcPr>
          <w:p w14:paraId="5A01BD9D"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6</w:t>
            </w:r>
          </w:p>
        </w:tc>
        <w:tc>
          <w:tcPr>
            <w:tcW w:w="780" w:type="dxa"/>
            <w:tcBorders>
              <w:left w:val="none" w:sz="0" w:space="0" w:color="auto"/>
              <w:right w:val="none" w:sz="0" w:space="0" w:color="auto"/>
            </w:tcBorders>
            <w:shd w:val="clear" w:color="auto" w:fill="auto"/>
            <w:vAlign w:val="center"/>
            <w:hideMark/>
          </w:tcPr>
          <w:p w14:paraId="0FD40502"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4.6</w:t>
            </w:r>
          </w:p>
        </w:tc>
        <w:tc>
          <w:tcPr>
            <w:tcW w:w="609" w:type="dxa"/>
            <w:tcBorders>
              <w:left w:val="none" w:sz="0" w:space="0" w:color="auto"/>
              <w:right w:val="none" w:sz="0" w:space="0" w:color="auto"/>
            </w:tcBorders>
            <w:shd w:val="clear" w:color="auto" w:fill="auto"/>
            <w:vAlign w:val="center"/>
            <w:hideMark/>
          </w:tcPr>
          <w:p w14:paraId="53D0D07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4.6</w:t>
            </w:r>
          </w:p>
        </w:tc>
        <w:tc>
          <w:tcPr>
            <w:tcW w:w="609" w:type="dxa"/>
            <w:tcBorders>
              <w:left w:val="none" w:sz="0" w:space="0" w:color="auto"/>
              <w:right w:val="none" w:sz="0" w:space="0" w:color="auto"/>
            </w:tcBorders>
            <w:shd w:val="clear" w:color="auto" w:fill="auto"/>
            <w:vAlign w:val="center"/>
            <w:hideMark/>
          </w:tcPr>
          <w:p w14:paraId="0CD9CADC" w14:textId="77777777" w:rsidR="006B2784" w:rsidRPr="00C414F3"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6.5</w:t>
            </w:r>
          </w:p>
        </w:tc>
        <w:tc>
          <w:tcPr>
            <w:tcW w:w="609" w:type="dxa"/>
            <w:tcBorders>
              <w:left w:val="none" w:sz="0" w:space="0" w:color="auto"/>
              <w:right w:val="none" w:sz="0" w:space="0" w:color="auto"/>
            </w:tcBorders>
            <w:shd w:val="clear" w:color="auto" w:fill="auto"/>
            <w:vAlign w:val="center"/>
            <w:hideMark/>
          </w:tcPr>
          <w:p w14:paraId="1A480FC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6.5</w:t>
            </w:r>
          </w:p>
        </w:tc>
        <w:tc>
          <w:tcPr>
            <w:tcW w:w="609" w:type="dxa"/>
            <w:tcBorders>
              <w:left w:val="none" w:sz="0" w:space="0" w:color="auto"/>
              <w:right w:val="none" w:sz="0" w:space="0" w:color="auto"/>
            </w:tcBorders>
            <w:shd w:val="clear" w:color="auto" w:fill="auto"/>
            <w:vAlign w:val="center"/>
            <w:hideMark/>
          </w:tcPr>
          <w:p w14:paraId="5992CF9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12.7</w:t>
            </w:r>
          </w:p>
        </w:tc>
        <w:tc>
          <w:tcPr>
            <w:tcW w:w="609" w:type="dxa"/>
            <w:tcBorders>
              <w:left w:val="none" w:sz="0" w:space="0" w:color="auto"/>
              <w:right w:val="none" w:sz="0" w:space="0" w:color="auto"/>
            </w:tcBorders>
            <w:shd w:val="clear" w:color="auto" w:fill="auto"/>
            <w:vAlign w:val="center"/>
            <w:hideMark/>
          </w:tcPr>
          <w:p w14:paraId="70329C7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5.6</w:t>
            </w:r>
          </w:p>
        </w:tc>
        <w:tc>
          <w:tcPr>
            <w:tcW w:w="722" w:type="dxa"/>
            <w:tcBorders>
              <w:left w:val="none" w:sz="0" w:space="0" w:color="auto"/>
              <w:right w:val="none" w:sz="0" w:space="0" w:color="auto"/>
            </w:tcBorders>
            <w:shd w:val="clear" w:color="auto" w:fill="auto"/>
            <w:vAlign w:val="center"/>
            <w:hideMark/>
          </w:tcPr>
          <w:p w14:paraId="60A9351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w:t>
            </w:r>
          </w:p>
        </w:tc>
        <w:tc>
          <w:tcPr>
            <w:tcW w:w="609" w:type="dxa"/>
            <w:tcBorders>
              <w:left w:val="none" w:sz="0" w:space="0" w:color="auto"/>
              <w:right w:val="none" w:sz="0" w:space="0" w:color="auto"/>
            </w:tcBorders>
            <w:shd w:val="clear" w:color="auto" w:fill="auto"/>
            <w:vAlign w:val="center"/>
            <w:hideMark/>
          </w:tcPr>
          <w:p w14:paraId="566634C7"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3.6</w:t>
            </w:r>
          </w:p>
        </w:tc>
        <w:tc>
          <w:tcPr>
            <w:tcW w:w="609" w:type="dxa"/>
            <w:tcBorders>
              <w:left w:val="none" w:sz="0" w:space="0" w:color="auto"/>
              <w:right w:val="none" w:sz="0" w:space="0" w:color="auto"/>
            </w:tcBorders>
            <w:shd w:val="clear" w:color="auto" w:fill="auto"/>
            <w:vAlign w:val="center"/>
            <w:hideMark/>
          </w:tcPr>
          <w:p w14:paraId="2A03A171"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w:t>
            </w:r>
          </w:p>
        </w:tc>
        <w:tc>
          <w:tcPr>
            <w:tcW w:w="609" w:type="dxa"/>
            <w:tcBorders>
              <w:left w:val="none" w:sz="0" w:space="0" w:color="auto"/>
              <w:right w:val="none" w:sz="0" w:space="0" w:color="auto"/>
            </w:tcBorders>
            <w:shd w:val="clear" w:color="auto" w:fill="auto"/>
            <w:vAlign w:val="center"/>
            <w:hideMark/>
          </w:tcPr>
          <w:p w14:paraId="68553C2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4.9</w:t>
            </w:r>
          </w:p>
        </w:tc>
        <w:tc>
          <w:tcPr>
            <w:tcW w:w="609" w:type="dxa"/>
            <w:tcBorders>
              <w:left w:val="none" w:sz="0" w:space="0" w:color="auto"/>
              <w:right w:val="none" w:sz="0" w:space="0" w:color="auto"/>
            </w:tcBorders>
            <w:shd w:val="clear" w:color="auto" w:fill="auto"/>
            <w:vAlign w:val="center"/>
            <w:hideMark/>
          </w:tcPr>
          <w:p w14:paraId="28F15E50"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3.2</w:t>
            </w:r>
          </w:p>
        </w:tc>
        <w:tc>
          <w:tcPr>
            <w:tcW w:w="609" w:type="dxa"/>
            <w:tcBorders>
              <w:left w:val="none" w:sz="0" w:space="0" w:color="auto"/>
              <w:right w:val="none" w:sz="0" w:space="0" w:color="auto"/>
            </w:tcBorders>
            <w:shd w:val="clear" w:color="auto" w:fill="auto"/>
            <w:vAlign w:val="center"/>
            <w:hideMark/>
          </w:tcPr>
          <w:p w14:paraId="4EBBFB1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0.7</w:t>
            </w:r>
          </w:p>
        </w:tc>
        <w:tc>
          <w:tcPr>
            <w:tcW w:w="609" w:type="dxa"/>
            <w:tcBorders>
              <w:left w:val="none" w:sz="0" w:space="0" w:color="auto"/>
              <w:right w:val="none" w:sz="0" w:space="0" w:color="auto"/>
            </w:tcBorders>
            <w:shd w:val="clear" w:color="auto" w:fill="auto"/>
            <w:vAlign w:val="center"/>
            <w:hideMark/>
          </w:tcPr>
          <w:p w14:paraId="1C9CFEB2"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2.2</w:t>
            </w:r>
          </w:p>
        </w:tc>
        <w:tc>
          <w:tcPr>
            <w:tcW w:w="609" w:type="dxa"/>
            <w:tcBorders>
              <w:left w:val="none" w:sz="0" w:space="0" w:color="auto"/>
              <w:right w:val="none" w:sz="0" w:space="0" w:color="auto"/>
            </w:tcBorders>
            <w:shd w:val="clear" w:color="auto" w:fill="auto"/>
            <w:vAlign w:val="center"/>
            <w:hideMark/>
          </w:tcPr>
          <w:p w14:paraId="4DE3BBD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2.4</w:t>
            </w:r>
          </w:p>
        </w:tc>
        <w:tc>
          <w:tcPr>
            <w:tcW w:w="609" w:type="dxa"/>
            <w:tcBorders>
              <w:left w:val="none" w:sz="0" w:space="0" w:color="auto"/>
              <w:right w:val="none" w:sz="0" w:space="0" w:color="auto"/>
            </w:tcBorders>
            <w:shd w:val="clear" w:color="auto" w:fill="auto"/>
            <w:vAlign w:val="center"/>
            <w:hideMark/>
          </w:tcPr>
          <w:p w14:paraId="34AB1F3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9.1</w:t>
            </w:r>
          </w:p>
        </w:tc>
        <w:tc>
          <w:tcPr>
            <w:tcW w:w="609" w:type="dxa"/>
            <w:tcBorders>
              <w:left w:val="none" w:sz="0" w:space="0" w:color="auto"/>
              <w:right w:val="none" w:sz="0" w:space="0" w:color="auto"/>
            </w:tcBorders>
            <w:shd w:val="clear" w:color="auto" w:fill="auto"/>
            <w:vAlign w:val="center"/>
            <w:hideMark/>
          </w:tcPr>
          <w:p w14:paraId="23DA876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3.5</w:t>
            </w:r>
          </w:p>
        </w:tc>
        <w:tc>
          <w:tcPr>
            <w:tcW w:w="609" w:type="dxa"/>
            <w:tcBorders>
              <w:left w:val="none" w:sz="0" w:space="0" w:color="auto"/>
              <w:right w:val="none" w:sz="0" w:space="0" w:color="auto"/>
            </w:tcBorders>
            <w:shd w:val="clear" w:color="auto" w:fill="auto"/>
            <w:vAlign w:val="center"/>
            <w:hideMark/>
          </w:tcPr>
          <w:p w14:paraId="118A751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w:t>
            </w:r>
          </w:p>
        </w:tc>
        <w:tc>
          <w:tcPr>
            <w:tcW w:w="609" w:type="dxa"/>
            <w:tcBorders>
              <w:left w:val="none" w:sz="0" w:space="0" w:color="auto"/>
              <w:right w:val="none" w:sz="0" w:space="0" w:color="auto"/>
            </w:tcBorders>
            <w:shd w:val="clear" w:color="auto" w:fill="auto"/>
            <w:vAlign w:val="center"/>
            <w:hideMark/>
          </w:tcPr>
          <w:p w14:paraId="07BB671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0.5</w:t>
            </w:r>
          </w:p>
        </w:tc>
      </w:tr>
      <w:tr w:rsidR="006B2784" w:rsidRPr="0047393D" w14:paraId="33642CE6" w14:textId="77777777" w:rsidTr="0026334B">
        <w:trPr>
          <w:trHeight w:val="300"/>
        </w:trPr>
        <w:tc>
          <w:tcPr>
            <w:cnfStyle w:val="001000000000" w:firstRow="0" w:lastRow="0" w:firstColumn="1" w:lastColumn="0" w:oddVBand="0" w:evenVBand="0" w:oddHBand="0" w:evenHBand="0" w:firstRowFirstColumn="0" w:firstRowLastColumn="0" w:lastRowFirstColumn="0" w:lastRowLastColumn="0"/>
            <w:tcW w:w="1747" w:type="dxa"/>
            <w:shd w:val="clear" w:color="auto" w:fill="auto"/>
            <w:vAlign w:val="center"/>
            <w:hideMark/>
          </w:tcPr>
          <w:p w14:paraId="2C412E8E"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Total sugars (g)</w:t>
            </w:r>
          </w:p>
        </w:tc>
        <w:tc>
          <w:tcPr>
            <w:tcW w:w="763" w:type="dxa"/>
            <w:shd w:val="clear" w:color="auto" w:fill="auto"/>
            <w:vAlign w:val="center"/>
            <w:hideMark/>
          </w:tcPr>
          <w:p w14:paraId="5BA3CE0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6</w:t>
            </w:r>
          </w:p>
        </w:tc>
        <w:tc>
          <w:tcPr>
            <w:tcW w:w="780" w:type="dxa"/>
            <w:shd w:val="clear" w:color="auto" w:fill="auto"/>
            <w:vAlign w:val="center"/>
            <w:hideMark/>
          </w:tcPr>
          <w:p w14:paraId="3624F27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2.6</w:t>
            </w:r>
          </w:p>
        </w:tc>
        <w:tc>
          <w:tcPr>
            <w:tcW w:w="609" w:type="dxa"/>
            <w:shd w:val="clear" w:color="auto" w:fill="auto"/>
            <w:vAlign w:val="center"/>
            <w:hideMark/>
          </w:tcPr>
          <w:p w14:paraId="4275762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2.6</w:t>
            </w:r>
          </w:p>
        </w:tc>
        <w:tc>
          <w:tcPr>
            <w:tcW w:w="609" w:type="dxa"/>
            <w:shd w:val="clear" w:color="auto" w:fill="auto"/>
            <w:vAlign w:val="center"/>
            <w:hideMark/>
          </w:tcPr>
          <w:p w14:paraId="2F416F62" w14:textId="77777777" w:rsidR="006B2784" w:rsidRPr="00C414F3"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0.1</w:t>
            </w:r>
          </w:p>
        </w:tc>
        <w:tc>
          <w:tcPr>
            <w:tcW w:w="609" w:type="dxa"/>
            <w:shd w:val="clear" w:color="auto" w:fill="auto"/>
            <w:vAlign w:val="center"/>
            <w:hideMark/>
          </w:tcPr>
          <w:p w14:paraId="7C5AE08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w:t>
            </w:r>
          </w:p>
        </w:tc>
        <w:tc>
          <w:tcPr>
            <w:tcW w:w="609" w:type="dxa"/>
            <w:shd w:val="clear" w:color="auto" w:fill="auto"/>
            <w:vAlign w:val="center"/>
            <w:hideMark/>
          </w:tcPr>
          <w:p w14:paraId="4565C59C"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3.7</w:t>
            </w:r>
          </w:p>
        </w:tc>
        <w:tc>
          <w:tcPr>
            <w:tcW w:w="609" w:type="dxa"/>
            <w:shd w:val="clear" w:color="auto" w:fill="auto"/>
            <w:vAlign w:val="center"/>
            <w:hideMark/>
          </w:tcPr>
          <w:p w14:paraId="6C5ACEA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2.8</w:t>
            </w:r>
          </w:p>
        </w:tc>
        <w:tc>
          <w:tcPr>
            <w:tcW w:w="722" w:type="dxa"/>
            <w:shd w:val="clear" w:color="auto" w:fill="auto"/>
            <w:vAlign w:val="center"/>
            <w:hideMark/>
          </w:tcPr>
          <w:p w14:paraId="72B6ECD4"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1.9</w:t>
            </w:r>
          </w:p>
        </w:tc>
        <w:tc>
          <w:tcPr>
            <w:tcW w:w="609" w:type="dxa"/>
            <w:shd w:val="clear" w:color="auto" w:fill="auto"/>
            <w:vAlign w:val="center"/>
            <w:hideMark/>
          </w:tcPr>
          <w:p w14:paraId="6EA86D2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3.4</w:t>
            </w:r>
          </w:p>
        </w:tc>
        <w:tc>
          <w:tcPr>
            <w:tcW w:w="609" w:type="dxa"/>
            <w:shd w:val="clear" w:color="auto" w:fill="auto"/>
            <w:vAlign w:val="center"/>
            <w:hideMark/>
          </w:tcPr>
          <w:p w14:paraId="4E6FB5C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w:t>
            </w:r>
          </w:p>
        </w:tc>
        <w:tc>
          <w:tcPr>
            <w:tcW w:w="609" w:type="dxa"/>
            <w:shd w:val="clear" w:color="auto" w:fill="auto"/>
            <w:vAlign w:val="center"/>
            <w:hideMark/>
          </w:tcPr>
          <w:p w14:paraId="2E9C5F1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4.8</w:t>
            </w:r>
          </w:p>
        </w:tc>
        <w:tc>
          <w:tcPr>
            <w:tcW w:w="609" w:type="dxa"/>
            <w:shd w:val="clear" w:color="auto" w:fill="auto"/>
            <w:vAlign w:val="center"/>
            <w:hideMark/>
          </w:tcPr>
          <w:p w14:paraId="3FF8D51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2.8</w:t>
            </w:r>
          </w:p>
        </w:tc>
        <w:tc>
          <w:tcPr>
            <w:tcW w:w="609" w:type="dxa"/>
            <w:shd w:val="clear" w:color="auto" w:fill="auto"/>
            <w:vAlign w:val="center"/>
            <w:hideMark/>
          </w:tcPr>
          <w:p w14:paraId="4814989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w:t>
            </w:r>
          </w:p>
        </w:tc>
        <w:tc>
          <w:tcPr>
            <w:tcW w:w="609" w:type="dxa"/>
            <w:shd w:val="clear" w:color="auto" w:fill="auto"/>
            <w:vAlign w:val="center"/>
            <w:hideMark/>
          </w:tcPr>
          <w:p w14:paraId="592FD27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1.5</w:t>
            </w:r>
          </w:p>
        </w:tc>
        <w:tc>
          <w:tcPr>
            <w:tcW w:w="609" w:type="dxa"/>
            <w:shd w:val="clear" w:color="auto" w:fill="auto"/>
            <w:vAlign w:val="center"/>
            <w:hideMark/>
          </w:tcPr>
          <w:p w14:paraId="1AAB179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1.9</w:t>
            </w:r>
          </w:p>
        </w:tc>
        <w:tc>
          <w:tcPr>
            <w:tcW w:w="609" w:type="dxa"/>
            <w:shd w:val="clear" w:color="auto" w:fill="auto"/>
            <w:vAlign w:val="center"/>
            <w:hideMark/>
          </w:tcPr>
          <w:p w14:paraId="30B50AAC"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6.3</w:t>
            </w:r>
          </w:p>
        </w:tc>
        <w:tc>
          <w:tcPr>
            <w:tcW w:w="609" w:type="dxa"/>
            <w:shd w:val="clear" w:color="auto" w:fill="auto"/>
            <w:vAlign w:val="center"/>
            <w:hideMark/>
          </w:tcPr>
          <w:p w14:paraId="2C6723E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2.2</w:t>
            </w:r>
          </w:p>
        </w:tc>
        <w:tc>
          <w:tcPr>
            <w:tcW w:w="609" w:type="dxa"/>
            <w:shd w:val="clear" w:color="auto" w:fill="auto"/>
            <w:vAlign w:val="center"/>
            <w:hideMark/>
          </w:tcPr>
          <w:p w14:paraId="0BD93056"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2.8</w:t>
            </w:r>
          </w:p>
        </w:tc>
        <w:tc>
          <w:tcPr>
            <w:tcW w:w="609" w:type="dxa"/>
            <w:shd w:val="clear" w:color="auto" w:fill="auto"/>
            <w:vAlign w:val="center"/>
            <w:hideMark/>
          </w:tcPr>
          <w:p w14:paraId="261FF76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w:t>
            </w:r>
          </w:p>
        </w:tc>
      </w:tr>
      <w:tr w:rsidR="006B2784" w:rsidRPr="0047393D" w14:paraId="48988E79" w14:textId="77777777" w:rsidTr="002633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7" w:type="dxa"/>
            <w:tcBorders>
              <w:left w:val="none" w:sz="0" w:space="0" w:color="auto"/>
              <w:right w:val="none" w:sz="0" w:space="0" w:color="auto"/>
            </w:tcBorders>
            <w:shd w:val="clear" w:color="auto" w:fill="auto"/>
            <w:vAlign w:val="center"/>
            <w:hideMark/>
          </w:tcPr>
          <w:p w14:paraId="251B49A6"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Dietary fibre (g)</w:t>
            </w:r>
          </w:p>
        </w:tc>
        <w:tc>
          <w:tcPr>
            <w:tcW w:w="763" w:type="dxa"/>
            <w:tcBorders>
              <w:left w:val="none" w:sz="0" w:space="0" w:color="auto"/>
              <w:right w:val="none" w:sz="0" w:space="0" w:color="auto"/>
            </w:tcBorders>
            <w:shd w:val="clear" w:color="auto" w:fill="auto"/>
            <w:vAlign w:val="center"/>
            <w:hideMark/>
          </w:tcPr>
          <w:p w14:paraId="22E533D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780" w:type="dxa"/>
            <w:tcBorders>
              <w:left w:val="none" w:sz="0" w:space="0" w:color="auto"/>
              <w:right w:val="none" w:sz="0" w:space="0" w:color="auto"/>
            </w:tcBorders>
            <w:shd w:val="clear" w:color="auto" w:fill="auto"/>
            <w:vAlign w:val="center"/>
            <w:hideMark/>
          </w:tcPr>
          <w:p w14:paraId="4E0233A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0.6</w:t>
            </w:r>
          </w:p>
        </w:tc>
        <w:tc>
          <w:tcPr>
            <w:tcW w:w="609" w:type="dxa"/>
            <w:tcBorders>
              <w:left w:val="none" w:sz="0" w:space="0" w:color="auto"/>
              <w:right w:val="none" w:sz="0" w:space="0" w:color="auto"/>
            </w:tcBorders>
            <w:shd w:val="clear" w:color="auto" w:fill="auto"/>
            <w:vAlign w:val="center"/>
            <w:hideMark/>
          </w:tcPr>
          <w:p w14:paraId="4583FC6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0.6</w:t>
            </w:r>
          </w:p>
        </w:tc>
        <w:tc>
          <w:tcPr>
            <w:tcW w:w="609" w:type="dxa"/>
            <w:tcBorders>
              <w:left w:val="none" w:sz="0" w:space="0" w:color="auto"/>
              <w:right w:val="none" w:sz="0" w:space="0" w:color="auto"/>
            </w:tcBorders>
            <w:shd w:val="clear" w:color="auto" w:fill="auto"/>
            <w:vAlign w:val="center"/>
            <w:hideMark/>
          </w:tcPr>
          <w:p w14:paraId="737810B4" w14:textId="77777777" w:rsidR="006B2784" w:rsidRPr="00C414F3"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1.2</w:t>
            </w:r>
          </w:p>
        </w:tc>
        <w:tc>
          <w:tcPr>
            <w:tcW w:w="609" w:type="dxa"/>
            <w:tcBorders>
              <w:left w:val="none" w:sz="0" w:space="0" w:color="auto"/>
              <w:right w:val="none" w:sz="0" w:space="0" w:color="auto"/>
            </w:tcBorders>
            <w:shd w:val="clear" w:color="auto" w:fill="auto"/>
            <w:vAlign w:val="center"/>
            <w:hideMark/>
          </w:tcPr>
          <w:p w14:paraId="6025B62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1.1</w:t>
            </w:r>
          </w:p>
        </w:tc>
        <w:tc>
          <w:tcPr>
            <w:tcW w:w="609" w:type="dxa"/>
            <w:tcBorders>
              <w:left w:val="none" w:sz="0" w:space="0" w:color="auto"/>
              <w:right w:val="none" w:sz="0" w:space="0" w:color="auto"/>
            </w:tcBorders>
            <w:shd w:val="clear" w:color="auto" w:fill="auto"/>
            <w:vAlign w:val="center"/>
            <w:hideMark/>
          </w:tcPr>
          <w:p w14:paraId="21CB1F6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tcBorders>
              <w:left w:val="none" w:sz="0" w:space="0" w:color="auto"/>
              <w:right w:val="none" w:sz="0" w:space="0" w:color="auto"/>
            </w:tcBorders>
            <w:shd w:val="clear" w:color="auto" w:fill="auto"/>
            <w:vAlign w:val="center"/>
            <w:hideMark/>
          </w:tcPr>
          <w:p w14:paraId="087FEB8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722" w:type="dxa"/>
            <w:tcBorders>
              <w:left w:val="none" w:sz="0" w:space="0" w:color="auto"/>
              <w:right w:val="none" w:sz="0" w:space="0" w:color="auto"/>
            </w:tcBorders>
            <w:shd w:val="clear" w:color="auto" w:fill="auto"/>
            <w:vAlign w:val="center"/>
            <w:hideMark/>
          </w:tcPr>
          <w:p w14:paraId="2E7BC70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w:t>
            </w:r>
          </w:p>
        </w:tc>
        <w:tc>
          <w:tcPr>
            <w:tcW w:w="609" w:type="dxa"/>
            <w:tcBorders>
              <w:left w:val="none" w:sz="0" w:space="0" w:color="auto"/>
              <w:right w:val="none" w:sz="0" w:space="0" w:color="auto"/>
            </w:tcBorders>
            <w:shd w:val="clear" w:color="auto" w:fill="auto"/>
            <w:vAlign w:val="center"/>
            <w:hideMark/>
          </w:tcPr>
          <w:p w14:paraId="5D902738"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w:t>
            </w:r>
          </w:p>
        </w:tc>
        <w:tc>
          <w:tcPr>
            <w:tcW w:w="609" w:type="dxa"/>
            <w:tcBorders>
              <w:left w:val="none" w:sz="0" w:space="0" w:color="auto"/>
              <w:right w:val="none" w:sz="0" w:space="0" w:color="auto"/>
            </w:tcBorders>
            <w:shd w:val="clear" w:color="auto" w:fill="auto"/>
            <w:vAlign w:val="center"/>
            <w:hideMark/>
          </w:tcPr>
          <w:p w14:paraId="7E3D85F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w:t>
            </w:r>
          </w:p>
        </w:tc>
        <w:tc>
          <w:tcPr>
            <w:tcW w:w="609" w:type="dxa"/>
            <w:tcBorders>
              <w:left w:val="none" w:sz="0" w:space="0" w:color="auto"/>
              <w:right w:val="none" w:sz="0" w:space="0" w:color="auto"/>
            </w:tcBorders>
            <w:shd w:val="clear" w:color="auto" w:fill="auto"/>
            <w:vAlign w:val="center"/>
            <w:hideMark/>
          </w:tcPr>
          <w:p w14:paraId="1948D01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w:t>
            </w:r>
          </w:p>
        </w:tc>
        <w:tc>
          <w:tcPr>
            <w:tcW w:w="609" w:type="dxa"/>
            <w:tcBorders>
              <w:left w:val="none" w:sz="0" w:space="0" w:color="auto"/>
              <w:right w:val="none" w:sz="0" w:space="0" w:color="auto"/>
            </w:tcBorders>
            <w:shd w:val="clear" w:color="auto" w:fill="auto"/>
            <w:vAlign w:val="center"/>
            <w:hideMark/>
          </w:tcPr>
          <w:p w14:paraId="1963ABCB"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0.2</w:t>
            </w:r>
          </w:p>
        </w:tc>
        <w:tc>
          <w:tcPr>
            <w:tcW w:w="609" w:type="dxa"/>
            <w:tcBorders>
              <w:left w:val="none" w:sz="0" w:space="0" w:color="auto"/>
              <w:right w:val="none" w:sz="0" w:space="0" w:color="auto"/>
            </w:tcBorders>
            <w:shd w:val="clear" w:color="auto" w:fill="auto"/>
            <w:vAlign w:val="center"/>
            <w:hideMark/>
          </w:tcPr>
          <w:p w14:paraId="1FC24F62"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w:t>
            </w:r>
          </w:p>
        </w:tc>
        <w:tc>
          <w:tcPr>
            <w:tcW w:w="609" w:type="dxa"/>
            <w:tcBorders>
              <w:left w:val="none" w:sz="0" w:space="0" w:color="auto"/>
              <w:right w:val="none" w:sz="0" w:space="0" w:color="auto"/>
            </w:tcBorders>
            <w:shd w:val="clear" w:color="auto" w:fill="auto"/>
            <w:vAlign w:val="center"/>
            <w:hideMark/>
          </w:tcPr>
          <w:p w14:paraId="7C6C24C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w:t>
            </w:r>
          </w:p>
        </w:tc>
        <w:tc>
          <w:tcPr>
            <w:tcW w:w="609" w:type="dxa"/>
            <w:tcBorders>
              <w:left w:val="none" w:sz="0" w:space="0" w:color="auto"/>
              <w:right w:val="none" w:sz="0" w:space="0" w:color="auto"/>
            </w:tcBorders>
            <w:shd w:val="clear" w:color="auto" w:fill="auto"/>
            <w:vAlign w:val="center"/>
            <w:hideMark/>
          </w:tcPr>
          <w:p w14:paraId="5BCB3597"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1DD3B92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5E72B1BB"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0.6</w:t>
            </w:r>
          </w:p>
        </w:tc>
        <w:tc>
          <w:tcPr>
            <w:tcW w:w="609" w:type="dxa"/>
            <w:tcBorders>
              <w:left w:val="none" w:sz="0" w:space="0" w:color="auto"/>
              <w:right w:val="none" w:sz="0" w:space="0" w:color="auto"/>
            </w:tcBorders>
            <w:shd w:val="clear" w:color="auto" w:fill="auto"/>
            <w:vAlign w:val="center"/>
            <w:hideMark/>
          </w:tcPr>
          <w:p w14:paraId="7119455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71864F2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r w:rsidR="006B2784" w:rsidRPr="0047393D" w14:paraId="3152A15B" w14:textId="77777777" w:rsidTr="0026334B">
        <w:trPr>
          <w:trHeight w:val="300"/>
        </w:trPr>
        <w:tc>
          <w:tcPr>
            <w:cnfStyle w:val="001000000000" w:firstRow="0" w:lastRow="0" w:firstColumn="1" w:lastColumn="0" w:oddVBand="0" w:evenVBand="0" w:oddHBand="0" w:evenHBand="0" w:firstRowFirstColumn="0" w:firstRowLastColumn="0" w:lastRowFirstColumn="0" w:lastRowLastColumn="0"/>
            <w:tcW w:w="1747" w:type="dxa"/>
            <w:shd w:val="clear" w:color="auto" w:fill="auto"/>
            <w:vAlign w:val="center"/>
            <w:hideMark/>
          </w:tcPr>
          <w:p w14:paraId="1F9E8E0D"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Calcium (Ca) (mg)</w:t>
            </w:r>
          </w:p>
        </w:tc>
        <w:tc>
          <w:tcPr>
            <w:tcW w:w="763" w:type="dxa"/>
            <w:shd w:val="clear" w:color="auto" w:fill="auto"/>
            <w:vAlign w:val="center"/>
            <w:hideMark/>
          </w:tcPr>
          <w:p w14:paraId="20BC574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104</w:t>
            </w:r>
          </w:p>
        </w:tc>
        <w:tc>
          <w:tcPr>
            <w:tcW w:w="780" w:type="dxa"/>
            <w:shd w:val="clear" w:color="auto" w:fill="auto"/>
            <w:vAlign w:val="center"/>
            <w:hideMark/>
          </w:tcPr>
          <w:p w14:paraId="746BF38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13</w:t>
            </w:r>
          </w:p>
        </w:tc>
        <w:tc>
          <w:tcPr>
            <w:tcW w:w="609" w:type="dxa"/>
            <w:shd w:val="clear" w:color="auto" w:fill="auto"/>
            <w:vAlign w:val="center"/>
            <w:hideMark/>
          </w:tcPr>
          <w:p w14:paraId="6C69CA7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115*</w:t>
            </w:r>
          </w:p>
        </w:tc>
        <w:tc>
          <w:tcPr>
            <w:tcW w:w="609" w:type="dxa"/>
            <w:shd w:val="clear" w:color="auto" w:fill="auto"/>
            <w:vAlign w:val="center"/>
            <w:hideMark/>
          </w:tcPr>
          <w:p w14:paraId="318859CC" w14:textId="77777777" w:rsidR="006B2784" w:rsidRPr="00C414F3"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5</w:t>
            </w:r>
          </w:p>
        </w:tc>
        <w:tc>
          <w:tcPr>
            <w:tcW w:w="609" w:type="dxa"/>
            <w:shd w:val="clear" w:color="auto" w:fill="auto"/>
            <w:vAlign w:val="center"/>
            <w:hideMark/>
          </w:tcPr>
          <w:p w14:paraId="56E9AD9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124*</w:t>
            </w:r>
          </w:p>
        </w:tc>
        <w:tc>
          <w:tcPr>
            <w:tcW w:w="609" w:type="dxa"/>
            <w:shd w:val="clear" w:color="auto" w:fill="auto"/>
            <w:vAlign w:val="center"/>
            <w:hideMark/>
          </w:tcPr>
          <w:p w14:paraId="5DB65D5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70*</w:t>
            </w:r>
          </w:p>
        </w:tc>
        <w:tc>
          <w:tcPr>
            <w:tcW w:w="609" w:type="dxa"/>
            <w:shd w:val="clear" w:color="auto" w:fill="auto"/>
            <w:vAlign w:val="center"/>
            <w:hideMark/>
          </w:tcPr>
          <w:p w14:paraId="3826BAE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120*</w:t>
            </w:r>
          </w:p>
        </w:tc>
        <w:tc>
          <w:tcPr>
            <w:tcW w:w="722" w:type="dxa"/>
            <w:shd w:val="clear" w:color="auto" w:fill="auto"/>
            <w:vAlign w:val="center"/>
            <w:hideMark/>
          </w:tcPr>
          <w:p w14:paraId="40DC040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67</w:t>
            </w:r>
          </w:p>
        </w:tc>
        <w:tc>
          <w:tcPr>
            <w:tcW w:w="609" w:type="dxa"/>
            <w:shd w:val="clear" w:color="auto" w:fill="auto"/>
            <w:vAlign w:val="center"/>
            <w:hideMark/>
          </w:tcPr>
          <w:p w14:paraId="53938CE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75</w:t>
            </w:r>
          </w:p>
        </w:tc>
        <w:tc>
          <w:tcPr>
            <w:tcW w:w="609" w:type="dxa"/>
            <w:shd w:val="clear" w:color="auto" w:fill="auto"/>
            <w:vAlign w:val="center"/>
            <w:hideMark/>
          </w:tcPr>
          <w:p w14:paraId="5E909C1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75</w:t>
            </w:r>
          </w:p>
        </w:tc>
        <w:tc>
          <w:tcPr>
            <w:tcW w:w="609" w:type="dxa"/>
            <w:shd w:val="clear" w:color="auto" w:fill="auto"/>
            <w:vAlign w:val="center"/>
            <w:hideMark/>
          </w:tcPr>
          <w:p w14:paraId="6CC1A82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75</w:t>
            </w:r>
          </w:p>
        </w:tc>
        <w:tc>
          <w:tcPr>
            <w:tcW w:w="609" w:type="dxa"/>
            <w:shd w:val="clear" w:color="auto" w:fill="auto"/>
            <w:vAlign w:val="center"/>
            <w:hideMark/>
          </w:tcPr>
          <w:p w14:paraId="5C5BB82D" w14:textId="32799B47" w:rsidR="006B2784" w:rsidRPr="0047393D" w:rsidRDefault="00916F87"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Pr>
                <w:rFonts w:cs="Arial"/>
                <w:color w:val="000000"/>
                <w:sz w:val="18"/>
                <w:szCs w:val="18"/>
                <w:lang w:eastAsia="en-GB" w:bidi="ar-SA"/>
              </w:rPr>
              <w:t>75</w:t>
            </w:r>
          </w:p>
        </w:tc>
        <w:tc>
          <w:tcPr>
            <w:tcW w:w="609" w:type="dxa"/>
            <w:shd w:val="clear" w:color="auto" w:fill="auto"/>
            <w:vAlign w:val="center"/>
            <w:hideMark/>
          </w:tcPr>
          <w:p w14:paraId="45B58D6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75</w:t>
            </w:r>
          </w:p>
        </w:tc>
        <w:tc>
          <w:tcPr>
            <w:tcW w:w="609" w:type="dxa"/>
            <w:shd w:val="clear" w:color="auto" w:fill="auto"/>
            <w:vAlign w:val="center"/>
            <w:hideMark/>
          </w:tcPr>
          <w:p w14:paraId="60FEC0AC"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76</w:t>
            </w:r>
          </w:p>
        </w:tc>
        <w:tc>
          <w:tcPr>
            <w:tcW w:w="609" w:type="dxa"/>
            <w:shd w:val="clear" w:color="auto" w:fill="auto"/>
            <w:vAlign w:val="center"/>
            <w:hideMark/>
          </w:tcPr>
          <w:p w14:paraId="283263EC"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30301B9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40A04FC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70</w:t>
            </w:r>
          </w:p>
        </w:tc>
        <w:tc>
          <w:tcPr>
            <w:tcW w:w="609" w:type="dxa"/>
            <w:shd w:val="clear" w:color="auto" w:fill="auto"/>
            <w:vAlign w:val="center"/>
            <w:hideMark/>
          </w:tcPr>
          <w:p w14:paraId="6121FEF4"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43</w:t>
            </w:r>
          </w:p>
        </w:tc>
        <w:tc>
          <w:tcPr>
            <w:tcW w:w="609" w:type="dxa"/>
            <w:shd w:val="clear" w:color="auto" w:fill="auto"/>
            <w:vAlign w:val="center"/>
            <w:hideMark/>
          </w:tcPr>
          <w:p w14:paraId="703EB92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48</w:t>
            </w:r>
          </w:p>
        </w:tc>
      </w:tr>
      <w:tr w:rsidR="006B2784" w:rsidRPr="0047393D" w14:paraId="56CD3C99" w14:textId="77777777" w:rsidTr="0026334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747" w:type="dxa"/>
            <w:tcBorders>
              <w:left w:val="none" w:sz="0" w:space="0" w:color="auto"/>
              <w:right w:val="none" w:sz="0" w:space="0" w:color="auto"/>
            </w:tcBorders>
            <w:shd w:val="clear" w:color="auto" w:fill="auto"/>
            <w:vAlign w:val="center"/>
            <w:hideMark/>
          </w:tcPr>
          <w:p w14:paraId="4A04E7C4"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Sodium (Na) (mg)</w:t>
            </w:r>
          </w:p>
        </w:tc>
        <w:tc>
          <w:tcPr>
            <w:tcW w:w="763" w:type="dxa"/>
            <w:tcBorders>
              <w:left w:val="none" w:sz="0" w:space="0" w:color="auto"/>
              <w:right w:val="none" w:sz="0" w:space="0" w:color="auto"/>
            </w:tcBorders>
            <w:shd w:val="clear" w:color="auto" w:fill="auto"/>
            <w:vAlign w:val="center"/>
            <w:hideMark/>
          </w:tcPr>
          <w:p w14:paraId="393C1D8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35</w:t>
            </w:r>
          </w:p>
        </w:tc>
        <w:tc>
          <w:tcPr>
            <w:tcW w:w="780" w:type="dxa"/>
            <w:tcBorders>
              <w:left w:val="none" w:sz="0" w:space="0" w:color="auto"/>
              <w:right w:val="none" w:sz="0" w:space="0" w:color="auto"/>
            </w:tcBorders>
            <w:shd w:val="clear" w:color="auto" w:fill="auto"/>
            <w:vAlign w:val="center"/>
            <w:hideMark/>
          </w:tcPr>
          <w:p w14:paraId="524576EB"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44</w:t>
            </w:r>
          </w:p>
        </w:tc>
        <w:tc>
          <w:tcPr>
            <w:tcW w:w="609" w:type="dxa"/>
            <w:tcBorders>
              <w:left w:val="none" w:sz="0" w:space="0" w:color="auto"/>
              <w:right w:val="none" w:sz="0" w:space="0" w:color="auto"/>
            </w:tcBorders>
            <w:shd w:val="clear" w:color="auto" w:fill="auto"/>
            <w:vAlign w:val="center"/>
            <w:hideMark/>
          </w:tcPr>
          <w:p w14:paraId="4DEFFC0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44</w:t>
            </w:r>
          </w:p>
        </w:tc>
        <w:tc>
          <w:tcPr>
            <w:tcW w:w="609" w:type="dxa"/>
            <w:tcBorders>
              <w:left w:val="none" w:sz="0" w:space="0" w:color="auto"/>
              <w:right w:val="none" w:sz="0" w:space="0" w:color="auto"/>
            </w:tcBorders>
            <w:shd w:val="clear" w:color="auto" w:fill="auto"/>
            <w:vAlign w:val="center"/>
            <w:hideMark/>
          </w:tcPr>
          <w:p w14:paraId="0AA4462E" w14:textId="77777777" w:rsidR="006B2784" w:rsidRPr="00C414F3"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59</w:t>
            </w:r>
          </w:p>
        </w:tc>
        <w:tc>
          <w:tcPr>
            <w:tcW w:w="609" w:type="dxa"/>
            <w:tcBorders>
              <w:left w:val="none" w:sz="0" w:space="0" w:color="auto"/>
              <w:right w:val="none" w:sz="0" w:space="0" w:color="auto"/>
            </w:tcBorders>
            <w:shd w:val="clear" w:color="auto" w:fill="auto"/>
            <w:vAlign w:val="center"/>
            <w:hideMark/>
          </w:tcPr>
          <w:p w14:paraId="5B24F79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58</w:t>
            </w:r>
          </w:p>
        </w:tc>
        <w:tc>
          <w:tcPr>
            <w:tcW w:w="609" w:type="dxa"/>
            <w:tcBorders>
              <w:left w:val="none" w:sz="0" w:space="0" w:color="auto"/>
              <w:right w:val="none" w:sz="0" w:space="0" w:color="auto"/>
            </w:tcBorders>
            <w:shd w:val="clear" w:color="auto" w:fill="auto"/>
            <w:vAlign w:val="center"/>
            <w:hideMark/>
          </w:tcPr>
          <w:p w14:paraId="343AAA5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62</w:t>
            </w:r>
          </w:p>
        </w:tc>
        <w:tc>
          <w:tcPr>
            <w:tcW w:w="609" w:type="dxa"/>
            <w:tcBorders>
              <w:left w:val="none" w:sz="0" w:space="0" w:color="auto"/>
              <w:right w:val="none" w:sz="0" w:space="0" w:color="auto"/>
            </w:tcBorders>
            <w:shd w:val="clear" w:color="auto" w:fill="auto"/>
            <w:vAlign w:val="center"/>
            <w:hideMark/>
          </w:tcPr>
          <w:p w14:paraId="49A52FE2"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55</w:t>
            </w:r>
          </w:p>
        </w:tc>
        <w:tc>
          <w:tcPr>
            <w:tcW w:w="722" w:type="dxa"/>
            <w:tcBorders>
              <w:left w:val="none" w:sz="0" w:space="0" w:color="auto"/>
              <w:right w:val="none" w:sz="0" w:space="0" w:color="auto"/>
            </w:tcBorders>
            <w:shd w:val="clear" w:color="auto" w:fill="auto"/>
            <w:vAlign w:val="center"/>
            <w:hideMark/>
          </w:tcPr>
          <w:p w14:paraId="612AC2F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59</w:t>
            </w:r>
          </w:p>
        </w:tc>
        <w:tc>
          <w:tcPr>
            <w:tcW w:w="609" w:type="dxa"/>
            <w:tcBorders>
              <w:left w:val="none" w:sz="0" w:space="0" w:color="auto"/>
              <w:right w:val="none" w:sz="0" w:space="0" w:color="auto"/>
            </w:tcBorders>
            <w:shd w:val="clear" w:color="auto" w:fill="auto"/>
            <w:vAlign w:val="center"/>
            <w:hideMark/>
          </w:tcPr>
          <w:p w14:paraId="40879EE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30</w:t>
            </w:r>
          </w:p>
        </w:tc>
        <w:tc>
          <w:tcPr>
            <w:tcW w:w="609" w:type="dxa"/>
            <w:tcBorders>
              <w:left w:val="none" w:sz="0" w:space="0" w:color="auto"/>
              <w:right w:val="none" w:sz="0" w:space="0" w:color="auto"/>
            </w:tcBorders>
            <w:shd w:val="clear" w:color="auto" w:fill="auto"/>
            <w:vAlign w:val="center"/>
            <w:hideMark/>
          </w:tcPr>
          <w:p w14:paraId="2DE8F8B0"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35</w:t>
            </w:r>
          </w:p>
        </w:tc>
        <w:tc>
          <w:tcPr>
            <w:tcW w:w="609" w:type="dxa"/>
            <w:tcBorders>
              <w:left w:val="none" w:sz="0" w:space="0" w:color="auto"/>
              <w:right w:val="none" w:sz="0" w:space="0" w:color="auto"/>
            </w:tcBorders>
            <w:shd w:val="clear" w:color="auto" w:fill="auto"/>
            <w:vAlign w:val="center"/>
            <w:hideMark/>
          </w:tcPr>
          <w:p w14:paraId="5D9944D0"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35</w:t>
            </w:r>
          </w:p>
        </w:tc>
        <w:tc>
          <w:tcPr>
            <w:tcW w:w="609" w:type="dxa"/>
            <w:tcBorders>
              <w:left w:val="none" w:sz="0" w:space="0" w:color="auto"/>
              <w:right w:val="none" w:sz="0" w:space="0" w:color="auto"/>
            </w:tcBorders>
            <w:shd w:val="clear" w:color="auto" w:fill="auto"/>
            <w:vAlign w:val="center"/>
            <w:hideMark/>
          </w:tcPr>
          <w:p w14:paraId="5BF1C75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52</w:t>
            </w:r>
          </w:p>
        </w:tc>
        <w:tc>
          <w:tcPr>
            <w:tcW w:w="609" w:type="dxa"/>
            <w:tcBorders>
              <w:left w:val="none" w:sz="0" w:space="0" w:color="auto"/>
              <w:right w:val="none" w:sz="0" w:space="0" w:color="auto"/>
            </w:tcBorders>
            <w:shd w:val="clear" w:color="auto" w:fill="auto"/>
            <w:vAlign w:val="center"/>
            <w:hideMark/>
          </w:tcPr>
          <w:p w14:paraId="65791E0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51.6</w:t>
            </w:r>
          </w:p>
        </w:tc>
        <w:tc>
          <w:tcPr>
            <w:tcW w:w="609" w:type="dxa"/>
            <w:tcBorders>
              <w:left w:val="none" w:sz="0" w:space="0" w:color="auto"/>
              <w:right w:val="none" w:sz="0" w:space="0" w:color="auto"/>
            </w:tcBorders>
            <w:shd w:val="clear" w:color="auto" w:fill="auto"/>
            <w:vAlign w:val="center"/>
            <w:hideMark/>
          </w:tcPr>
          <w:p w14:paraId="72821968"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50</w:t>
            </w:r>
          </w:p>
        </w:tc>
        <w:tc>
          <w:tcPr>
            <w:tcW w:w="609" w:type="dxa"/>
            <w:tcBorders>
              <w:left w:val="none" w:sz="0" w:space="0" w:color="auto"/>
              <w:right w:val="none" w:sz="0" w:space="0" w:color="auto"/>
            </w:tcBorders>
            <w:shd w:val="clear" w:color="auto" w:fill="auto"/>
            <w:vAlign w:val="center"/>
            <w:hideMark/>
          </w:tcPr>
          <w:p w14:paraId="0415985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60</w:t>
            </w:r>
          </w:p>
        </w:tc>
        <w:tc>
          <w:tcPr>
            <w:tcW w:w="609" w:type="dxa"/>
            <w:tcBorders>
              <w:left w:val="none" w:sz="0" w:space="0" w:color="auto"/>
              <w:right w:val="none" w:sz="0" w:space="0" w:color="auto"/>
            </w:tcBorders>
            <w:shd w:val="clear" w:color="auto" w:fill="auto"/>
            <w:vAlign w:val="center"/>
            <w:hideMark/>
          </w:tcPr>
          <w:p w14:paraId="4B81976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56</w:t>
            </w:r>
          </w:p>
        </w:tc>
        <w:tc>
          <w:tcPr>
            <w:tcW w:w="609" w:type="dxa"/>
            <w:tcBorders>
              <w:left w:val="none" w:sz="0" w:space="0" w:color="auto"/>
              <w:right w:val="none" w:sz="0" w:space="0" w:color="auto"/>
            </w:tcBorders>
            <w:shd w:val="clear" w:color="auto" w:fill="auto"/>
            <w:vAlign w:val="center"/>
            <w:hideMark/>
          </w:tcPr>
          <w:p w14:paraId="459AD9F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45</w:t>
            </w:r>
          </w:p>
        </w:tc>
        <w:tc>
          <w:tcPr>
            <w:tcW w:w="609" w:type="dxa"/>
            <w:tcBorders>
              <w:left w:val="none" w:sz="0" w:space="0" w:color="auto"/>
              <w:right w:val="none" w:sz="0" w:space="0" w:color="auto"/>
            </w:tcBorders>
            <w:shd w:val="clear" w:color="auto" w:fill="auto"/>
            <w:vAlign w:val="center"/>
            <w:hideMark/>
          </w:tcPr>
          <w:p w14:paraId="60A87008"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56</w:t>
            </w:r>
          </w:p>
        </w:tc>
        <w:tc>
          <w:tcPr>
            <w:tcW w:w="609" w:type="dxa"/>
            <w:tcBorders>
              <w:left w:val="none" w:sz="0" w:space="0" w:color="auto"/>
              <w:right w:val="none" w:sz="0" w:space="0" w:color="auto"/>
            </w:tcBorders>
            <w:shd w:val="clear" w:color="auto" w:fill="auto"/>
            <w:vAlign w:val="center"/>
            <w:hideMark/>
          </w:tcPr>
          <w:p w14:paraId="38DECF8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59</w:t>
            </w:r>
          </w:p>
        </w:tc>
      </w:tr>
      <w:tr w:rsidR="006B2784" w:rsidRPr="0047393D" w14:paraId="78A02D73" w14:textId="77777777" w:rsidTr="0026334B">
        <w:trPr>
          <w:trHeight w:val="300"/>
        </w:trPr>
        <w:tc>
          <w:tcPr>
            <w:cnfStyle w:val="001000000000" w:firstRow="0" w:lastRow="0" w:firstColumn="1" w:lastColumn="0" w:oddVBand="0" w:evenVBand="0" w:oddHBand="0" w:evenHBand="0" w:firstRowFirstColumn="0" w:firstRowLastColumn="0" w:lastRowFirstColumn="0" w:lastRowLastColumn="0"/>
            <w:tcW w:w="1747" w:type="dxa"/>
            <w:shd w:val="clear" w:color="auto" w:fill="auto"/>
            <w:vAlign w:val="center"/>
            <w:hideMark/>
          </w:tcPr>
          <w:p w14:paraId="1A9A9466"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lastRenderedPageBreak/>
              <w:t>Phosphorus (P) (mg)</w:t>
            </w:r>
          </w:p>
        </w:tc>
        <w:tc>
          <w:tcPr>
            <w:tcW w:w="763" w:type="dxa"/>
            <w:shd w:val="clear" w:color="auto" w:fill="auto"/>
            <w:vAlign w:val="center"/>
            <w:hideMark/>
          </w:tcPr>
          <w:p w14:paraId="373BC63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88</w:t>
            </w:r>
          </w:p>
        </w:tc>
        <w:tc>
          <w:tcPr>
            <w:tcW w:w="780" w:type="dxa"/>
            <w:shd w:val="clear" w:color="auto" w:fill="auto"/>
            <w:vAlign w:val="center"/>
            <w:hideMark/>
          </w:tcPr>
          <w:p w14:paraId="0B306941"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69</w:t>
            </w:r>
          </w:p>
        </w:tc>
        <w:tc>
          <w:tcPr>
            <w:tcW w:w="609" w:type="dxa"/>
            <w:shd w:val="clear" w:color="auto" w:fill="auto"/>
            <w:vAlign w:val="center"/>
            <w:hideMark/>
          </w:tcPr>
          <w:p w14:paraId="5B428F5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69</w:t>
            </w:r>
          </w:p>
        </w:tc>
        <w:tc>
          <w:tcPr>
            <w:tcW w:w="609" w:type="dxa"/>
            <w:shd w:val="clear" w:color="auto" w:fill="auto"/>
            <w:vAlign w:val="center"/>
            <w:hideMark/>
          </w:tcPr>
          <w:p w14:paraId="23820DAB" w14:textId="77777777" w:rsidR="006B2784" w:rsidRPr="00C414F3"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39</w:t>
            </w:r>
          </w:p>
        </w:tc>
        <w:tc>
          <w:tcPr>
            <w:tcW w:w="609" w:type="dxa"/>
            <w:shd w:val="clear" w:color="auto" w:fill="auto"/>
            <w:vAlign w:val="center"/>
            <w:hideMark/>
          </w:tcPr>
          <w:p w14:paraId="4F5325C6"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38</w:t>
            </w:r>
          </w:p>
        </w:tc>
        <w:tc>
          <w:tcPr>
            <w:tcW w:w="609" w:type="dxa"/>
            <w:shd w:val="clear" w:color="auto" w:fill="auto"/>
            <w:vAlign w:val="center"/>
            <w:hideMark/>
          </w:tcPr>
          <w:p w14:paraId="43DCEFC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18</w:t>
            </w:r>
          </w:p>
        </w:tc>
        <w:tc>
          <w:tcPr>
            <w:tcW w:w="609" w:type="dxa"/>
            <w:shd w:val="clear" w:color="auto" w:fill="auto"/>
            <w:vAlign w:val="center"/>
            <w:hideMark/>
          </w:tcPr>
          <w:p w14:paraId="0DE8614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18</w:t>
            </w:r>
          </w:p>
        </w:tc>
        <w:tc>
          <w:tcPr>
            <w:tcW w:w="722" w:type="dxa"/>
            <w:shd w:val="clear" w:color="auto" w:fill="auto"/>
            <w:vAlign w:val="center"/>
            <w:hideMark/>
          </w:tcPr>
          <w:p w14:paraId="26E846B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14</w:t>
            </w:r>
          </w:p>
        </w:tc>
        <w:tc>
          <w:tcPr>
            <w:tcW w:w="609" w:type="dxa"/>
            <w:shd w:val="clear" w:color="auto" w:fill="auto"/>
            <w:vAlign w:val="center"/>
            <w:hideMark/>
          </w:tcPr>
          <w:p w14:paraId="37EDD29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56</w:t>
            </w:r>
          </w:p>
        </w:tc>
        <w:tc>
          <w:tcPr>
            <w:tcW w:w="609" w:type="dxa"/>
            <w:shd w:val="clear" w:color="auto" w:fill="auto"/>
            <w:vAlign w:val="center"/>
            <w:hideMark/>
          </w:tcPr>
          <w:p w14:paraId="39B4CB3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58</w:t>
            </w:r>
          </w:p>
        </w:tc>
        <w:tc>
          <w:tcPr>
            <w:tcW w:w="609" w:type="dxa"/>
            <w:shd w:val="clear" w:color="auto" w:fill="auto"/>
            <w:vAlign w:val="center"/>
            <w:hideMark/>
          </w:tcPr>
          <w:p w14:paraId="67E4C71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61</w:t>
            </w:r>
          </w:p>
        </w:tc>
        <w:tc>
          <w:tcPr>
            <w:tcW w:w="609" w:type="dxa"/>
            <w:shd w:val="clear" w:color="auto" w:fill="auto"/>
            <w:vAlign w:val="center"/>
            <w:hideMark/>
          </w:tcPr>
          <w:p w14:paraId="4EB6631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460564B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57F5B31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07E582A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0AD22B1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3BCB0251"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7624C0C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7B048CF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r w:rsidR="006B2784" w:rsidRPr="0047393D" w14:paraId="2C229DD8" w14:textId="77777777" w:rsidTr="002633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7" w:type="dxa"/>
            <w:tcBorders>
              <w:left w:val="none" w:sz="0" w:space="0" w:color="auto"/>
              <w:right w:val="none" w:sz="0" w:space="0" w:color="auto"/>
            </w:tcBorders>
            <w:shd w:val="clear" w:color="auto" w:fill="auto"/>
            <w:vAlign w:val="center"/>
            <w:hideMark/>
          </w:tcPr>
          <w:p w14:paraId="33FC99A0"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Vitamin A (µg)</w:t>
            </w:r>
          </w:p>
        </w:tc>
        <w:tc>
          <w:tcPr>
            <w:tcW w:w="763" w:type="dxa"/>
            <w:tcBorders>
              <w:left w:val="none" w:sz="0" w:space="0" w:color="auto"/>
              <w:right w:val="none" w:sz="0" w:space="0" w:color="auto"/>
            </w:tcBorders>
            <w:shd w:val="clear" w:color="auto" w:fill="auto"/>
            <w:vAlign w:val="center"/>
            <w:hideMark/>
          </w:tcPr>
          <w:p w14:paraId="7C9E6AE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51</w:t>
            </w:r>
          </w:p>
        </w:tc>
        <w:tc>
          <w:tcPr>
            <w:tcW w:w="780" w:type="dxa"/>
            <w:tcBorders>
              <w:left w:val="none" w:sz="0" w:space="0" w:color="auto"/>
              <w:right w:val="none" w:sz="0" w:space="0" w:color="auto"/>
            </w:tcBorders>
            <w:shd w:val="clear" w:color="auto" w:fill="auto"/>
            <w:vAlign w:val="center"/>
            <w:hideMark/>
          </w:tcPr>
          <w:p w14:paraId="64785A0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7</w:t>
            </w:r>
          </w:p>
        </w:tc>
        <w:tc>
          <w:tcPr>
            <w:tcW w:w="609" w:type="dxa"/>
            <w:tcBorders>
              <w:left w:val="none" w:sz="0" w:space="0" w:color="auto"/>
              <w:right w:val="none" w:sz="0" w:space="0" w:color="auto"/>
            </w:tcBorders>
            <w:shd w:val="clear" w:color="auto" w:fill="auto"/>
            <w:vAlign w:val="center"/>
            <w:hideMark/>
          </w:tcPr>
          <w:p w14:paraId="782312F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80*</w:t>
            </w:r>
          </w:p>
        </w:tc>
        <w:tc>
          <w:tcPr>
            <w:tcW w:w="609" w:type="dxa"/>
            <w:tcBorders>
              <w:left w:val="none" w:sz="0" w:space="0" w:color="auto"/>
              <w:right w:val="none" w:sz="0" w:space="0" w:color="auto"/>
            </w:tcBorders>
            <w:shd w:val="clear" w:color="auto" w:fill="auto"/>
            <w:vAlign w:val="center"/>
            <w:hideMark/>
          </w:tcPr>
          <w:p w14:paraId="749B65B2" w14:textId="77777777" w:rsidR="006B2784" w:rsidRPr="00C414F3"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0</w:t>
            </w:r>
          </w:p>
        </w:tc>
        <w:tc>
          <w:tcPr>
            <w:tcW w:w="609" w:type="dxa"/>
            <w:tcBorders>
              <w:left w:val="none" w:sz="0" w:space="0" w:color="auto"/>
              <w:right w:val="none" w:sz="0" w:space="0" w:color="auto"/>
            </w:tcBorders>
            <w:shd w:val="clear" w:color="auto" w:fill="auto"/>
            <w:vAlign w:val="center"/>
            <w:hideMark/>
          </w:tcPr>
          <w:p w14:paraId="089940F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tcBorders>
              <w:left w:val="none" w:sz="0" w:space="0" w:color="auto"/>
              <w:right w:val="none" w:sz="0" w:space="0" w:color="auto"/>
            </w:tcBorders>
            <w:shd w:val="clear" w:color="auto" w:fill="auto"/>
            <w:vAlign w:val="center"/>
            <w:hideMark/>
          </w:tcPr>
          <w:p w14:paraId="7A5D5150"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tcBorders>
              <w:left w:val="none" w:sz="0" w:space="0" w:color="auto"/>
              <w:right w:val="none" w:sz="0" w:space="0" w:color="auto"/>
            </w:tcBorders>
            <w:shd w:val="clear" w:color="auto" w:fill="auto"/>
            <w:vAlign w:val="center"/>
            <w:hideMark/>
          </w:tcPr>
          <w:p w14:paraId="69055C40"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722" w:type="dxa"/>
            <w:tcBorders>
              <w:left w:val="none" w:sz="0" w:space="0" w:color="auto"/>
              <w:right w:val="none" w:sz="0" w:space="0" w:color="auto"/>
            </w:tcBorders>
            <w:shd w:val="clear" w:color="auto" w:fill="auto"/>
            <w:vAlign w:val="center"/>
            <w:hideMark/>
          </w:tcPr>
          <w:p w14:paraId="0DB0FC90"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tcBorders>
              <w:left w:val="none" w:sz="0" w:space="0" w:color="auto"/>
              <w:right w:val="none" w:sz="0" w:space="0" w:color="auto"/>
            </w:tcBorders>
            <w:shd w:val="clear" w:color="auto" w:fill="auto"/>
            <w:vAlign w:val="center"/>
            <w:hideMark/>
          </w:tcPr>
          <w:p w14:paraId="59D5D6B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7B9AD902"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7E841A3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2CEE667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50DD4C1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54BC703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5C2A86E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66858B2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2C393FF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2B5717C2"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4737361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r w:rsidR="006B2784" w:rsidRPr="0047393D" w14:paraId="4F1C2938" w14:textId="77777777" w:rsidTr="0026334B">
        <w:trPr>
          <w:trHeight w:val="300"/>
        </w:trPr>
        <w:tc>
          <w:tcPr>
            <w:cnfStyle w:val="001000000000" w:firstRow="0" w:lastRow="0" w:firstColumn="1" w:lastColumn="0" w:oddVBand="0" w:evenVBand="0" w:oddHBand="0" w:evenHBand="0" w:firstRowFirstColumn="0" w:firstRowLastColumn="0" w:lastRowFirstColumn="0" w:lastRowLastColumn="0"/>
            <w:tcW w:w="1747" w:type="dxa"/>
            <w:shd w:val="clear" w:color="auto" w:fill="auto"/>
            <w:vAlign w:val="center"/>
            <w:hideMark/>
          </w:tcPr>
          <w:p w14:paraId="470E359E"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Thiamin (B</w:t>
            </w:r>
            <w:r w:rsidRPr="00E11976">
              <w:rPr>
                <w:rFonts w:cs="Arial"/>
                <w:color w:val="000000"/>
                <w:sz w:val="18"/>
                <w:szCs w:val="18"/>
                <w:vertAlign w:val="subscript"/>
                <w:lang w:eastAsia="en-GB" w:bidi="ar-SA"/>
              </w:rPr>
              <w:t>1</w:t>
            </w:r>
            <w:r w:rsidRPr="0047393D">
              <w:rPr>
                <w:rFonts w:cs="Arial"/>
                <w:color w:val="000000"/>
                <w:sz w:val="18"/>
                <w:szCs w:val="18"/>
                <w:lang w:eastAsia="en-GB" w:bidi="ar-SA"/>
              </w:rPr>
              <w:t>) (mg)</w:t>
            </w:r>
          </w:p>
        </w:tc>
        <w:tc>
          <w:tcPr>
            <w:tcW w:w="763" w:type="dxa"/>
            <w:shd w:val="clear" w:color="auto" w:fill="auto"/>
            <w:vAlign w:val="center"/>
            <w:hideMark/>
          </w:tcPr>
          <w:p w14:paraId="072BD98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0.005</w:t>
            </w:r>
          </w:p>
        </w:tc>
        <w:tc>
          <w:tcPr>
            <w:tcW w:w="780" w:type="dxa"/>
            <w:shd w:val="clear" w:color="auto" w:fill="auto"/>
            <w:vAlign w:val="center"/>
            <w:hideMark/>
          </w:tcPr>
          <w:p w14:paraId="38459FF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0.02</w:t>
            </w:r>
          </w:p>
        </w:tc>
        <w:tc>
          <w:tcPr>
            <w:tcW w:w="609" w:type="dxa"/>
            <w:shd w:val="clear" w:color="auto" w:fill="auto"/>
            <w:vAlign w:val="center"/>
            <w:hideMark/>
          </w:tcPr>
          <w:p w14:paraId="62165A8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0.04*</w:t>
            </w:r>
          </w:p>
        </w:tc>
        <w:tc>
          <w:tcPr>
            <w:tcW w:w="609" w:type="dxa"/>
            <w:shd w:val="clear" w:color="auto" w:fill="auto"/>
            <w:vAlign w:val="center"/>
            <w:hideMark/>
          </w:tcPr>
          <w:p w14:paraId="0E9B2BA2" w14:textId="77777777" w:rsidR="006B2784" w:rsidRPr="00C414F3"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0.03</w:t>
            </w:r>
          </w:p>
        </w:tc>
        <w:tc>
          <w:tcPr>
            <w:tcW w:w="609" w:type="dxa"/>
            <w:shd w:val="clear" w:color="auto" w:fill="auto"/>
            <w:vAlign w:val="center"/>
            <w:hideMark/>
          </w:tcPr>
          <w:p w14:paraId="71E5A9BC"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0.029</w:t>
            </w:r>
          </w:p>
        </w:tc>
        <w:tc>
          <w:tcPr>
            <w:tcW w:w="609" w:type="dxa"/>
            <w:shd w:val="clear" w:color="auto" w:fill="auto"/>
            <w:vAlign w:val="center"/>
            <w:hideMark/>
          </w:tcPr>
          <w:p w14:paraId="12AD80D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0.02</w:t>
            </w:r>
          </w:p>
        </w:tc>
        <w:tc>
          <w:tcPr>
            <w:tcW w:w="609" w:type="dxa"/>
            <w:shd w:val="clear" w:color="auto" w:fill="auto"/>
            <w:vAlign w:val="center"/>
            <w:hideMark/>
          </w:tcPr>
          <w:p w14:paraId="253589F6"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0.02</w:t>
            </w:r>
          </w:p>
        </w:tc>
        <w:tc>
          <w:tcPr>
            <w:tcW w:w="722" w:type="dxa"/>
            <w:shd w:val="clear" w:color="auto" w:fill="auto"/>
            <w:vAlign w:val="center"/>
            <w:hideMark/>
          </w:tcPr>
          <w:p w14:paraId="11FA568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0.004</w:t>
            </w:r>
          </w:p>
        </w:tc>
        <w:tc>
          <w:tcPr>
            <w:tcW w:w="609" w:type="dxa"/>
            <w:shd w:val="clear" w:color="auto" w:fill="auto"/>
            <w:vAlign w:val="center"/>
            <w:hideMark/>
          </w:tcPr>
          <w:p w14:paraId="4BD5EFF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6964247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41D87AA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28E5DE5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1590682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5FF7ABB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3B83F46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5045157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0554AF6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1CDAA97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0BA4DF6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r w:rsidR="006B2784" w:rsidRPr="0047393D" w14:paraId="5789E0FE" w14:textId="77777777" w:rsidTr="002633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7" w:type="dxa"/>
            <w:tcBorders>
              <w:left w:val="none" w:sz="0" w:space="0" w:color="auto"/>
              <w:right w:val="none" w:sz="0" w:space="0" w:color="auto"/>
            </w:tcBorders>
            <w:shd w:val="clear" w:color="auto" w:fill="auto"/>
            <w:vAlign w:val="center"/>
            <w:hideMark/>
          </w:tcPr>
          <w:p w14:paraId="06663445"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Riboflavin (B</w:t>
            </w:r>
            <w:r w:rsidRPr="00E11976">
              <w:rPr>
                <w:rFonts w:cs="Arial"/>
                <w:color w:val="000000"/>
                <w:sz w:val="18"/>
                <w:szCs w:val="18"/>
                <w:vertAlign w:val="subscript"/>
                <w:lang w:eastAsia="en-GB" w:bidi="ar-SA"/>
              </w:rPr>
              <w:t>2</w:t>
            </w:r>
            <w:r w:rsidRPr="0047393D">
              <w:rPr>
                <w:rFonts w:cs="Arial"/>
                <w:color w:val="000000"/>
                <w:sz w:val="18"/>
                <w:szCs w:val="18"/>
                <w:lang w:eastAsia="en-GB" w:bidi="ar-SA"/>
              </w:rPr>
              <w:t>) (mg)</w:t>
            </w:r>
          </w:p>
        </w:tc>
        <w:tc>
          <w:tcPr>
            <w:tcW w:w="763" w:type="dxa"/>
            <w:tcBorders>
              <w:left w:val="none" w:sz="0" w:space="0" w:color="auto"/>
              <w:right w:val="none" w:sz="0" w:space="0" w:color="auto"/>
            </w:tcBorders>
            <w:shd w:val="clear" w:color="auto" w:fill="auto"/>
            <w:vAlign w:val="center"/>
            <w:hideMark/>
          </w:tcPr>
          <w:p w14:paraId="19EFF64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0.201</w:t>
            </w:r>
          </w:p>
        </w:tc>
        <w:tc>
          <w:tcPr>
            <w:tcW w:w="780" w:type="dxa"/>
            <w:tcBorders>
              <w:left w:val="none" w:sz="0" w:space="0" w:color="auto"/>
              <w:right w:val="none" w:sz="0" w:space="0" w:color="auto"/>
            </w:tcBorders>
            <w:shd w:val="clear" w:color="auto" w:fill="auto"/>
            <w:vAlign w:val="center"/>
            <w:hideMark/>
          </w:tcPr>
          <w:p w14:paraId="25C72ED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0.03</w:t>
            </w:r>
          </w:p>
        </w:tc>
        <w:tc>
          <w:tcPr>
            <w:tcW w:w="609" w:type="dxa"/>
            <w:tcBorders>
              <w:left w:val="none" w:sz="0" w:space="0" w:color="auto"/>
              <w:right w:val="none" w:sz="0" w:space="0" w:color="auto"/>
            </w:tcBorders>
            <w:shd w:val="clear" w:color="auto" w:fill="auto"/>
            <w:vAlign w:val="center"/>
            <w:hideMark/>
          </w:tcPr>
          <w:p w14:paraId="655D11B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0.41*</w:t>
            </w:r>
          </w:p>
        </w:tc>
        <w:tc>
          <w:tcPr>
            <w:tcW w:w="609" w:type="dxa"/>
            <w:tcBorders>
              <w:left w:val="none" w:sz="0" w:space="0" w:color="auto"/>
              <w:right w:val="none" w:sz="0" w:space="0" w:color="auto"/>
            </w:tcBorders>
            <w:shd w:val="clear" w:color="auto" w:fill="auto"/>
            <w:vAlign w:val="center"/>
            <w:hideMark/>
          </w:tcPr>
          <w:p w14:paraId="3E7EC133" w14:textId="77777777" w:rsidR="006B2784" w:rsidRPr="00C414F3"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0</w:t>
            </w:r>
          </w:p>
        </w:tc>
        <w:tc>
          <w:tcPr>
            <w:tcW w:w="609" w:type="dxa"/>
            <w:tcBorders>
              <w:left w:val="none" w:sz="0" w:space="0" w:color="auto"/>
              <w:right w:val="none" w:sz="0" w:space="0" w:color="auto"/>
            </w:tcBorders>
            <w:shd w:val="clear" w:color="auto" w:fill="auto"/>
            <w:vAlign w:val="center"/>
            <w:hideMark/>
          </w:tcPr>
          <w:p w14:paraId="1FC6A230"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tcBorders>
              <w:left w:val="none" w:sz="0" w:space="0" w:color="auto"/>
              <w:right w:val="none" w:sz="0" w:space="0" w:color="auto"/>
            </w:tcBorders>
            <w:shd w:val="clear" w:color="auto" w:fill="auto"/>
            <w:vAlign w:val="center"/>
            <w:hideMark/>
          </w:tcPr>
          <w:p w14:paraId="2248CB0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tcBorders>
              <w:left w:val="none" w:sz="0" w:space="0" w:color="auto"/>
              <w:right w:val="none" w:sz="0" w:space="0" w:color="auto"/>
            </w:tcBorders>
            <w:shd w:val="clear" w:color="auto" w:fill="auto"/>
            <w:vAlign w:val="center"/>
            <w:hideMark/>
          </w:tcPr>
          <w:p w14:paraId="5DA293B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722" w:type="dxa"/>
            <w:tcBorders>
              <w:left w:val="none" w:sz="0" w:space="0" w:color="auto"/>
              <w:right w:val="none" w:sz="0" w:space="0" w:color="auto"/>
            </w:tcBorders>
            <w:shd w:val="clear" w:color="auto" w:fill="auto"/>
            <w:vAlign w:val="center"/>
            <w:hideMark/>
          </w:tcPr>
          <w:p w14:paraId="410A36E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0.026</w:t>
            </w:r>
          </w:p>
        </w:tc>
        <w:tc>
          <w:tcPr>
            <w:tcW w:w="609" w:type="dxa"/>
            <w:tcBorders>
              <w:left w:val="none" w:sz="0" w:space="0" w:color="auto"/>
              <w:right w:val="none" w:sz="0" w:space="0" w:color="auto"/>
            </w:tcBorders>
            <w:shd w:val="clear" w:color="auto" w:fill="auto"/>
            <w:vAlign w:val="center"/>
            <w:hideMark/>
          </w:tcPr>
          <w:p w14:paraId="3FE8870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56909B8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04AAE27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2ABF661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0BBD7A2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7F03B0D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4BA3E1F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692009C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0D251E92"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64128EB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36FB08B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r w:rsidR="006B2784" w:rsidRPr="0047393D" w14:paraId="180DD998" w14:textId="77777777" w:rsidTr="0026334B">
        <w:trPr>
          <w:trHeight w:val="300"/>
        </w:trPr>
        <w:tc>
          <w:tcPr>
            <w:cnfStyle w:val="001000000000" w:firstRow="0" w:lastRow="0" w:firstColumn="1" w:lastColumn="0" w:oddVBand="0" w:evenVBand="0" w:oddHBand="0" w:evenHBand="0" w:firstRowFirstColumn="0" w:firstRowLastColumn="0" w:lastRowFirstColumn="0" w:lastRowLastColumn="0"/>
            <w:tcW w:w="1747" w:type="dxa"/>
            <w:shd w:val="clear" w:color="auto" w:fill="auto"/>
            <w:vAlign w:val="center"/>
            <w:hideMark/>
          </w:tcPr>
          <w:p w14:paraId="5F8956EC"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Vitamin B</w:t>
            </w:r>
            <w:r w:rsidRPr="00E11976">
              <w:rPr>
                <w:rFonts w:cs="Arial"/>
                <w:color w:val="000000"/>
                <w:sz w:val="18"/>
                <w:szCs w:val="18"/>
                <w:vertAlign w:val="subscript"/>
                <w:lang w:eastAsia="en-GB" w:bidi="ar-SA"/>
              </w:rPr>
              <w:t>6</w:t>
            </w:r>
            <w:r w:rsidRPr="0047393D">
              <w:rPr>
                <w:rFonts w:cs="Arial"/>
                <w:color w:val="000000"/>
                <w:sz w:val="18"/>
                <w:szCs w:val="18"/>
                <w:lang w:eastAsia="en-GB" w:bidi="ar-SA"/>
              </w:rPr>
              <w:t xml:space="preserve"> (mg)</w:t>
            </w:r>
          </w:p>
        </w:tc>
        <w:tc>
          <w:tcPr>
            <w:tcW w:w="763" w:type="dxa"/>
            <w:shd w:val="clear" w:color="auto" w:fill="auto"/>
            <w:vAlign w:val="center"/>
            <w:hideMark/>
          </w:tcPr>
          <w:p w14:paraId="32D8961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0.07</w:t>
            </w:r>
          </w:p>
        </w:tc>
        <w:tc>
          <w:tcPr>
            <w:tcW w:w="780" w:type="dxa"/>
            <w:shd w:val="clear" w:color="auto" w:fill="auto"/>
            <w:vAlign w:val="center"/>
            <w:hideMark/>
          </w:tcPr>
          <w:p w14:paraId="3A02E1F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0.03</w:t>
            </w:r>
          </w:p>
        </w:tc>
        <w:tc>
          <w:tcPr>
            <w:tcW w:w="609" w:type="dxa"/>
            <w:shd w:val="clear" w:color="auto" w:fill="auto"/>
            <w:vAlign w:val="center"/>
            <w:hideMark/>
          </w:tcPr>
          <w:p w14:paraId="1BA2E8D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53CB5779" w14:textId="77777777" w:rsidR="006B2784" w:rsidRPr="00C414F3"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0</w:t>
            </w:r>
          </w:p>
        </w:tc>
        <w:tc>
          <w:tcPr>
            <w:tcW w:w="609" w:type="dxa"/>
            <w:shd w:val="clear" w:color="auto" w:fill="auto"/>
            <w:vAlign w:val="center"/>
            <w:hideMark/>
          </w:tcPr>
          <w:p w14:paraId="3AE78ED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60602F7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650AB6A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722" w:type="dxa"/>
            <w:shd w:val="clear" w:color="auto" w:fill="auto"/>
            <w:vAlign w:val="center"/>
            <w:hideMark/>
          </w:tcPr>
          <w:p w14:paraId="670D581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05F9522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48D0ABC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085AF1CC"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23FAE64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6B619426"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197D6BE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7BA0EDD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67D1D734"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7839CE4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5CAAE184"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229A647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r w:rsidR="006B2784" w:rsidRPr="0047393D" w14:paraId="4444BE24" w14:textId="77777777" w:rsidTr="002633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7" w:type="dxa"/>
            <w:tcBorders>
              <w:left w:val="none" w:sz="0" w:space="0" w:color="auto"/>
              <w:right w:val="none" w:sz="0" w:space="0" w:color="auto"/>
            </w:tcBorders>
            <w:shd w:val="clear" w:color="auto" w:fill="auto"/>
            <w:vAlign w:val="center"/>
            <w:hideMark/>
          </w:tcPr>
          <w:p w14:paraId="666148F3"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Vitamin B</w:t>
            </w:r>
            <w:r w:rsidRPr="00E11976">
              <w:rPr>
                <w:rFonts w:cs="Arial"/>
                <w:color w:val="000000"/>
                <w:sz w:val="18"/>
                <w:szCs w:val="18"/>
                <w:vertAlign w:val="subscript"/>
                <w:lang w:eastAsia="en-GB" w:bidi="ar-SA"/>
              </w:rPr>
              <w:t>12</w:t>
            </w:r>
            <w:r w:rsidRPr="0047393D">
              <w:rPr>
                <w:rFonts w:cs="Arial"/>
                <w:color w:val="000000"/>
                <w:sz w:val="18"/>
                <w:szCs w:val="18"/>
                <w:lang w:eastAsia="en-GB" w:bidi="ar-SA"/>
              </w:rPr>
              <w:t xml:space="preserve"> (µg)</w:t>
            </w:r>
          </w:p>
        </w:tc>
        <w:tc>
          <w:tcPr>
            <w:tcW w:w="763" w:type="dxa"/>
            <w:tcBorders>
              <w:left w:val="none" w:sz="0" w:space="0" w:color="auto"/>
              <w:right w:val="none" w:sz="0" w:space="0" w:color="auto"/>
            </w:tcBorders>
            <w:shd w:val="clear" w:color="auto" w:fill="auto"/>
            <w:vAlign w:val="center"/>
            <w:hideMark/>
          </w:tcPr>
          <w:p w14:paraId="3D387CF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0.6</w:t>
            </w:r>
          </w:p>
        </w:tc>
        <w:tc>
          <w:tcPr>
            <w:tcW w:w="780" w:type="dxa"/>
            <w:tcBorders>
              <w:left w:val="none" w:sz="0" w:space="0" w:color="auto"/>
              <w:right w:val="none" w:sz="0" w:space="0" w:color="auto"/>
            </w:tcBorders>
            <w:shd w:val="clear" w:color="auto" w:fill="auto"/>
            <w:vAlign w:val="center"/>
            <w:hideMark/>
          </w:tcPr>
          <w:p w14:paraId="3B1F4F7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tcBorders>
              <w:left w:val="none" w:sz="0" w:space="0" w:color="auto"/>
              <w:right w:val="none" w:sz="0" w:space="0" w:color="auto"/>
            </w:tcBorders>
            <w:shd w:val="clear" w:color="auto" w:fill="auto"/>
            <w:vAlign w:val="center"/>
            <w:hideMark/>
          </w:tcPr>
          <w:p w14:paraId="3B38A7D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0.9*</w:t>
            </w:r>
          </w:p>
        </w:tc>
        <w:tc>
          <w:tcPr>
            <w:tcW w:w="609" w:type="dxa"/>
            <w:tcBorders>
              <w:left w:val="none" w:sz="0" w:space="0" w:color="auto"/>
              <w:right w:val="none" w:sz="0" w:space="0" w:color="auto"/>
            </w:tcBorders>
            <w:shd w:val="clear" w:color="auto" w:fill="auto"/>
            <w:vAlign w:val="center"/>
            <w:hideMark/>
          </w:tcPr>
          <w:p w14:paraId="078B45D0" w14:textId="77777777" w:rsidR="006B2784" w:rsidRPr="00C414F3"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0</w:t>
            </w:r>
          </w:p>
        </w:tc>
        <w:tc>
          <w:tcPr>
            <w:tcW w:w="609" w:type="dxa"/>
            <w:tcBorders>
              <w:left w:val="none" w:sz="0" w:space="0" w:color="auto"/>
              <w:right w:val="none" w:sz="0" w:space="0" w:color="auto"/>
            </w:tcBorders>
            <w:shd w:val="clear" w:color="auto" w:fill="auto"/>
            <w:vAlign w:val="center"/>
            <w:hideMark/>
          </w:tcPr>
          <w:p w14:paraId="0501EF38"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tcBorders>
              <w:left w:val="none" w:sz="0" w:space="0" w:color="auto"/>
              <w:right w:val="none" w:sz="0" w:space="0" w:color="auto"/>
            </w:tcBorders>
            <w:shd w:val="clear" w:color="auto" w:fill="auto"/>
            <w:vAlign w:val="center"/>
            <w:hideMark/>
          </w:tcPr>
          <w:p w14:paraId="3642E2B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tcBorders>
              <w:left w:val="none" w:sz="0" w:space="0" w:color="auto"/>
              <w:right w:val="none" w:sz="0" w:space="0" w:color="auto"/>
            </w:tcBorders>
            <w:shd w:val="clear" w:color="auto" w:fill="auto"/>
            <w:vAlign w:val="center"/>
            <w:hideMark/>
          </w:tcPr>
          <w:p w14:paraId="3F00D9E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722" w:type="dxa"/>
            <w:tcBorders>
              <w:left w:val="none" w:sz="0" w:space="0" w:color="auto"/>
              <w:right w:val="none" w:sz="0" w:space="0" w:color="auto"/>
            </w:tcBorders>
            <w:shd w:val="clear" w:color="auto" w:fill="auto"/>
            <w:vAlign w:val="center"/>
            <w:hideMark/>
          </w:tcPr>
          <w:p w14:paraId="1EB54991"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tcBorders>
              <w:left w:val="none" w:sz="0" w:space="0" w:color="auto"/>
              <w:right w:val="none" w:sz="0" w:space="0" w:color="auto"/>
            </w:tcBorders>
            <w:shd w:val="clear" w:color="auto" w:fill="auto"/>
            <w:vAlign w:val="center"/>
            <w:hideMark/>
          </w:tcPr>
          <w:p w14:paraId="2BD40BC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00D5A64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1F595787"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417F861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54475670"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4FCBEC8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5D3D580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1566B061"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1F8936A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6E0388F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18A9C70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r w:rsidR="006B2784" w:rsidRPr="0047393D" w14:paraId="71FCD37A" w14:textId="77777777" w:rsidTr="0026334B">
        <w:trPr>
          <w:trHeight w:val="300"/>
        </w:trPr>
        <w:tc>
          <w:tcPr>
            <w:cnfStyle w:val="001000000000" w:firstRow="0" w:lastRow="0" w:firstColumn="1" w:lastColumn="0" w:oddVBand="0" w:evenVBand="0" w:oddHBand="0" w:evenHBand="0" w:firstRowFirstColumn="0" w:firstRowLastColumn="0" w:lastRowFirstColumn="0" w:lastRowLastColumn="0"/>
            <w:tcW w:w="1747" w:type="dxa"/>
            <w:shd w:val="clear" w:color="auto" w:fill="auto"/>
            <w:vAlign w:val="center"/>
            <w:hideMark/>
          </w:tcPr>
          <w:p w14:paraId="1C3F552E"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Folate, natural (µg)</w:t>
            </w:r>
          </w:p>
        </w:tc>
        <w:tc>
          <w:tcPr>
            <w:tcW w:w="763" w:type="dxa"/>
            <w:shd w:val="clear" w:color="auto" w:fill="auto"/>
            <w:vAlign w:val="center"/>
            <w:hideMark/>
          </w:tcPr>
          <w:p w14:paraId="44B380F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14</w:t>
            </w:r>
          </w:p>
        </w:tc>
        <w:tc>
          <w:tcPr>
            <w:tcW w:w="780" w:type="dxa"/>
            <w:shd w:val="clear" w:color="auto" w:fill="auto"/>
            <w:vAlign w:val="center"/>
            <w:hideMark/>
          </w:tcPr>
          <w:p w14:paraId="3567EAA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14</w:t>
            </w:r>
          </w:p>
        </w:tc>
        <w:tc>
          <w:tcPr>
            <w:tcW w:w="609" w:type="dxa"/>
            <w:shd w:val="clear" w:color="auto" w:fill="auto"/>
            <w:vAlign w:val="center"/>
            <w:hideMark/>
          </w:tcPr>
          <w:p w14:paraId="6EA2283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14</w:t>
            </w:r>
          </w:p>
        </w:tc>
        <w:tc>
          <w:tcPr>
            <w:tcW w:w="609" w:type="dxa"/>
            <w:shd w:val="clear" w:color="auto" w:fill="auto"/>
            <w:vAlign w:val="center"/>
            <w:hideMark/>
          </w:tcPr>
          <w:p w14:paraId="5DECAEA0" w14:textId="77777777" w:rsidR="006B2784" w:rsidRPr="00C414F3"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1</w:t>
            </w:r>
          </w:p>
        </w:tc>
        <w:tc>
          <w:tcPr>
            <w:tcW w:w="609" w:type="dxa"/>
            <w:shd w:val="clear" w:color="auto" w:fill="auto"/>
            <w:vAlign w:val="center"/>
            <w:hideMark/>
          </w:tcPr>
          <w:p w14:paraId="5BF40D4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w:t>
            </w:r>
          </w:p>
        </w:tc>
        <w:tc>
          <w:tcPr>
            <w:tcW w:w="609" w:type="dxa"/>
            <w:shd w:val="clear" w:color="auto" w:fill="auto"/>
            <w:vAlign w:val="center"/>
            <w:hideMark/>
          </w:tcPr>
          <w:p w14:paraId="3CAD94B6"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09" w:type="dxa"/>
            <w:shd w:val="clear" w:color="auto" w:fill="auto"/>
            <w:vAlign w:val="center"/>
            <w:hideMark/>
          </w:tcPr>
          <w:p w14:paraId="6A2EEDF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722" w:type="dxa"/>
            <w:shd w:val="clear" w:color="auto" w:fill="auto"/>
            <w:vAlign w:val="center"/>
            <w:hideMark/>
          </w:tcPr>
          <w:p w14:paraId="256D2E5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w:t>
            </w:r>
          </w:p>
        </w:tc>
        <w:tc>
          <w:tcPr>
            <w:tcW w:w="609" w:type="dxa"/>
            <w:shd w:val="clear" w:color="auto" w:fill="auto"/>
            <w:vAlign w:val="center"/>
            <w:hideMark/>
          </w:tcPr>
          <w:p w14:paraId="6897D69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2410128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17A4B82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2539F04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3AC3EFD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09D5FF34"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71AC226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73B1230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6D98F02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1F41B55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36D7058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r w:rsidR="006B2784" w:rsidRPr="0047393D" w14:paraId="26AB4D81" w14:textId="77777777" w:rsidTr="002633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7" w:type="dxa"/>
            <w:tcBorders>
              <w:left w:val="none" w:sz="0" w:space="0" w:color="auto"/>
              <w:right w:val="none" w:sz="0" w:space="0" w:color="auto"/>
            </w:tcBorders>
            <w:shd w:val="clear" w:color="auto" w:fill="auto"/>
            <w:vAlign w:val="center"/>
            <w:hideMark/>
          </w:tcPr>
          <w:p w14:paraId="0B49E6AF"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Magnesium (Mg) (mg)</w:t>
            </w:r>
          </w:p>
        </w:tc>
        <w:tc>
          <w:tcPr>
            <w:tcW w:w="763" w:type="dxa"/>
            <w:tcBorders>
              <w:left w:val="none" w:sz="0" w:space="0" w:color="auto"/>
              <w:right w:val="none" w:sz="0" w:space="0" w:color="auto"/>
            </w:tcBorders>
            <w:shd w:val="clear" w:color="auto" w:fill="auto"/>
            <w:vAlign w:val="center"/>
            <w:hideMark/>
          </w:tcPr>
          <w:p w14:paraId="2D2388B0"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10</w:t>
            </w:r>
          </w:p>
        </w:tc>
        <w:tc>
          <w:tcPr>
            <w:tcW w:w="780" w:type="dxa"/>
            <w:tcBorders>
              <w:left w:val="none" w:sz="0" w:space="0" w:color="auto"/>
              <w:right w:val="none" w:sz="0" w:space="0" w:color="auto"/>
            </w:tcBorders>
            <w:shd w:val="clear" w:color="auto" w:fill="auto"/>
            <w:vAlign w:val="center"/>
            <w:hideMark/>
          </w:tcPr>
          <w:p w14:paraId="473F9BDB"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21</w:t>
            </w:r>
          </w:p>
        </w:tc>
        <w:tc>
          <w:tcPr>
            <w:tcW w:w="609" w:type="dxa"/>
            <w:tcBorders>
              <w:left w:val="none" w:sz="0" w:space="0" w:color="auto"/>
              <w:right w:val="none" w:sz="0" w:space="0" w:color="auto"/>
            </w:tcBorders>
            <w:shd w:val="clear" w:color="auto" w:fill="auto"/>
            <w:vAlign w:val="center"/>
            <w:hideMark/>
          </w:tcPr>
          <w:p w14:paraId="6E4B0B2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21</w:t>
            </w:r>
          </w:p>
        </w:tc>
        <w:tc>
          <w:tcPr>
            <w:tcW w:w="609" w:type="dxa"/>
            <w:tcBorders>
              <w:left w:val="none" w:sz="0" w:space="0" w:color="auto"/>
              <w:right w:val="none" w:sz="0" w:space="0" w:color="auto"/>
            </w:tcBorders>
            <w:shd w:val="clear" w:color="auto" w:fill="auto"/>
            <w:vAlign w:val="center"/>
            <w:hideMark/>
          </w:tcPr>
          <w:p w14:paraId="4FF8CFC2" w14:textId="77777777" w:rsidR="006B2784" w:rsidRPr="00C414F3"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17</w:t>
            </w:r>
          </w:p>
        </w:tc>
        <w:tc>
          <w:tcPr>
            <w:tcW w:w="609" w:type="dxa"/>
            <w:tcBorders>
              <w:left w:val="none" w:sz="0" w:space="0" w:color="auto"/>
              <w:right w:val="none" w:sz="0" w:space="0" w:color="auto"/>
            </w:tcBorders>
            <w:shd w:val="clear" w:color="auto" w:fill="auto"/>
            <w:vAlign w:val="center"/>
            <w:hideMark/>
          </w:tcPr>
          <w:p w14:paraId="17471C7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17</w:t>
            </w:r>
          </w:p>
        </w:tc>
        <w:tc>
          <w:tcPr>
            <w:tcW w:w="609" w:type="dxa"/>
            <w:tcBorders>
              <w:left w:val="none" w:sz="0" w:space="0" w:color="auto"/>
              <w:right w:val="none" w:sz="0" w:space="0" w:color="auto"/>
            </w:tcBorders>
            <w:shd w:val="clear" w:color="auto" w:fill="auto"/>
            <w:vAlign w:val="center"/>
            <w:hideMark/>
          </w:tcPr>
          <w:p w14:paraId="1E1BFD0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10</w:t>
            </w:r>
          </w:p>
        </w:tc>
        <w:tc>
          <w:tcPr>
            <w:tcW w:w="609" w:type="dxa"/>
            <w:tcBorders>
              <w:left w:val="none" w:sz="0" w:space="0" w:color="auto"/>
              <w:right w:val="none" w:sz="0" w:space="0" w:color="auto"/>
            </w:tcBorders>
            <w:shd w:val="clear" w:color="auto" w:fill="auto"/>
            <w:vAlign w:val="center"/>
            <w:hideMark/>
          </w:tcPr>
          <w:p w14:paraId="32C638A1"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10</w:t>
            </w:r>
          </w:p>
        </w:tc>
        <w:tc>
          <w:tcPr>
            <w:tcW w:w="722" w:type="dxa"/>
            <w:tcBorders>
              <w:left w:val="none" w:sz="0" w:space="0" w:color="auto"/>
              <w:right w:val="none" w:sz="0" w:space="0" w:color="auto"/>
            </w:tcBorders>
            <w:shd w:val="clear" w:color="auto" w:fill="auto"/>
            <w:vAlign w:val="center"/>
            <w:hideMark/>
          </w:tcPr>
          <w:p w14:paraId="7977387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13</w:t>
            </w:r>
          </w:p>
        </w:tc>
        <w:tc>
          <w:tcPr>
            <w:tcW w:w="609" w:type="dxa"/>
            <w:tcBorders>
              <w:left w:val="none" w:sz="0" w:space="0" w:color="auto"/>
              <w:right w:val="none" w:sz="0" w:space="0" w:color="auto"/>
            </w:tcBorders>
            <w:shd w:val="clear" w:color="auto" w:fill="auto"/>
            <w:vAlign w:val="center"/>
            <w:hideMark/>
          </w:tcPr>
          <w:p w14:paraId="6DBE7ECD"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401380A0"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473A413B"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20E55CB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1A236C2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5BF884BB"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6808EA1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3909BE10"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45CD44C1"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6ED36AE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3FB8914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r w:rsidR="006B2784" w:rsidRPr="0047393D" w14:paraId="0AA63060" w14:textId="77777777" w:rsidTr="0026334B">
        <w:trPr>
          <w:trHeight w:val="300"/>
        </w:trPr>
        <w:tc>
          <w:tcPr>
            <w:cnfStyle w:val="001000000000" w:firstRow="0" w:lastRow="0" w:firstColumn="1" w:lastColumn="0" w:oddVBand="0" w:evenVBand="0" w:oddHBand="0" w:evenHBand="0" w:firstRowFirstColumn="0" w:firstRowLastColumn="0" w:lastRowFirstColumn="0" w:lastRowLastColumn="0"/>
            <w:tcW w:w="1747" w:type="dxa"/>
            <w:shd w:val="clear" w:color="auto" w:fill="auto"/>
            <w:vAlign w:val="center"/>
            <w:hideMark/>
          </w:tcPr>
          <w:p w14:paraId="14C9247C"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Zinc (Zn) (mg)</w:t>
            </w:r>
          </w:p>
        </w:tc>
        <w:tc>
          <w:tcPr>
            <w:tcW w:w="763" w:type="dxa"/>
            <w:shd w:val="clear" w:color="auto" w:fill="auto"/>
            <w:vAlign w:val="center"/>
            <w:hideMark/>
          </w:tcPr>
          <w:p w14:paraId="03895BA1"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0.34</w:t>
            </w:r>
          </w:p>
        </w:tc>
        <w:tc>
          <w:tcPr>
            <w:tcW w:w="780" w:type="dxa"/>
            <w:shd w:val="clear" w:color="auto" w:fill="auto"/>
            <w:vAlign w:val="center"/>
            <w:hideMark/>
          </w:tcPr>
          <w:p w14:paraId="478CD3E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0.15</w:t>
            </w:r>
          </w:p>
        </w:tc>
        <w:tc>
          <w:tcPr>
            <w:tcW w:w="609" w:type="dxa"/>
            <w:shd w:val="clear" w:color="auto" w:fill="auto"/>
            <w:vAlign w:val="center"/>
            <w:hideMark/>
          </w:tcPr>
          <w:p w14:paraId="00AA296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0.15</w:t>
            </w:r>
          </w:p>
        </w:tc>
        <w:tc>
          <w:tcPr>
            <w:tcW w:w="609" w:type="dxa"/>
            <w:shd w:val="clear" w:color="auto" w:fill="auto"/>
            <w:vAlign w:val="center"/>
            <w:hideMark/>
          </w:tcPr>
          <w:p w14:paraId="1B02F7C9" w14:textId="77777777" w:rsidR="006B2784" w:rsidRPr="00C414F3"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0.28</w:t>
            </w:r>
          </w:p>
        </w:tc>
        <w:tc>
          <w:tcPr>
            <w:tcW w:w="609" w:type="dxa"/>
            <w:shd w:val="clear" w:color="auto" w:fill="auto"/>
            <w:vAlign w:val="center"/>
            <w:hideMark/>
          </w:tcPr>
          <w:p w14:paraId="5BE8A9A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0.27</w:t>
            </w:r>
          </w:p>
        </w:tc>
        <w:tc>
          <w:tcPr>
            <w:tcW w:w="609" w:type="dxa"/>
            <w:shd w:val="clear" w:color="auto" w:fill="auto"/>
            <w:vAlign w:val="center"/>
            <w:hideMark/>
          </w:tcPr>
          <w:p w14:paraId="07C1EDB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0.07</w:t>
            </w:r>
          </w:p>
        </w:tc>
        <w:tc>
          <w:tcPr>
            <w:tcW w:w="609" w:type="dxa"/>
            <w:shd w:val="clear" w:color="auto" w:fill="auto"/>
            <w:vAlign w:val="center"/>
            <w:hideMark/>
          </w:tcPr>
          <w:p w14:paraId="35C82BA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0.07</w:t>
            </w:r>
          </w:p>
        </w:tc>
        <w:tc>
          <w:tcPr>
            <w:tcW w:w="722" w:type="dxa"/>
            <w:shd w:val="clear" w:color="auto" w:fill="auto"/>
            <w:vAlign w:val="center"/>
            <w:hideMark/>
          </w:tcPr>
          <w:p w14:paraId="5B3FF17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w:t>
            </w:r>
          </w:p>
        </w:tc>
        <w:tc>
          <w:tcPr>
            <w:tcW w:w="609" w:type="dxa"/>
            <w:shd w:val="clear" w:color="auto" w:fill="auto"/>
            <w:vAlign w:val="center"/>
            <w:hideMark/>
          </w:tcPr>
          <w:p w14:paraId="3F1F8B3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382BC7A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0296CD8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6E584E1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4CB7FD0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4973DDD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7D13A16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7523F41C"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7F58D49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0DDFF5B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shd w:val="clear" w:color="auto" w:fill="auto"/>
            <w:vAlign w:val="center"/>
            <w:hideMark/>
          </w:tcPr>
          <w:p w14:paraId="63E2B0D1"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r w:rsidR="006B2784" w:rsidRPr="0047393D" w14:paraId="0CC400A6" w14:textId="77777777" w:rsidTr="002633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7" w:type="dxa"/>
            <w:tcBorders>
              <w:left w:val="none" w:sz="0" w:space="0" w:color="auto"/>
              <w:right w:val="none" w:sz="0" w:space="0" w:color="auto"/>
            </w:tcBorders>
            <w:shd w:val="clear" w:color="auto" w:fill="auto"/>
            <w:vAlign w:val="center"/>
            <w:hideMark/>
          </w:tcPr>
          <w:p w14:paraId="249A7C50" w14:textId="77777777" w:rsidR="006B2784" w:rsidRPr="0047393D" w:rsidRDefault="006B2784" w:rsidP="00D20A1E">
            <w:pPr>
              <w:keepNext/>
              <w:keepLines/>
              <w:widowControl/>
              <w:rPr>
                <w:rFonts w:cs="Arial"/>
                <w:color w:val="000000"/>
                <w:sz w:val="18"/>
                <w:szCs w:val="18"/>
                <w:lang w:eastAsia="en-GB" w:bidi="ar-SA"/>
              </w:rPr>
            </w:pPr>
            <w:r w:rsidRPr="0047393D">
              <w:rPr>
                <w:rFonts w:cs="Arial"/>
                <w:color w:val="000000"/>
                <w:sz w:val="18"/>
                <w:szCs w:val="18"/>
                <w:lang w:eastAsia="en-GB" w:bidi="ar-SA"/>
              </w:rPr>
              <w:t>Iodine (I) (µg)</w:t>
            </w:r>
          </w:p>
        </w:tc>
        <w:tc>
          <w:tcPr>
            <w:tcW w:w="763" w:type="dxa"/>
            <w:tcBorders>
              <w:left w:val="none" w:sz="0" w:space="0" w:color="auto"/>
              <w:right w:val="none" w:sz="0" w:space="0" w:color="auto"/>
            </w:tcBorders>
            <w:shd w:val="clear" w:color="auto" w:fill="auto"/>
            <w:vAlign w:val="center"/>
            <w:hideMark/>
          </w:tcPr>
          <w:p w14:paraId="559FCDB2"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22.3</w:t>
            </w:r>
          </w:p>
        </w:tc>
        <w:tc>
          <w:tcPr>
            <w:tcW w:w="780" w:type="dxa"/>
            <w:tcBorders>
              <w:left w:val="none" w:sz="0" w:space="0" w:color="auto"/>
              <w:right w:val="none" w:sz="0" w:space="0" w:color="auto"/>
            </w:tcBorders>
            <w:shd w:val="clear" w:color="auto" w:fill="auto"/>
            <w:vAlign w:val="center"/>
            <w:hideMark/>
          </w:tcPr>
          <w:p w14:paraId="6EA30E30"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1.3</w:t>
            </w:r>
          </w:p>
        </w:tc>
        <w:tc>
          <w:tcPr>
            <w:tcW w:w="609" w:type="dxa"/>
            <w:tcBorders>
              <w:left w:val="none" w:sz="0" w:space="0" w:color="auto"/>
              <w:right w:val="none" w:sz="0" w:space="0" w:color="auto"/>
            </w:tcBorders>
            <w:shd w:val="clear" w:color="auto" w:fill="auto"/>
            <w:vAlign w:val="center"/>
            <w:hideMark/>
          </w:tcPr>
          <w:p w14:paraId="00643031"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1.3</w:t>
            </w:r>
          </w:p>
        </w:tc>
        <w:tc>
          <w:tcPr>
            <w:tcW w:w="609" w:type="dxa"/>
            <w:tcBorders>
              <w:left w:val="none" w:sz="0" w:space="0" w:color="auto"/>
              <w:right w:val="none" w:sz="0" w:space="0" w:color="auto"/>
            </w:tcBorders>
            <w:shd w:val="clear" w:color="auto" w:fill="auto"/>
            <w:vAlign w:val="center"/>
            <w:hideMark/>
          </w:tcPr>
          <w:p w14:paraId="1E9978BB" w14:textId="77777777" w:rsidR="006B2784" w:rsidRPr="00C414F3"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C414F3">
              <w:rPr>
                <w:rFonts w:cs="Arial"/>
                <w:color w:val="000000"/>
                <w:sz w:val="18"/>
                <w:szCs w:val="18"/>
                <w:lang w:eastAsia="en-GB" w:bidi="ar-SA"/>
              </w:rPr>
              <w:t>0.6</w:t>
            </w:r>
          </w:p>
        </w:tc>
        <w:tc>
          <w:tcPr>
            <w:tcW w:w="609" w:type="dxa"/>
            <w:tcBorders>
              <w:left w:val="none" w:sz="0" w:space="0" w:color="auto"/>
              <w:right w:val="none" w:sz="0" w:space="0" w:color="auto"/>
            </w:tcBorders>
            <w:shd w:val="clear" w:color="auto" w:fill="auto"/>
            <w:vAlign w:val="center"/>
            <w:hideMark/>
          </w:tcPr>
          <w:p w14:paraId="00B968DE"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0.6</w:t>
            </w:r>
          </w:p>
        </w:tc>
        <w:tc>
          <w:tcPr>
            <w:tcW w:w="609" w:type="dxa"/>
            <w:tcBorders>
              <w:left w:val="none" w:sz="0" w:space="0" w:color="auto"/>
              <w:right w:val="none" w:sz="0" w:space="0" w:color="auto"/>
            </w:tcBorders>
            <w:shd w:val="clear" w:color="auto" w:fill="auto"/>
            <w:vAlign w:val="center"/>
            <w:hideMark/>
          </w:tcPr>
          <w:p w14:paraId="63F8C0B9"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3.5</w:t>
            </w:r>
          </w:p>
        </w:tc>
        <w:tc>
          <w:tcPr>
            <w:tcW w:w="609" w:type="dxa"/>
            <w:tcBorders>
              <w:left w:val="none" w:sz="0" w:space="0" w:color="auto"/>
              <w:right w:val="none" w:sz="0" w:space="0" w:color="auto"/>
            </w:tcBorders>
            <w:shd w:val="clear" w:color="auto" w:fill="auto"/>
            <w:vAlign w:val="center"/>
            <w:hideMark/>
          </w:tcPr>
          <w:p w14:paraId="59065C43"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3.5</w:t>
            </w:r>
          </w:p>
        </w:tc>
        <w:tc>
          <w:tcPr>
            <w:tcW w:w="722" w:type="dxa"/>
            <w:tcBorders>
              <w:left w:val="none" w:sz="0" w:space="0" w:color="auto"/>
              <w:right w:val="none" w:sz="0" w:space="0" w:color="auto"/>
            </w:tcBorders>
            <w:shd w:val="clear" w:color="auto" w:fill="auto"/>
            <w:vAlign w:val="center"/>
            <w:hideMark/>
          </w:tcPr>
          <w:p w14:paraId="640E6096"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0.2</w:t>
            </w:r>
          </w:p>
        </w:tc>
        <w:tc>
          <w:tcPr>
            <w:tcW w:w="609" w:type="dxa"/>
            <w:tcBorders>
              <w:left w:val="none" w:sz="0" w:space="0" w:color="auto"/>
              <w:right w:val="none" w:sz="0" w:space="0" w:color="auto"/>
            </w:tcBorders>
            <w:shd w:val="clear" w:color="auto" w:fill="auto"/>
            <w:vAlign w:val="center"/>
            <w:hideMark/>
          </w:tcPr>
          <w:p w14:paraId="169C4A10"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04D20D0D"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094B58E8"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2A9E8410"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1E3D341A"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2D049E91"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2543E157"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38289714"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0838B741"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02DAFC0E"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09" w:type="dxa"/>
            <w:tcBorders>
              <w:left w:val="none" w:sz="0" w:space="0" w:color="auto"/>
              <w:right w:val="none" w:sz="0" w:space="0" w:color="auto"/>
            </w:tcBorders>
            <w:shd w:val="clear" w:color="auto" w:fill="auto"/>
            <w:vAlign w:val="center"/>
            <w:hideMark/>
          </w:tcPr>
          <w:p w14:paraId="2604447C"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bl>
    <w:p w14:paraId="5659A23E" w14:textId="389FF180" w:rsidR="006B2784" w:rsidRPr="00954E58" w:rsidRDefault="006B2784" w:rsidP="00D20A1E">
      <w:pPr>
        <w:widowControl/>
        <w:spacing w:before="20" w:after="20"/>
        <w:rPr>
          <w:rFonts w:cs="Arial"/>
          <w:i/>
          <w:iCs/>
          <w:color w:val="000000"/>
          <w:sz w:val="16"/>
          <w:szCs w:val="16"/>
          <w:lang w:eastAsia="en-GB" w:bidi="ar-SA"/>
        </w:rPr>
      </w:pPr>
      <w:r w:rsidRPr="00954E58">
        <w:rPr>
          <w:rFonts w:cs="Arial"/>
          <w:i/>
          <w:iCs/>
          <w:color w:val="000000"/>
          <w:sz w:val="16"/>
          <w:szCs w:val="16"/>
          <w:lang w:eastAsia="en-GB" w:bidi="ar-SA"/>
        </w:rPr>
        <w:t>ɫ</w:t>
      </w:r>
      <w:r w:rsidR="00E4287E" w:rsidRPr="00954E58">
        <w:rPr>
          <w:rFonts w:cs="Arial"/>
          <w:i/>
          <w:iCs/>
          <w:color w:val="000000"/>
          <w:sz w:val="16"/>
          <w:szCs w:val="16"/>
          <w:lang w:eastAsia="en-GB" w:bidi="ar-SA"/>
        </w:rPr>
        <w:tab/>
      </w:r>
      <w:r w:rsidRPr="00954E58">
        <w:rPr>
          <w:rFonts w:cs="Arial"/>
          <w:i/>
          <w:iCs/>
          <w:color w:val="000000"/>
          <w:sz w:val="16"/>
          <w:szCs w:val="16"/>
          <w:lang w:eastAsia="en-GB" w:bidi="ar-SA"/>
        </w:rPr>
        <w:t>Data from AUSNUT 2011-13 Australian Health Survey Food Nutrient Database</w:t>
      </w:r>
      <w:r w:rsidR="00954E58" w:rsidRPr="00954E58">
        <w:rPr>
          <w:rFonts w:cs="Arial"/>
          <w:i/>
          <w:iCs/>
          <w:color w:val="000000"/>
          <w:sz w:val="16"/>
          <w:szCs w:val="16"/>
          <w:lang w:eastAsia="en-GB" w:bidi="ar-SA"/>
        </w:rPr>
        <w:t xml:space="preserve"> </w:t>
      </w:r>
      <w:r w:rsidR="00954E58" w:rsidRPr="00954E58">
        <w:rPr>
          <w:rFonts w:cs="Arial"/>
          <w:i/>
          <w:sz w:val="16"/>
          <w:szCs w:val="16"/>
        </w:rPr>
        <w:t>(FSANZ 2014)</w:t>
      </w:r>
    </w:p>
    <w:p w14:paraId="47B1F85E" w14:textId="4718EF47" w:rsidR="006B2784" w:rsidRPr="00E4287E" w:rsidRDefault="006B2784" w:rsidP="00D20A1E">
      <w:pPr>
        <w:widowControl/>
        <w:spacing w:before="20" w:after="20"/>
        <w:rPr>
          <w:rFonts w:cs="Arial"/>
          <w:i/>
          <w:iCs/>
          <w:color w:val="000000"/>
          <w:sz w:val="16"/>
          <w:szCs w:val="16"/>
          <w:lang w:eastAsia="en-GB" w:bidi="ar-SA"/>
        </w:rPr>
      </w:pPr>
      <w:r w:rsidRPr="00E4287E">
        <w:rPr>
          <w:rFonts w:cs="Arial"/>
          <w:color w:val="000000"/>
          <w:sz w:val="16"/>
          <w:szCs w:val="16"/>
          <w:lang w:eastAsia="en-GB" w:bidi="ar-SA"/>
        </w:rPr>
        <w:t>#</w:t>
      </w:r>
      <w:r w:rsidR="00E4287E" w:rsidRPr="00E4287E">
        <w:rPr>
          <w:rFonts w:cs="Arial"/>
          <w:i/>
          <w:iCs/>
          <w:color w:val="000000"/>
          <w:sz w:val="16"/>
          <w:szCs w:val="16"/>
          <w:lang w:eastAsia="en-GB" w:bidi="ar-SA"/>
        </w:rPr>
        <w:tab/>
      </w:r>
      <w:r w:rsidRPr="00E4287E">
        <w:rPr>
          <w:rFonts w:cs="Arial"/>
          <w:i/>
          <w:iCs/>
          <w:color w:val="000000"/>
          <w:sz w:val="16"/>
          <w:szCs w:val="16"/>
          <w:lang w:eastAsia="en-GB" w:bidi="ar-SA"/>
        </w:rPr>
        <w:t>Data from product Nutrition Information Panels (NIPs)</w:t>
      </w:r>
    </w:p>
    <w:p w14:paraId="119211CE" w14:textId="22A0586D" w:rsidR="006B2784" w:rsidRPr="00E4287E" w:rsidRDefault="006B2784" w:rsidP="00D20A1E">
      <w:pPr>
        <w:widowControl/>
        <w:spacing w:before="20" w:after="20"/>
        <w:rPr>
          <w:sz w:val="16"/>
          <w:szCs w:val="16"/>
        </w:rPr>
      </w:pPr>
      <w:r w:rsidRPr="00E4287E">
        <w:rPr>
          <w:rFonts w:cs="Arial"/>
          <w:i/>
          <w:iCs/>
          <w:color w:val="000000"/>
          <w:sz w:val="16"/>
          <w:szCs w:val="16"/>
          <w:lang w:eastAsia="en-GB" w:bidi="ar-SA"/>
        </w:rPr>
        <w:t>*</w:t>
      </w:r>
      <w:r w:rsidR="00E4287E" w:rsidRPr="00E4287E">
        <w:rPr>
          <w:rFonts w:cs="Arial"/>
          <w:i/>
          <w:iCs/>
          <w:color w:val="000000"/>
          <w:sz w:val="16"/>
          <w:szCs w:val="16"/>
          <w:lang w:eastAsia="en-GB" w:bidi="ar-SA"/>
        </w:rPr>
        <w:tab/>
      </w:r>
      <w:r w:rsidRPr="00E4287E">
        <w:rPr>
          <w:rFonts w:cs="Arial"/>
          <w:i/>
          <w:iCs/>
          <w:color w:val="000000"/>
          <w:sz w:val="16"/>
          <w:szCs w:val="16"/>
          <w:lang w:eastAsia="en-GB" w:bidi="ar-SA"/>
        </w:rPr>
        <w:t>Fortified</w:t>
      </w:r>
    </w:p>
    <w:p w14:paraId="542A0E7B" w14:textId="69D6A9C6" w:rsidR="00D96B30" w:rsidRPr="00E4287E" w:rsidRDefault="00E4287E" w:rsidP="00D20A1E">
      <w:pPr>
        <w:pStyle w:val="Caption"/>
        <w:widowControl/>
        <w:rPr>
          <w:sz w:val="16"/>
          <w:szCs w:val="16"/>
        </w:rPr>
      </w:pPr>
      <w:r w:rsidRPr="00E4287E">
        <w:rPr>
          <w:rFonts w:cs="Arial"/>
          <w:i/>
          <w:iCs/>
          <w:color w:val="000000"/>
          <w:sz w:val="16"/>
          <w:szCs w:val="16"/>
          <w:lang w:eastAsia="en-GB" w:bidi="ar-SA"/>
        </w:rPr>
        <w:t>ns</w:t>
      </w:r>
      <w:r w:rsidRPr="00E4287E">
        <w:rPr>
          <w:rFonts w:cs="Arial"/>
          <w:i/>
          <w:iCs/>
          <w:color w:val="000000"/>
          <w:sz w:val="16"/>
          <w:szCs w:val="16"/>
          <w:lang w:eastAsia="en-GB" w:bidi="ar-SA"/>
        </w:rPr>
        <w:tab/>
      </w:r>
      <w:r w:rsidR="006B2784" w:rsidRPr="00E4287E">
        <w:rPr>
          <w:rFonts w:cs="Arial"/>
          <w:i/>
          <w:iCs/>
          <w:color w:val="000000"/>
          <w:sz w:val="16"/>
          <w:szCs w:val="16"/>
          <w:lang w:eastAsia="en-GB" w:bidi="ar-SA"/>
        </w:rPr>
        <w:t>not specified</w:t>
      </w:r>
      <w:r w:rsidR="006B2784" w:rsidRPr="00E4287E">
        <w:rPr>
          <w:sz w:val="16"/>
          <w:szCs w:val="16"/>
        </w:rPr>
        <w:t xml:space="preserve"> </w:t>
      </w:r>
    </w:p>
    <w:p w14:paraId="462DCB32" w14:textId="77777777" w:rsidR="006B2784" w:rsidRDefault="006B2784" w:rsidP="00D20A1E">
      <w:pPr>
        <w:widowControl/>
      </w:pPr>
      <w:r>
        <w:br w:type="page"/>
      </w:r>
    </w:p>
    <w:bookmarkStart w:id="196" w:name="_Ref417648635"/>
    <w:bookmarkEnd w:id="196"/>
    <w:p w14:paraId="65D9161A" w14:textId="3324D9E7" w:rsidR="006B2784" w:rsidRDefault="00D96B30" w:rsidP="00D20A1E">
      <w:pPr>
        <w:pStyle w:val="FSTableTitle"/>
        <w:widowControl/>
        <w:rPr>
          <w:noProof/>
        </w:rPr>
      </w:pPr>
      <w:r>
        <w:rPr>
          <w:noProof/>
        </w:rPr>
        <w:lastRenderedPageBreak/>
        <w:fldChar w:fldCharType="begin"/>
      </w:r>
      <w:r>
        <w:rPr>
          <w:noProof/>
        </w:rPr>
        <w:instrText xml:space="preserve"> REF _Ref417648633 \h </w:instrText>
      </w:r>
      <w:r>
        <w:rPr>
          <w:noProof/>
        </w:rPr>
      </w:r>
      <w:r>
        <w:rPr>
          <w:noProof/>
        </w:rPr>
        <w:fldChar w:fldCharType="separate"/>
      </w:r>
      <w:r w:rsidR="00047581">
        <w:t>Table A1.</w:t>
      </w:r>
      <w:r w:rsidR="00047581">
        <w:rPr>
          <w:noProof/>
        </w:rPr>
        <w:t>1</w:t>
      </w:r>
      <w:r>
        <w:rPr>
          <w:noProof/>
        </w:rPr>
        <w:fldChar w:fldCharType="end"/>
      </w:r>
      <w:r>
        <w:rPr>
          <w:noProof/>
        </w:rPr>
        <w:t xml:space="preserve"> (cont’d)</w:t>
      </w:r>
      <w:r w:rsidR="006B2784">
        <w:t>:</w:t>
      </w:r>
      <w:r w:rsidR="00F6296A">
        <w:rPr>
          <w:noProof/>
        </w:rPr>
        <w:t xml:space="preserve"> </w:t>
      </w:r>
      <w:r>
        <w:rPr>
          <w:noProof/>
        </w:rPr>
        <w:t xml:space="preserve">Nutrient content of </w:t>
      </w:r>
      <w:r w:rsidR="00FA56B6">
        <w:rPr>
          <w:noProof/>
        </w:rPr>
        <w:t>cow’s</w:t>
      </w:r>
      <w:r w:rsidR="00932BFD">
        <w:rPr>
          <w:noProof/>
        </w:rPr>
        <w:t xml:space="preserve"> milk, coconut-based milk substitutes and soy-, oat-, rice-, almond-, almond blend- and other nut-based beverages</w:t>
      </w:r>
    </w:p>
    <w:p w14:paraId="564D43F7" w14:textId="77777777" w:rsidR="0023423F" w:rsidRPr="0023423F" w:rsidRDefault="0023423F" w:rsidP="0023423F"/>
    <w:tbl>
      <w:tblPr>
        <w:tblStyle w:val="LightShading-Accent3"/>
        <w:tblW w:w="12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806"/>
        <w:gridCol w:w="806"/>
        <w:gridCol w:w="680"/>
        <w:gridCol w:w="680"/>
        <w:gridCol w:w="680"/>
        <w:gridCol w:w="680"/>
        <w:gridCol w:w="836"/>
        <w:gridCol w:w="680"/>
        <w:gridCol w:w="680"/>
        <w:gridCol w:w="680"/>
        <w:gridCol w:w="680"/>
        <w:gridCol w:w="680"/>
        <w:gridCol w:w="680"/>
        <w:gridCol w:w="680"/>
      </w:tblGrid>
      <w:tr w:rsidR="006B2784" w:rsidRPr="0047393D" w14:paraId="7B43157D" w14:textId="77777777" w:rsidTr="00932BF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98" w:type="dxa"/>
            <w:tcBorders>
              <w:top w:val="single" w:sz="8" w:space="0" w:color="auto"/>
              <w:left w:val="single" w:sz="8" w:space="0" w:color="auto"/>
              <w:bottom w:val="single" w:sz="8" w:space="0" w:color="auto"/>
              <w:right w:val="single" w:sz="8" w:space="0" w:color="auto"/>
            </w:tcBorders>
            <w:shd w:val="clear" w:color="auto" w:fill="B8CCE4" w:themeFill="accent1" w:themeFillTint="66"/>
            <w:hideMark/>
          </w:tcPr>
          <w:p w14:paraId="5431D496"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Nutrients</w:t>
            </w:r>
          </w:p>
        </w:tc>
        <w:tc>
          <w:tcPr>
            <w:tcW w:w="806"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tcPr>
          <w:p w14:paraId="16B562F9" w14:textId="5F13D88A" w:rsidR="006B2784" w:rsidRPr="00566986" w:rsidRDefault="00FA56B6" w:rsidP="00D20A1E">
            <w:pPr>
              <w:widowControl/>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lang w:eastAsia="en-GB" w:bidi="ar-SA"/>
              </w:rPr>
            </w:pPr>
            <w:r>
              <w:rPr>
                <w:rFonts w:cs="Arial"/>
                <w:color w:val="000000"/>
                <w:sz w:val="18"/>
                <w:szCs w:val="18"/>
                <w:lang w:eastAsia="en-GB" w:bidi="ar-SA"/>
              </w:rPr>
              <w:t>Cow’s</w:t>
            </w:r>
            <w:r w:rsidR="006B2784" w:rsidRPr="00EF54D5">
              <w:rPr>
                <w:rFonts w:cs="Arial"/>
                <w:color w:val="000000"/>
                <w:sz w:val="18"/>
                <w:szCs w:val="18"/>
                <w:lang w:eastAsia="en-GB" w:bidi="ar-SA"/>
              </w:rPr>
              <w:t xml:space="preserve"> Milk</w:t>
            </w:r>
          </w:p>
        </w:tc>
        <w:tc>
          <w:tcPr>
            <w:tcW w:w="3526" w:type="dxa"/>
            <w:gridSpan w:val="5"/>
            <w:tcBorders>
              <w:top w:val="single" w:sz="8" w:space="0" w:color="auto"/>
              <w:left w:val="single" w:sz="8" w:space="0" w:color="auto"/>
              <w:bottom w:val="single" w:sz="8" w:space="0" w:color="auto"/>
              <w:right w:val="single" w:sz="8" w:space="0" w:color="auto"/>
            </w:tcBorders>
            <w:shd w:val="clear" w:color="auto" w:fill="B8CCE4" w:themeFill="accent1" w:themeFillTint="66"/>
            <w:noWrap/>
            <w:hideMark/>
          </w:tcPr>
          <w:p w14:paraId="47A2B430" w14:textId="77777777"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Almond</w:t>
            </w:r>
            <w:r>
              <w:rPr>
                <w:rFonts w:cs="Arial"/>
                <w:color w:val="000000"/>
                <w:sz w:val="18"/>
                <w:szCs w:val="18"/>
                <w:lang w:eastAsia="en-GB" w:bidi="ar-SA"/>
              </w:rPr>
              <w:t xml:space="preserve">-Based Beverage </w:t>
            </w:r>
            <w:r w:rsidRPr="0047393D">
              <w:rPr>
                <w:rFonts w:cs="Arial"/>
                <w:color w:val="000000"/>
                <w:sz w:val="18"/>
                <w:szCs w:val="18"/>
                <w:lang w:eastAsia="en-GB" w:bidi="ar-SA"/>
              </w:rPr>
              <w:t>blends</w:t>
            </w:r>
          </w:p>
        </w:tc>
        <w:tc>
          <w:tcPr>
            <w:tcW w:w="2876" w:type="dxa"/>
            <w:gridSpan w:val="4"/>
            <w:tcBorders>
              <w:top w:val="single" w:sz="8" w:space="0" w:color="auto"/>
              <w:left w:val="single" w:sz="8" w:space="0" w:color="auto"/>
              <w:bottom w:val="single" w:sz="8" w:space="0" w:color="auto"/>
              <w:right w:val="single" w:sz="8" w:space="0" w:color="auto"/>
            </w:tcBorders>
            <w:shd w:val="clear" w:color="auto" w:fill="B8CCE4" w:themeFill="accent1" w:themeFillTint="66"/>
            <w:noWrap/>
            <w:hideMark/>
          </w:tcPr>
          <w:p w14:paraId="47E76516" w14:textId="5C30D9FF"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Coconut</w:t>
            </w:r>
            <w:r>
              <w:rPr>
                <w:rFonts w:cs="Arial"/>
                <w:color w:val="000000"/>
                <w:sz w:val="18"/>
                <w:szCs w:val="18"/>
                <w:lang w:eastAsia="en-GB" w:bidi="ar-SA"/>
              </w:rPr>
              <w:t xml:space="preserve">-Based </w:t>
            </w:r>
            <w:r w:rsidR="00932BFD">
              <w:rPr>
                <w:rFonts w:cs="Arial"/>
                <w:color w:val="000000"/>
                <w:sz w:val="18"/>
                <w:szCs w:val="18"/>
                <w:lang w:eastAsia="en-GB" w:bidi="ar-SA"/>
              </w:rPr>
              <w:t>Milk Substitutes</w:t>
            </w:r>
          </w:p>
        </w:tc>
        <w:tc>
          <w:tcPr>
            <w:tcW w:w="2720" w:type="dxa"/>
            <w:gridSpan w:val="4"/>
            <w:tcBorders>
              <w:top w:val="single" w:sz="8" w:space="0" w:color="auto"/>
              <w:left w:val="single" w:sz="8" w:space="0" w:color="auto"/>
              <w:bottom w:val="single" w:sz="8" w:space="0" w:color="auto"/>
              <w:right w:val="single" w:sz="8" w:space="0" w:color="auto"/>
            </w:tcBorders>
            <w:shd w:val="clear" w:color="auto" w:fill="B8CCE4" w:themeFill="accent1" w:themeFillTint="66"/>
            <w:noWrap/>
            <w:hideMark/>
          </w:tcPr>
          <w:p w14:paraId="131DDA0E" w14:textId="77777777"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 xml:space="preserve">Other </w:t>
            </w:r>
            <w:r>
              <w:rPr>
                <w:rFonts w:cs="Arial"/>
                <w:color w:val="000000"/>
                <w:sz w:val="18"/>
                <w:szCs w:val="18"/>
                <w:lang w:eastAsia="en-GB" w:bidi="ar-SA"/>
              </w:rPr>
              <w:t>N</w:t>
            </w:r>
            <w:r w:rsidRPr="00F25B61">
              <w:rPr>
                <w:rFonts w:cs="Arial"/>
                <w:color w:val="000000"/>
                <w:sz w:val="18"/>
                <w:szCs w:val="18"/>
                <w:lang w:eastAsia="en-GB" w:bidi="ar-SA"/>
              </w:rPr>
              <w:t>ut</w:t>
            </w:r>
            <w:r>
              <w:rPr>
                <w:rFonts w:cs="Arial"/>
                <w:color w:val="000000"/>
                <w:sz w:val="18"/>
                <w:szCs w:val="18"/>
                <w:lang w:eastAsia="en-GB" w:bidi="ar-SA"/>
              </w:rPr>
              <w:t>-Based Beverages</w:t>
            </w:r>
          </w:p>
        </w:tc>
      </w:tr>
      <w:tr w:rsidR="00486D06" w:rsidRPr="0047393D" w14:paraId="4B066A54" w14:textId="77777777" w:rsidTr="00932BFD">
        <w:trPr>
          <w:cnfStyle w:val="100000000000" w:firstRow="1" w:lastRow="0" w:firstColumn="0" w:lastColumn="0" w:oddVBand="0" w:evenVBand="0" w:oddHBand="0" w:evenHBand="0" w:firstRowFirstColumn="0" w:firstRowLastColumn="0" w:lastRowFirstColumn="0" w:lastRowLastColumn="0"/>
          <w:trHeight w:val="2805"/>
          <w:tblHeader/>
        </w:trPr>
        <w:tc>
          <w:tcPr>
            <w:cnfStyle w:val="001000000000" w:firstRow="0" w:lastRow="0" w:firstColumn="1" w:lastColumn="0" w:oddVBand="0" w:evenVBand="0" w:oddHBand="0" w:evenHBand="0" w:firstRowFirstColumn="0" w:firstRowLastColumn="0" w:lastRowFirstColumn="0" w:lastRowLastColumn="0"/>
            <w:tcW w:w="2098" w:type="dxa"/>
            <w:tcBorders>
              <w:top w:val="single" w:sz="8" w:space="0" w:color="auto"/>
              <w:left w:val="single" w:sz="8" w:space="0" w:color="auto"/>
              <w:bottom w:val="single" w:sz="8" w:space="0" w:color="auto"/>
              <w:right w:val="single" w:sz="8" w:space="0" w:color="auto"/>
            </w:tcBorders>
            <w:shd w:val="clear" w:color="auto" w:fill="B8CCE4" w:themeFill="accent1" w:themeFillTint="66"/>
            <w:hideMark/>
          </w:tcPr>
          <w:p w14:paraId="579C4469"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per 100 mL</w:t>
            </w:r>
          </w:p>
        </w:tc>
        <w:tc>
          <w:tcPr>
            <w:tcW w:w="806" w:type="dxa"/>
            <w:tcBorders>
              <w:top w:val="single" w:sz="8" w:space="0" w:color="auto"/>
              <w:left w:val="single" w:sz="8" w:space="0" w:color="auto"/>
              <w:bottom w:val="single" w:sz="8" w:space="0" w:color="auto"/>
              <w:right w:val="single" w:sz="8" w:space="0" w:color="auto"/>
            </w:tcBorders>
            <w:shd w:val="clear" w:color="auto" w:fill="B8CCE4" w:themeFill="accent1" w:themeFillTint="66"/>
            <w:textDirection w:val="btLr"/>
            <w:vAlign w:val="center"/>
          </w:tcPr>
          <w:p w14:paraId="20F94E7B" w14:textId="77777777" w:rsidR="006B2784" w:rsidRPr="00566986"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EF54D5">
              <w:rPr>
                <w:rFonts w:cs="Arial"/>
                <w:b w:val="0"/>
                <w:color w:val="000000"/>
                <w:sz w:val="18"/>
                <w:szCs w:val="18"/>
                <w:lang w:eastAsia="en-GB" w:bidi="ar-SA"/>
              </w:rPr>
              <w:t>Milk, cow, fluid, regular fat (~3.5%) ɫ</w:t>
            </w:r>
          </w:p>
        </w:tc>
        <w:tc>
          <w:tcPr>
            <w:tcW w:w="806" w:type="dxa"/>
            <w:tcBorders>
              <w:top w:val="single" w:sz="8" w:space="0" w:color="auto"/>
              <w:left w:val="single" w:sz="8" w:space="0" w:color="auto"/>
              <w:bottom w:val="single" w:sz="8" w:space="0" w:color="auto"/>
              <w:right w:val="single" w:sz="8" w:space="0" w:color="auto"/>
            </w:tcBorders>
            <w:shd w:val="clear" w:color="auto" w:fill="B8CCE4" w:themeFill="accent1" w:themeFillTint="66"/>
            <w:textDirection w:val="btLr"/>
            <w:vAlign w:val="center"/>
            <w:hideMark/>
          </w:tcPr>
          <w:p w14:paraId="17449276" w14:textId="34B3F01D"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Vitasoy</w:t>
            </w:r>
            <w:r w:rsidR="00916F87">
              <w:rPr>
                <w:rFonts w:cs="Arial"/>
                <w:b w:val="0"/>
                <w:color w:val="000000"/>
                <w:sz w:val="18"/>
                <w:szCs w:val="18"/>
                <w:lang w:eastAsia="en-GB" w:bidi="ar-SA"/>
              </w:rPr>
              <w:t>™</w:t>
            </w:r>
            <w:r w:rsidRPr="0047393D">
              <w:rPr>
                <w:rFonts w:cs="Arial"/>
                <w:b w:val="0"/>
                <w:color w:val="000000"/>
                <w:sz w:val="18"/>
                <w:szCs w:val="18"/>
                <w:lang w:eastAsia="en-GB" w:bidi="ar-SA"/>
              </w:rPr>
              <w:t xml:space="preserve"> Soy &amp; Almond Milk #</w:t>
            </w:r>
          </w:p>
        </w:tc>
        <w:tc>
          <w:tcPr>
            <w:tcW w:w="680" w:type="dxa"/>
            <w:tcBorders>
              <w:top w:val="single" w:sz="8" w:space="0" w:color="auto"/>
              <w:left w:val="single" w:sz="8" w:space="0" w:color="auto"/>
              <w:bottom w:val="single" w:sz="8" w:space="0" w:color="auto"/>
              <w:right w:val="single" w:sz="8" w:space="0" w:color="auto"/>
            </w:tcBorders>
            <w:shd w:val="clear" w:color="auto" w:fill="B8CCE4" w:themeFill="accent1" w:themeFillTint="66"/>
            <w:textDirection w:val="btLr"/>
            <w:vAlign w:val="center"/>
            <w:hideMark/>
          </w:tcPr>
          <w:p w14:paraId="3CB3812C" w14:textId="78203BEF"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Vitasoy</w:t>
            </w:r>
            <w:r w:rsidR="00916F87">
              <w:rPr>
                <w:rFonts w:cs="Arial"/>
                <w:b w:val="0"/>
                <w:color w:val="000000"/>
                <w:sz w:val="18"/>
                <w:szCs w:val="18"/>
                <w:lang w:eastAsia="en-GB" w:bidi="ar-SA"/>
              </w:rPr>
              <w:t>™</w:t>
            </w:r>
            <w:r w:rsidRPr="0047393D">
              <w:rPr>
                <w:rFonts w:cs="Arial"/>
                <w:b w:val="0"/>
                <w:color w:val="000000"/>
                <w:sz w:val="18"/>
                <w:szCs w:val="18"/>
                <w:lang w:eastAsia="en-GB" w:bidi="ar-SA"/>
              </w:rPr>
              <w:t xml:space="preserve"> Oat &amp; Almond Milk #</w:t>
            </w:r>
          </w:p>
        </w:tc>
        <w:tc>
          <w:tcPr>
            <w:tcW w:w="680" w:type="dxa"/>
            <w:tcBorders>
              <w:top w:val="single" w:sz="8" w:space="0" w:color="auto"/>
              <w:left w:val="single" w:sz="8" w:space="0" w:color="auto"/>
              <w:bottom w:val="single" w:sz="8" w:space="0" w:color="auto"/>
              <w:right w:val="single" w:sz="8" w:space="0" w:color="auto"/>
            </w:tcBorders>
            <w:shd w:val="clear" w:color="auto" w:fill="B8CCE4" w:themeFill="accent1" w:themeFillTint="66"/>
            <w:textDirection w:val="btLr"/>
            <w:vAlign w:val="center"/>
            <w:hideMark/>
          </w:tcPr>
          <w:p w14:paraId="4D6F59B0" w14:textId="264AA19C"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So Good</w:t>
            </w:r>
            <w:r w:rsidR="00916F87">
              <w:rPr>
                <w:rFonts w:cs="Arial"/>
                <w:b w:val="0"/>
                <w:color w:val="000000"/>
                <w:sz w:val="18"/>
                <w:szCs w:val="18"/>
                <w:lang w:eastAsia="en-GB" w:bidi="ar-SA"/>
              </w:rPr>
              <w:t>™</w:t>
            </w:r>
            <w:r w:rsidRPr="0047393D">
              <w:rPr>
                <w:rFonts w:cs="Arial"/>
                <w:b w:val="0"/>
                <w:color w:val="000000"/>
                <w:sz w:val="18"/>
                <w:szCs w:val="18"/>
                <w:lang w:eastAsia="en-GB" w:bidi="ar-SA"/>
              </w:rPr>
              <w:t xml:space="preserve"> Almond &amp; Coconut Milk</w:t>
            </w:r>
            <w:r>
              <w:rPr>
                <w:rFonts w:cs="Arial"/>
                <w:b w:val="0"/>
                <w:color w:val="000000"/>
                <w:sz w:val="18"/>
                <w:szCs w:val="18"/>
                <w:lang w:eastAsia="en-GB" w:bidi="ar-SA"/>
              </w:rPr>
              <w:t xml:space="preserve"> </w:t>
            </w:r>
            <w:r w:rsidRPr="0047393D">
              <w:rPr>
                <w:rFonts w:cs="Arial"/>
                <w:b w:val="0"/>
                <w:color w:val="000000"/>
                <w:sz w:val="18"/>
                <w:szCs w:val="18"/>
                <w:lang w:eastAsia="en-GB" w:bidi="ar-SA"/>
              </w:rPr>
              <w:t>Original #</w:t>
            </w:r>
          </w:p>
        </w:tc>
        <w:tc>
          <w:tcPr>
            <w:tcW w:w="680" w:type="dxa"/>
            <w:tcBorders>
              <w:top w:val="single" w:sz="8" w:space="0" w:color="auto"/>
              <w:left w:val="single" w:sz="8" w:space="0" w:color="auto"/>
              <w:bottom w:val="single" w:sz="8" w:space="0" w:color="auto"/>
              <w:right w:val="single" w:sz="8" w:space="0" w:color="auto"/>
            </w:tcBorders>
            <w:shd w:val="clear" w:color="auto" w:fill="B8CCE4" w:themeFill="accent1" w:themeFillTint="66"/>
            <w:textDirection w:val="btLr"/>
            <w:vAlign w:val="center"/>
            <w:hideMark/>
          </w:tcPr>
          <w:p w14:paraId="43D09392" w14:textId="3D40B619"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So Good</w:t>
            </w:r>
            <w:r w:rsidR="00916F87">
              <w:rPr>
                <w:rFonts w:cs="Arial"/>
                <w:b w:val="0"/>
                <w:color w:val="000000"/>
                <w:sz w:val="18"/>
                <w:szCs w:val="18"/>
                <w:lang w:eastAsia="en-GB" w:bidi="ar-SA"/>
              </w:rPr>
              <w:t>™</w:t>
            </w:r>
            <w:r w:rsidRPr="0047393D">
              <w:rPr>
                <w:rFonts w:cs="Arial"/>
                <w:b w:val="0"/>
                <w:color w:val="000000"/>
                <w:sz w:val="18"/>
                <w:szCs w:val="18"/>
                <w:lang w:eastAsia="en-GB" w:bidi="ar-SA"/>
              </w:rPr>
              <w:t xml:space="preserve"> Almond &amp; Coconut Milk</w:t>
            </w:r>
            <w:r>
              <w:rPr>
                <w:rFonts w:cs="Arial"/>
                <w:b w:val="0"/>
                <w:color w:val="000000"/>
                <w:sz w:val="18"/>
                <w:szCs w:val="18"/>
                <w:lang w:eastAsia="en-GB" w:bidi="ar-SA"/>
              </w:rPr>
              <w:t xml:space="preserve"> </w:t>
            </w:r>
            <w:r w:rsidRPr="0047393D">
              <w:rPr>
                <w:rFonts w:cs="Arial"/>
                <w:b w:val="0"/>
                <w:color w:val="000000"/>
                <w:sz w:val="18"/>
                <w:szCs w:val="18"/>
                <w:lang w:eastAsia="en-GB" w:bidi="ar-SA"/>
              </w:rPr>
              <w:t>Unsweetened #</w:t>
            </w:r>
          </w:p>
        </w:tc>
        <w:tc>
          <w:tcPr>
            <w:tcW w:w="680" w:type="dxa"/>
            <w:tcBorders>
              <w:top w:val="single" w:sz="8" w:space="0" w:color="auto"/>
              <w:left w:val="single" w:sz="8" w:space="0" w:color="auto"/>
              <w:bottom w:val="single" w:sz="8" w:space="0" w:color="auto"/>
              <w:right w:val="single" w:sz="8" w:space="0" w:color="auto"/>
            </w:tcBorders>
            <w:shd w:val="clear" w:color="auto" w:fill="B8CCE4" w:themeFill="accent1" w:themeFillTint="66"/>
            <w:textDirection w:val="btLr"/>
            <w:vAlign w:val="center"/>
            <w:hideMark/>
          </w:tcPr>
          <w:p w14:paraId="33BA31B0" w14:textId="747D2961"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Australia's Own</w:t>
            </w:r>
            <w:r w:rsidR="00916F87">
              <w:rPr>
                <w:rFonts w:cs="Arial"/>
                <w:b w:val="0"/>
                <w:color w:val="000000"/>
                <w:sz w:val="18"/>
                <w:szCs w:val="18"/>
                <w:lang w:eastAsia="en-GB" w:bidi="ar-SA"/>
              </w:rPr>
              <w:t>™</w:t>
            </w:r>
            <w:r w:rsidRPr="0047393D">
              <w:rPr>
                <w:rFonts w:cs="Arial"/>
                <w:b w:val="0"/>
                <w:color w:val="000000"/>
                <w:sz w:val="18"/>
                <w:szCs w:val="18"/>
                <w:lang w:eastAsia="en-GB" w:bidi="ar-SA"/>
              </w:rPr>
              <w:t xml:space="preserve"> Almond &amp; Coconut Milk #</w:t>
            </w:r>
          </w:p>
        </w:tc>
        <w:tc>
          <w:tcPr>
            <w:tcW w:w="836" w:type="dxa"/>
            <w:tcBorders>
              <w:top w:val="single" w:sz="8" w:space="0" w:color="auto"/>
              <w:left w:val="single" w:sz="8" w:space="0" w:color="auto"/>
              <w:bottom w:val="single" w:sz="8" w:space="0" w:color="auto"/>
              <w:right w:val="single" w:sz="8" w:space="0" w:color="auto"/>
            </w:tcBorders>
            <w:shd w:val="clear" w:color="auto" w:fill="B8CCE4" w:themeFill="accent1" w:themeFillTint="66"/>
            <w:textDirection w:val="btLr"/>
            <w:vAlign w:val="center"/>
            <w:hideMark/>
          </w:tcPr>
          <w:p w14:paraId="09110B20" w14:textId="113AFBE5"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So Good</w:t>
            </w:r>
            <w:r w:rsidR="00916F87">
              <w:rPr>
                <w:rFonts w:cs="Arial"/>
                <w:b w:val="0"/>
                <w:color w:val="000000"/>
                <w:sz w:val="18"/>
                <w:szCs w:val="18"/>
                <w:lang w:eastAsia="en-GB" w:bidi="ar-SA"/>
              </w:rPr>
              <w:t>™</w:t>
            </w:r>
            <w:r w:rsidRPr="0047393D">
              <w:rPr>
                <w:rFonts w:cs="Arial"/>
                <w:b w:val="0"/>
                <w:color w:val="000000"/>
                <w:sz w:val="18"/>
                <w:szCs w:val="18"/>
                <w:lang w:eastAsia="en-GB" w:bidi="ar-SA"/>
              </w:rPr>
              <w:t xml:space="preserve"> Coconut Milk Original #</w:t>
            </w:r>
          </w:p>
        </w:tc>
        <w:tc>
          <w:tcPr>
            <w:tcW w:w="680" w:type="dxa"/>
            <w:tcBorders>
              <w:top w:val="single" w:sz="8" w:space="0" w:color="auto"/>
              <w:left w:val="single" w:sz="8" w:space="0" w:color="auto"/>
              <w:bottom w:val="single" w:sz="8" w:space="0" w:color="auto"/>
              <w:right w:val="single" w:sz="8" w:space="0" w:color="auto"/>
            </w:tcBorders>
            <w:shd w:val="clear" w:color="auto" w:fill="B8CCE4" w:themeFill="accent1" w:themeFillTint="66"/>
            <w:textDirection w:val="btLr"/>
            <w:vAlign w:val="center"/>
            <w:hideMark/>
          </w:tcPr>
          <w:p w14:paraId="6DE48A76" w14:textId="44E64ACF"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Vitasoy</w:t>
            </w:r>
            <w:r w:rsidR="00916F87">
              <w:rPr>
                <w:rFonts w:cs="Arial"/>
                <w:b w:val="0"/>
                <w:color w:val="000000"/>
                <w:sz w:val="18"/>
                <w:szCs w:val="18"/>
                <w:lang w:eastAsia="en-GB" w:bidi="ar-SA"/>
              </w:rPr>
              <w:t>™</w:t>
            </w:r>
            <w:r w:rsidR="00FE2CB8">
              <w:rPr>
                <w:rFonts w:cs="Arial"/>
                <w:b w:val="0"/>
                <w:color w:val="000000"/>
                <w:sz w:val="18"/>
                <w:szCs w:val="18"/>
                <w:lang w:eastAsia="en-GB" w:bidi="ar-SA"/>
              </w:rPr>
              <w:t xml:space="preserve"> </w:t>
            </w:r>
            <w:r w:rsidRPr="0047393D">
              <w:rPr>
                <w:rFonts w:cs="Arial"/>
                <w:b w:val="0"/>
                <w:color w:val="000000"/>
                <w:sz w:val="18"/>
                <w:szCs w:val="18"/>
                <w:lang w:eastAsia="en-GB" w:bidi="ar-SA"/>
              </w:rPr>
              <w:t>Coconut Milk, added calcium #</w:t>
            </w:r>
          </w:p>
        </w:tc>
        <w:tc>
          <w:tcPr>
            <w:tcW w:w="680" w:type="dxa"/>
            <w:tcBorders>
              <w:top w:val="single" w:sz="8" w:space="0" w:color="auto"/>
              <w:left w:val="single" w:sz="8" w:space="0" w:color="auto"/>
              <w:bottom w:val="single" w:sz="8" w:space="0" w:color="auto"/>
              <w:right w:val="single" w:sz="8" w:space="0" w:color="auto"/>
            </w:tcBorders>
            <w:shd w:val="clear" w:color="auto" w:fill="B8CCE4" w:themeFill="accent1" w:themeFillTint="66"/>
            <w:textDirection w:val="btLr"/>
            <w:vAlign w:val="center"/>
            <w:hideMark/>
          </w:tcPr>
          <w:p w14:paraId="73A0C7C7" w14:textId="6F700298"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Pure Harvest</w:t>
            </w:r>
            <w:r w:rsidR="00916F87">
              <w:rPr>
                <w:rFonts w:cs="Arial"/>
                <w:b w:val="0"/>
                <w:color w:val="000000"/>
                <w:sz w:val="18"/>
                <w:szCs w:val="18"/>
                <w:lang w:eastAsia="en-GB" w:bidi="ar-SA"/>
              </w:rPr>
              <w:t>™</w:t>
            </w:r>
            <w:r w:rsidRPr="0047393D">
              <w:rPr>
                <w:rFonts w:cs="Arial"/>
                <w:b w:val="0"/>
                <w:color w:val="000000"/>
                <w:sz w:val="18"/>
                <w:szCs w:val="18"/>
                <w:lang w:eastAsia="en-GB" w:bidi="ar-SA"/>
              </w:rPr>
              <w:t xml:space="preserve"> Coco Quench Coconut Milk #</w:t>
            </w:r>
          </w:p>
        </w:tc>
        <w:tc>
          <w:tcPr>
            <w:tcW w:w="680" w:type="dxa"/>
            <w:tcBorders>
              <w:top w:val="single" w:sz="8" w:space="0" w:color="auto"/>
              <w:left w:val="single" w:sz="8" w:space="0" w:color="auto"/>
              <w:bottom w:val="single" w:sz="8" w:space="0" w:color="auto"/>
              <w:right w:val="single" w:sz="8" w:space="0" w:color="auto"/>
            </w:tcBorders>
            <w:shd w:val="clear" w:color="auto" w:fill="B8CCE4" w:themeFill="accent1" w:themeFillTint="66"/>
            <w:textDirection w:val="btLr"/>
            <w:vAlign w:val="center"/>
            <w:hideMark/>
          </w:tcPr>
          <w:p w14:paraId="7A1D0152" w14:textId="60FA8C49"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Silk</w:t>
            </w:r>
            <w:r w:rsidR="00916F87">
              <w:rPr>
                <w:rFonts w:cs="Arial"/>
                <w:b w:val="0"/>
                <w:color w:val="000000"/>
                <w:sz w:val="18"/>
                <w:szCs w:val="18"/>
                <w:lang w:eastAsia="en-GB" w:bidi="ar-SA"/>
              </w:rPr>
              <w:t xml:space="preserve">™ </w:t>
            </w:r>
            <w:r w:rsidRPr="0047393D">
              <w:rPr>
                <w:rFonts w:cs="Arial"/>
                <w:b w:val="0"/>
                <w:color w:val="000000"/>
                <w:sz w:val="18"/>
                <w:szCs w:val="18"/>
                <w:lang w:eastAsia="en-GB" w:bidi="ar-SA"/>
              </w:rPr>
              <w:t>Original Coconut Milk (non- Australian/NZ) #</w:t>
            </w:r>
          </w:p>
        </w:tc>
        <w:tc>
          <w:tcPr>
            <w:tcW w:w="680" w:type="dxa"/>
            <w:tcBorders>
              <w:top w:val="single" w:sz="8" w:space="0" w:color="auto"/>
              <w:left w:val="single" w:sz="8" w:space="0" w:color="auto"/>
              <w:bottom w:val="single" w:sz="8" w:space="0" w:color="auto"/>
              <w:right w:val="single" w:sz="8" w:space="0" w:color="auto"/>
            </w:tcBorders>
            <w:shd w:val="clear" w:color="auto" w:fill="B8CCE4" w:themeFill="accent1" w:themeFillTint="66"/>
            <w:textDirection w:val="btLr"/>
            <w:vAlign w:val="center"/>
            <w:hideMark/>
          </w:tcPr>
          <w:p w14:paraId="45C89383" w14:textId="3F3CA7EE" w:rsidR="006B2784" w:rsidRPr="0047393D"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7393D">
              <w:rPr>
                <w:rFonts w:cs="Arial"/>
                <w:b w:val="0"/>
                <w:color w:val="000000"/>
                <w:sz w:val="18"/>
                <w:szCs w:val="18"/>
                <w:lang w:eastAsia="en-GB" w:bidi="ar-SA"/>
              </w:rPr>
              <w:t>Australia's Own</w:t>
            </w:r>
            <w:r w:rsidR="00916F87">
              <w:rPr>
                <w:rFonts w:cs="Arial"/>
                <w:b w:val="0"/>
                <w:color w:val="000000"/>
                <w:sz w:val="18"/>
                <w:szCs w:val="18"/>
                <w:lang w:eastAsia="en-GB" w:bidi="ar-SA"/>
              </w:rPr>
              <w:t>™</w:t>
            </w:r>
            <w:r w:rsidRPr="0047393D">
              <w:rPr>
                <w:rFonts w:cs="Arial"/>
                <w:b w:val="0"/>
                <w:color w:val="000000"/>
                <w:sz w:val="18"/>
                <w:szCs w:val="18"/>
                <w:lang w:eastAsia="en-GB" w:bidi="ar-SA"/>
              </w:rPr>
              <w:t xml:space="preserve"> Macadamia Milk #</w:t>
            </w:r>
          </w:p>
        </w:tc>
        <w:tc>
          <w:tcPr>
            <w:tcW w:w="680" w:type="dxa"/>
            <w:tcBorders>
              <w:top w:val="single" w:sz="8" w:space="0" w:color="auto"/>
              <w:left w:val="single" w:sz="8" w:space="0" w:color="auto"/>
              <w:bottom w:val="single" w:sz="8" w:space="0" w:color="auto"/>
              <w:right w:val="single" w:sz="8" w:space="0" w:color="auto"/>
            </w:tcBorders>
            <w:shd w:val="clear" w:color="auto" w:fill="B8CCE4" w:themeFill="accent1" w:themeFillTint="66"/>
            <w:textDirection w:val="btLr"/>
            <w:vAlign w:val="center"/>
            <w:hideMark/>
          </w:tcPr>
          <w:p w14:paraId="3ACFD1A5" w14:textId="0BEE32FC" w:rsidR="006B2784" w:rsidRPr="004C20FC"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C20FC">
              <w:rPr>
                <w:rFonts w:cs="Arial"/>
                <w:b w:val="0"/>
                <w:color w:val="000000"/>
                <w:sz w:val="18"/>
                <w:szCs w:val="18"/>
                <w:lang w:eastAsia="en-GB" w:bidi="ar-SA"/>
              </w:rPr>
              <w:t>EcoMil</w:t>
            </w:r>
            <w:r w:rsidR="00916F87" w:rsidRPr="004C20FC">
              <w:rPr>
                <w:rFonts w:cs="Arial"/>
                <w:color w:val="000000"/>
                <w:sz w:val="18"/>
                <w:szCs w:val="18"/>
                <w:lang w:eastAsia="en-GB" w:bidi="ar-SA"/>
              </w:rPr>
              <w:t>™</w:t>
            </w:r>
            <w:r w:rsidRPr="004C20FC">
              <w:rPr>
                <w:rFonts w:cs="Arial"/>
                <w:b w:val="0"/>
                <w:color w:val="000000"/>
                <w:sz w:val="18"/>
                <w:szCs w:val="18"/>
                <w:lang w:eastAsia="en-GB" w:bidi="ar-SA"/>
              </w:rPr>
              <w:t xml:space="preserve"> Sesame Milk (non- Australian/NZ) #</w:t>
            </w:r>
          </w:p>
        </w:tc>
        <w:tc>
          <w:tcPr>
            <w:tcW w:w="680" w:type="dxa"/>
            <w:tcBorders>
              <w:top w:val="single" w:sz="8" w:space="0" w:color="auto"/>
              <w:left w:val="single" w:sz="8" w:space="0" w:color="auto"/>
              <w:bottom w:val="single" w:sz="8" w:space="0" w:color="auto"/>
              <w:right w:val="single" w:sz="8" w:space="0" w:color="auto"/>
            </w:tcBorders>
            <w:shd w:val="clear" w:color="auto" w:fill="B8CCE4" w:themeFill="accent1" w:themeFillTint="66"/>
            <w:textDirection w:val="btLr"/>
            <w:vAlign w:val="center"/>
            <w:hideMark/>
          </w:tcPr>
          <w:p w14:paraId="51AA849A" w14:textId="78D4007F" w:rsidR="006B2784" w:rsidRPr="004C20FC"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C20FC">
              <w:rPr>
                <w:rFonts w:cs="Arial"/>
                <w:b w:val="0"/>
                <w:color w:val="000000"/>
                <w:sz w:val="18"/>
                <w:szCs w:val="18"/>
                <w:lang w:eastAsia="en-GB" w:bidi="ar-SA"/>
              </w:rPr>
              <w:t>SoL</w:t>
            </w:r>
            <w:r w:rsidR="00916F87" w:rsidRPr="004C20FC">
              <w:rPr>
                <w:rFonts w:cs="Arial"/>
                <w:color w:val="000000"/>
                <w:sz w:val="18"/>
                <w:szCs w:val="18"/>
                <w:lang w:eastAsia="en-GB" w:bidi="ar-SA"/>
              </w:rPr>
              <w:t>™</w:t>
            </w:r>
            <w:r w:rsidRPr="004C20FC">
              <w:rPr>
                <w:rFonts w:cs="Arial"/>
                <w:b w:val="0"/>
                <w:color w:val="000000"/>
                <w:sz w:val="18"/>
                <w:szCs w:val="18"/>
                <w:lang w:eastAsia="en-GB" w:bidi="ar-SA"/>
              </w:rPr>
              <w:t xml:space="preserve"> Sunflower Beverage (non- Australian/NZ) #</w:t>
            </w:r>
          </w:p>
        </w:tc>
        <w:tc>
          <w:tcPr>
            <w:tcW w:w="680" w:type="dxa"/>
            <w:tcBorders>
              <w:top w:val="single" w:sz="8" w:space="0" w:color="auto"/>
              <w:left w:val="single" w:sz="8" w:space="0" w:color="auto"/>
              <w:bottom w:val="single" w:sz="8" w:space="0" w:color="auto"/>
              <w:right w:val="single" w:sz="8" w:space="0" w:color="auto"/>
            </w:tcBorders>
            <w:shd w:val="clear" w:color="auto" w:fill="B8CCE4" w:themeFill="accent1" w:themeFillTint="66"/>
            <w:textDirection w:val="btLr"/>
            <w:vAlign w:val="center"/>
            <w:hideMark/>
          </w:tcPr>
          <w:p w14:paraId="15ADE3BC" w14:textId="47F6820D" w:rsidR="006B2784" w:rsidRPr="004C20FC" w:rsidRDefault="006B2784" w:rsidP="00D20A1E">
            <w:pPr>
              <w:widowControl/>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szCs w:val="18"/>
                <w:lang w:eastAsia="en-GB" w:bidi="ar-SA"/>
              </w:rPr>
            </w:pPr>
            <w:r w:rsidRPr="004C20FC">
              <w:rPr>
                <w:rFonts w:cs="Arial"/>
                <w:b w:val="0"/>
                <w:color w:val="000000"/>
                <w:sz w:val="18"/>
                <w:szCs w:val="18"/>
                <w:lang w:eastAsia="en-GB" w:bidi="ar-SA"/>
              </w:rPr>
              <w:t>Alpro</w:t>
            </w:r>
            <w:r w:rsidR="00D05C8A" w:rsidRPr="004C20FC">
              <w:rPr>
                <w:rFonts w:cs="Arial"/>
                <w:color w:val="000000"/>
                <w:sz w:val="18"/>
                <w:szCs w:val="18"/>
                <w:lang w:eastAsia="en-GB" w:bidi="ar-SA"/>
              </w:rPr>
              <w:t>™</w:t>
            </w:r>
            <w:r w:rsidRPr="004C20FC">
              <w:rPr>
                <w:rFonts w:cs="Arial"/>
                <w:b w:val="0"/>
                <w:color w:val="000000"/>
                <w:sz w:val="18"/>
                <w:szCs w:val="18"/>
                <w:lang w:eastAsia="en-GB" w:bidi="ar-SA"/>
              </w:rPr>
              <w:t xml:space="preserve"> Hazelnut Drink (non- Australian/NZ) #</w:t>
            </w:r>
          </w:p>
        </w:tc>
      </w:tr>
      <w:tr w:rsidR="006B2784" w:rsidRPr="0047393D" w14:paraId="5D7DF3F7" w14:textId="77777777" w:rsidTr="00932BF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98" w:type="dxa"/>
            <w:tcBorders>
              <w:top w:val="single" w:sz="8" w:space="0" w:color="auto"/>
              <w:left w:val="none" w:sz="0" w:space="0" w:color="auto"/>
              <w:right w:val="none" w:sz="0" w:space="0" w:color="auto"/>
            </w:tcBorders>
            <w:shd w:val="clear" w:color="auto" w:fill="auto"/>
            <w:vAlign w:val="center"/>
            <w:hideMark/>
          </w:tcPr>
          <w:p w14:paraId="5029F9D9"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Energy (kJ)</w:t>
            </w:r>
          </w:p>
        </w:tc>
        <w:tc>
          <w:tcPr>
            <w:tcW w:w="806" w:type="dxa"/>
            <w:tcBorders>
              <w:top w:val="single" w:sz="8" w:space="0" w:color="auto"/>
              <w:left w:val="none" w:sz="0" w:space="0" w:color="auto"/>
              <w:right w:val="none" w:sz="0" w:space="0" w:color="auto"/>
            </w:tcBorders>
            <w:shd w:val="clear" w:color="auto" w:fill="auto"/>
            <w:vAlign w:val="center"/>
          </w:tcPr>
          <w:p w14:paraId="7562D1CB" w14:textId="77777777" w:rsidR="006B2784" w:rsidRPr="00566986"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281</w:t>
            </w:r>
          </w:p>
        </w:tc>
        <w:tc>
          <w:tcPr>
            <w:tcW w:w="806" w:type="dxa"/>
            <w:tcBorders>
              <w:top w:val="single" w:sz="8" w:space="0" w:color="auto"/>
              <w:left w:val="none" w:sz="0" w:space="0" w:color="auto"/>
              <w:right w:val="none" w:sz="0" w:space="0" w:color="auto"/>
            </w:tcBorders>
            <w:shd w:val="clear" w:color="auto" w:fill="auto"/>
            <w:vAlign w:val="center"/>
            <w:hideMark/>
          </w:tcPr>
          <w:p w14:paraId="6B17626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256</w:t>
            </w:r>
          </w:p>
        </w:tc>
        <w:tc>
          <w:tcPr>
            <w:tcW w:w="680" w:type="dxa"/>
            <w:tcBorders>
              <w:top w:val="single" w:sz="8" w:space="0" w:color="auto"/>
              <w:left w:val="none" w:sz="0" w:space="0" w:color="auto"/>
              <w:right w:val="none" w:sz="0" w:space="0" w:color="auto"/>
            </w:tcBorders>
            <w:shd w:val="clear" w:color="auto" w:fill="auto"/>
            <w:vAlign w:val="center"/>
            <w:hideMark/>
          </w:tcPr>
          <w:p w14:paraId="7B2663B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332</w:t>
            </w:r>
          </w:p>
        </w:tc>
        <w:tc>
          <w:tcPr>
            <w:tcW w:w="680" w:type="dxa"/>
            <w:tcBorders>
              <w:top w:val="single" w:sz="8" w:space="0" w:color="auto"/>
              <w:left w:val="none" w:sz="0" w:space="0" w:color="auto"/>
              <w:right w:val="none" w:sz="0" w:space="0" w:color="auto"/>
            </w:tcBorders>
            <w:shd w:val="clear" w:color="auto" w:fill="auto"/>
            <w:vAlign w:val="center"/>
            <w:hideMark/>
          </w:tcPr>
          <w:p w14:paraId="0ACCC8D7"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113</w:t>
            </w:r>
          </w:p>
        </w:tc>
        <w:tc>
          <w:tcPr>
            <w:tcW w:w="680" w:type="dxa"/>
            <w:tcBorders>
              <w:top w:val="single" w:sz="8" w:space="0" w:color="auto"/>
              <w:left w:val="none" w:sz="0" w:space="0" w:color="auto"/>
              <w:right w:val="none" w:sz="0" w:space="0" w:color="auto"/>
            </w:tcBorders>
            <w:shd w:val="clear" w:color="auto" w:fill="auto"/>
            <w:vAlign w:val="center"/>
            <w:hideMark/>
          </w:tcPr>
          <w:p w14:paraId="6D4193BB"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70</w:t>
            </w:r>
          </w:p>
        </w:tc>
        <w:tc>
          <w:tcPr>
            <w:tcW w:w="680" w:type="dxa"/>
            <w:tcBorders>
              <w:top w:val="single" w:sz="8" w:space="0" w:color="auto"/>
              <w:left w:val="none" w:sz="0" w:space="0" w:color="auto"/>
              <w:right w:val="none" w:sz="0" w:space="0" w:color="auto"/>
            </w:tcBorders>
            <w:shd w:val="clear" w:color="auto" w:fill="auto"/>
            <w:vAlign w:val="center"/>
            <w:hideMark/>
          </w:tcPr>
          <w:p w14:paraId="07CD4C8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272</w:t>
            </w:r>
          </w:p>
        </w:tc>
        <w:tc>
          <w:tcPr>
            <w:tcW w:w="836" w:type="dxa"/>
            <w:tcBorders>
              <w:top w:val="single" w:sz="8" w:space="0" w:color="auto"/>
              <w:left w:val="none" w:sz="0" w:space="0" w:color="auto"/>
              <w:right w:val="none" w:sz="0" w:space="0" w:color="auto"/>
            </w:tcBorders>
            <w:shd w:val="clear" w:color="auto" w:fill="auto"/>
            <w:vAlign w:val="center"/>
            <w:hideMark/>
          </w:tcPr>
          <w:p w14:paraId="69FE41A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lang w:eastAsia="en-GB" w:bidi="ar-SA"/>
              </w:rPr>
            </w:pPr>
            <w:r w:rsidRPr="0047393D">
              <w:rPr>
                <w:rFonts w:cs="Arial"/>
                <w:color w:val="auto"/>
                <w:sz w:val="18"/>
                <w:szCs w:val="18"/>
                <w:lang w:eastAsia="en-GB" w:bidi="ar-SA"/>
              </w:rPr>
              <w:t>183</w:t>
            </w:r>
          </w:p>
        </w:tc>
        <w:tc>
          <w:tcPr>
            <w:tcW w:w="680" w:type="dxa"/>
            <w:tcBorders>
              <w:top w:val="single" w:sz="8" w:space="0" w:color="auto"/>
              <w:left w:val="none" w:sz="0" w:space="0" w:color="auto"/>
              <w:right w:val="none" w:sz="0" w:space="0" w:color="auto"/>
            </w:tcBorders>
            <w:shd w:val="clear" w:color="auto" w:fill="auto"/>
            <w:vAlign w:val="center"/>
            <w:hideMark/>
          </w:tcPr>
          <w:p w14:paraId="5A2925E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lang w:eastAsia="en-GB" w:bidi="ar-SA"/>
              </w:rPr>
            </w:pPr>
            <w:r w:rsidRPr="0047393D">
              <w:rPr>
                <w:rFonts w:cs="Arial"/>
                <w:color w:val="auto"/>
                <w:sz w:val="18"/>
                <w:szCs w:val="18"/>
                <w:lang w:eastAsia="en-GB" w:bidi="ar-SA"/>
              </w:rPr>
              <w:t>124</w:t>
            </w:r>
          </w:p>
        </w:tc>
        <w:tc>
          <w:tcPr>
            <w:tcW w:w="680" w:type="dxa"/>
            <w:tcBorders>
              <w:top w:val="single" w:sz="8" w:space="0" w:color="auto"/>
              <w:left w:val="none" w:sz="0" w:space="0" w:color="auto"/>
              <w:right w:val="none" w:sz="0" w:space="0" w:color="auto"/>
            </w:tcBorders>
            <w:shd w:val="clear" w:color="auto" w:fill="auto"/>
            <w:vAlign w:val="center"/>
            <w:hideMark/>
          </w:tcPr>
          <w:p w14:paraId="77A06D1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262</w:t>
            </w:r>
          </w:p>
        </w:tc>
        <w:tc>
          <w:tcPr>
            <w:tcW w:w="680" w:type="dxa"/>
            <w:tcBorders>
              <w:top w:val="single" w:sz="8" w:space="0" w:color="auto"/>
              <w:left w:val="none" w:sz="0" w:space="0" w:color="auto"/>
              <w:right w:val="none" w:sz="0" w:space="0" w:color="auto"/>
            </w:tcBorders>
            <w:shd w:val="clear" w:color="auto" w:fill="auto"/>
            <w:vAlign w:val="center"/>
            <w:hideMark/>
          </w:tcPr>
          <w:p w14:paraId="608587C2"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140</w:t>
            </w:r>
          </w:p>
        </w:tc>
        <w:tc>
          <w:tcPr>
            <w:tcW w:w="680" w:type="dxa"/>
            <w:tcBorders>
              <w:top w:val="single" w:sz="8" w:space="0" w:color="auto"/>
              <w:left w:val="none" w:sz="0" w:space="0" w:color="auto"/>
              <w:right w:val="none" w:sz="0" w:space="0" w:color="auto"/>
            </w:tcBorders>
            <w:shd w:val="clear" w:color="auto" w:fill="auto"/>
            <w:vAlign w:val="center"/>
            <w:hideMark/>
          </w:tcPr>
          <w:p w14:paraId="7DB6021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121</w:t>
            </w:r>
          </w:p>
        </w:tc>
        <w:tc>
          <w:tcPr>
            <w:tcW w:w="680" w:type="dxa"/>
            <w:tcBorders>
              <w:top w:val="single" w:sz="8" w:space="0" w:color="auto"/>
              <w:left w:val="none" w:sz="0" w:space="0" w:color="auto"/>
              <w:right w:val="none" w:sz="0" w:space="0" w:color="auto"/>
            </w:tcBorders>
            <w:shd w:val="clear" w:color="auto" w:fill="auto"/>
            <w:vAlign w:val="center"/>
            <w:hideMark/>
          </w:tcPr>
          <w:p w14:paraId="4A7B9D7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214</w:t>
            </w:r>
          </w:p>
        </w:tc>
        <w:tc>
          <w:tcPr>
            <w:tcW w:w="680" w:type="dxa"/>
            <w:tcBorders>
              <w:top w:val="single" w:sz="8" w:space="0" w:color="auto"/>
              <w:left w:val="none" w:sz="0" w:space="0" w:color="auto"/>
              <w:right w:val="none" w:sz="0" w:space="0" w:color="auto"/>
            </w:tcBorders>
            <w:shd w:val="clear" w:color="auto" w:fill="auto"/>
            <w:vAlign w:val="center"/>
            <w:hideMark/>
          </w:tcPr>
          <w:p w14:paraId="035518BB"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122</w:t>
            </w:r>
          </w:p>
        </w:tc>
        <w:tc>
          <w:tcPr>
            <w:tcW w:w="680" w:type="dxa"/>
            <w:tcBorders>
              <w:top w:val="single" w:sz="8" w:space="0" w:color="auto"/>
              <w:left w:val="none" w:sz="0" w:space="0" w:color="auto"/>
              <w:right w:val="none" w:sz="0" w:space="0" w:color="auto"/>
            </w:tcBorders>
            <w:shd w:val="clear" w:color="auto" w:fill="auto"/>
            <w:vAlign w:val="center"/>
            <w:hideMark/>
          </w:tcPr>
          <w:p w14:paraId="72A27561"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121</w:t>
            </w:r>
          </w:p>
        </w:tc>
      </w:tr>
      <w:tr w:rsidR="006B2784" w:rsidRPr="0047393D" w14:paraId="7198DA9D" w14:textId="77777777" w:rsidTr="00577EF3">
        <w:trPr>
          <w:trHeight w:val="315"/>
        </w:trPr>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center"/>
            <w:hideMark/>
          </w:tcPr>
          <w:p w14:paraId="44052086"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Protein (g)</w:t>
            </w:r>
          </w:p>
        </w:tc>
        <w:tc>
          <w:tcPr>
            <w:tcW w:w="806" w:type="dxa"/>
            <w:shd w:val="clear" w:color="auto" w:fill="auto"/>
            <w:vAlign w:val="center"/>
          </w:tcPr>
          <w:p w14:paraId="13BD8DB3" w14:textId="77777777" w:rsidR="006B2784" w:rsidRPr="00566986"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3.4</w:t>
            </w:r>
          </w:p>
        </w:tc>
        <w:tc>
          <w:tcPr>
            <w:tcW w:w="806" w:type="dxa"/>
            <w:shd w:val="clear" w:color="auto" w:fill="auto"/>
            <w:vAlign w:val="center"/>
            <w:hideMark/>
          </w:tcPr>
          <w:p w14:paraId="69F1B76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3.0</w:t>
            </w:r>
          </w:p>
        </w:tc>
        <w:tc>
          <w:tcPr>
            <w:tcW w:w="680" w:type="dxa"/>
            <w:shd w:val="clear" w:color="auto" w:fill="auto"/>
            <w:vAlign w:val="center"/>
            <w:hideMark/>
          </w:tcPr>
          <w:p w14:paraId="7916178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1.0</w:t>
            </w:r>
          </w:p>
        </w:tc>
        <w:tc>
          <w:tcPr>
            <w:tcW w:w="680" w:type="dxa"/>
            <w:shd w:val="clear" w:color="auto" w:fill="auto"/>
            <w:vAlign w:val="center"/>
            <w:hideMark/>
          </w:tcPr>
          <w:p w14:paraId="5F9079F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0.5</w:t>
            </w:r>
          </w:p>
        </w:tc>
        <w:tc>
          <w:tcPr>
            <w:tcW w:w="680" w:type="dxa"/>
            <w:shd w:val="clear" w:color="auto" w:fill="auto"/>
            <w:vAlign w:val="center"/>
            <w:hideMark/>
          </w:tcPr>
          <w:p w14:paraId="44A3EB4C"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0.6</w:t>
            </w:r>
          </w:p>
        </w:tc>
        <w:tc>
          <w:tcPr>
            <w:tcW w:w="680" w:type="dxa"/>
            <w:shd w:val="clear" w:color="auto" w:fill="auto"/>
            <w:vAlign w:val="center"/>
            <w:hideMark/>
          </w:tcPr>
          <w:p w14:paraId="5F86920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0.6</w:t>
            </w:r>
          </w:p>
        </w:tc>
        <w:tc>
          <w:tcPr>
            <w:tcW w:w="836" w:type="dxa"/>
            <w:shd w:val="clear" w:color="auto" w:fill="auto"/>
            <w:vAlign w:val="center"/>
            <w:hideMark/>
          </w:tcPr>
          <w:p w14:paraId="489D2B6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lang w:eastAsia="en-GB" w:bidi="ar-SA"/>
              </w:rPr>
            </w:pPr>
            <w:r w:rsidRPr="0047393D">
              <w:rPr>
                <w:rFonts w:cs="Arial"/>
                <w:color w:val="auto"/>
                <w:sz w:val="18"/>
                <w:szCs w:val="18"/>
                <w:lang w:eastAsia="en-GB" w:bidi="ar-SA"/>
              </w:rPr>
              <w:t>0.2</w:t>
            </w:r>
          </w:p>
        </w:tc>
        <w:tc>
          <w:tcPr>
            <w:tcW w:w="680" w:type="dxa"/>
            <w:shd w:val="clear" w:color="auto" w:fill="auto"/>
            <w:vAlign w:val="center"/>
            <w:hideMark/>
          </w:tcPr>
          <w:p w14:paraId="5097CB5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lang w:eastAsia="en-GB" w:bidi="ar-SA"/>
              </w:rPr>
            </w:pPr>
            <w:r w:rsidRPr="0047393D">
              <w:rPr>
                <w:rFonts w:cs="Arial"/>
                <w:color w:val="auto"/>
                <w:sz w:val="18"/>
                <w:szCs w:val="18"/>
                <w:lang w:eastAsia="en-GB" w:bidi="ar-SA"/>
              </w:rPr>
              <w:t>0.15</w:t>
            </w:r>
          </w:p>
        </w:tc>
        <w:tc>
          <w:tcPr>
            <w:tcW w:w="680" w:type="dxa"/>
            <w:shd w:val="clear" w:color="auto" w:fill="auto"/>
            <w:vAlign w:val="center"/>
            <w:hideMark/>
          </w:tcPr>
          <w:p w14:paraId="6A6195A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0.6</w:t>
            </w:r>
          </w:p>
        </w:tc>
        <w:tc>
          <w:tcPr>
            <w:tcW w:w="680" w:type="dxa"/>
            <w:shd w:val="clear" w:color="auto" w:fill="auto"/>
            <w:vAlign w:val="center"/>
            <w:hideMark/>
          </w:tcPr>
          <w:p w14:paraId="3CB75D4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80" w:type="dxa"/>
            <w:shd w:val="clear" w:color="auto" w:fill="auto"/>
            <w:vAlign w:val="center"/>
            <w:hideMark/>
          </w:tcPr>
          <w:p w14:paraId="6182EB7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0.2</w:t>
            </w:r>
          </w:p>
        </w:tc>
        <w:tc>
          <w:tcPr>
            <w:tcW w:w="680" w:type="dxa"/>
            <w:shd w:val="clear" w:color="auto" w:fill="auto"/>
            <w:vAlign w:val="center"/>
            <w:hideMark/>
          </w:tcPr>
          <w:p w14:paraId="76906A01"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0.6</w:t>
            </w:r>
          </w:p>
        </w:tc>
        <w:tc>
          <w:tcPr>
            <w:tcW w:w="680" w:type="dxa"/>
            <w:shd w:val="clear" w:color="auto" w:fill="auto"/>
            <w:vAlign w:val="center"/>
            <w:hideMark/>
          </w:tcPr>
          <w:p w14:paraId="1D3F9B8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0.4</w:t>
            </w:r>
          </w:p>
        </w:tc>
        <w:tc>
          <w:tcPr>
            <w:tcW w:w="680" w:type="dxa"/>
            <w:shd w:val="clear" w:color="auto" w:fill="auto"/>
            <w:vAlign w:val="center"/>
            <w:hideMark/>
          </w:tcPr>
          <w:p w14:paraId="2C3E6AE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0.4</w:t>
            </w:r>
          </w:p>
        </w:tc>
      </w:tr>
      <w:tr w:rsidR="006B2784" w:rsidRPr="0047393D" w14:paraId="04DACF7E" w14:textId="77777777" w:rsidTr="00686E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8" w:type="dxa"/>
            <w:tcBorders>
              <w:left w:val="none" w:sz="0" w:space="0" w:color="auto"/>
              <w:right w:val="none" w:sz="0" w:space="0" w:color="auto"/>
            </w:tcBorders>
            <w:shd w:val="clear" w:color="auto" w:fill="auto"/>
            <w:vAlign w:val="center"/>
            <w:hideMark/>
          </w:tcPr>
          <w:p w14:paraId="1007B50B"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Total fat (g)</w:t>
            </w:r>
          </w:p>
        </w:tc>
        <w:tc>
          <w:tcPr>
            <w:tcW w:w="806" w:type="dxa"/>
            <w:tcBorders>
              <w:left w:val="none" w:sz="0" w:space="0" w:color="auto"/>
              <w:right w:val="none" w:sz="0" w:space="0" w:color="auto"/>
            </w:tcBorders>
            <w:shd w:val="clear" w:color="auto" w:fill="auto"/>
            <w:vAlign w:val="center"/>
          </w:tcPr>
          <w:p w14:paraId="12B93227" w14:textId="77777777" w:rsidR="006B2784" w:rsidRPr="00566986"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3.4</w:t>
            </w:r>
          </w:p>
        </w:tc>
        <w:tc>
          <w:tcPr>
            <w:tcW w:w="806" w:type="dxa"/>
            <w:tcBorders>
              <w:left w:val="none" w:sz="0" w:space="0" w:color="auto"/>
              <w:right w:val="none" w:sz="0" w:space="0" w:color="auto"/>
            </w:tcBorders>
            <w:shd w:val="clear" w:color="auto" w:fill="auto"/>
            <w:vAlign w:val="center"/>
            <w:hideMark/>
          </w:tcPr>
          <w:p w14:paraId="65C5BCC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3.0</w:t>
            </w:r>
          </w:p>
        </w:tc>
        <w:tc>
          <w:tcPr>
            <w:tcW w:w="680" w:type="dxa"/>
            <w:tcBorders>
              <w:left w:val="none" w:sz="0" w:space="0" w:color="auto"/>
              <w:right w:val="none" w:sz="0" w:space="0" w:color="auto"/>
            </w:tcBorders>
            <w:shd w:val="clear" w:color="auto" w:fill="auto"/>
            <w:vAlign w:val="center"/>
            <w:hideMark/>
          </w:tcPr>
          <w:p w14:paraId="6DE7605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2.8</w:t>
            </w:r>
          </w:p>
        </w:tc>
        <w:tc>
          <w:tcPr>
            <w:tcW w:w="680" w:type="dxa"/>
            <w:tcBorders>
              <w:left w:val="none" w:sz="0" w:space="0" w:color="auto"/>
              <w:right w:val="none" w:sz="0" w:space="0" w:color="auto"/>
            </w:tcBorders>
            <w:shd w:val="clear" w:color="auto" w:fill="auto"/>
            <w:vAlign w:val="center"/>
            <w:hideMark/>
          </w:tcPr>
          <w:p w14:paraId="6067480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1.5</w:t>
            </w:r>
          </w:p>
        </w:tc>
        <w:tc>
          <w:tcPr>
            <w:tcW w:w="680" w:type="dxa"/>
            <w:tcBorders>
              <w:left w:val="none" w:sz="0" w:space="0" w:color="auto"/>
              <w:right w:val="none" w:sz="0" w:space="0" w:color="auto"/>
            </w:tcBorders>
            <w:shd w:val="clear" w:color="auto" w:fill="auto"/>
            <w:vAlign w:val="center"/>
            <w:hideMark/>
          </w:tcPr>
          <w:p w14:paraId="7543731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1.4</w:t>
            </w:r>
          </w:p>
        </w:tc>
        <w:tc>
          <w:tcPr>
            <w:tcW w:w="680" w:type="dxa"/>
            <w:tcBorders>
              <w:left w:val="none" w:sz="0" w:space="0" w:color="auto"/>
              <w:right w:val="none" w:sz="0" w:space="0" w:color="auto"/>
            </w:tcBorders>
            <w:shd w:val="clear" w:color="auto" w:fill="auto"/>
            <w:vAlign w:val="center"/>
            <w:hideMark/>
          </w:tcPr>
          <w:p w14:paraId="37A2E97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1.9</w:t>
            </w:r>
          </w:p>
        </w:tc>
        <w:tc>
          <w:tcPr>
            <w:tcW w:w="836" w:type="dxa"/>
            <w:tcBorders>
              <w:left w:val="none" w:sz="0" w:space="0" w:color="auto"/>
              <w:right w:val="none" w:sz="0" w:space="0" w:color="auto"/>
            </w:tcBorders>
            <w:shd w:val="clear" w:color="auto" w:fill="auto"/>
            <w:vAlign w:val="center"/>
            <w:hideMark/>
          </w:tcPr>
          <w:p w14:paraId="7FE31ED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lang w:eastAsia="en-GB" w:bidi="ar-SA"/>
              </w:rPr>
            </w:pPr>
            <w:r w:rsidRPr="0047393D">
              <w:rPr>
                <w:rFonts w:cs="Arial"/>
                <w:color w:val="auto"/>
                <w:sz w:val="18"/>
                <w:szCs w:val="18"/>
                <w:lang w:eastAsia="en-GB" w:bidi="ar-SA"/>
              </w:rPr>
              <w:t>3.4</w:t>
            </w:r>
          </w:p>
        </w:tc>
        <w:tc>
          <w:tcPr>
            <w:tcW w:w="680" w:type="dxa"/>
            <w:tcBorders>
              <w:left w:val="none" w:sz="0" w:space="0" w:color="auto"/>
              <w:right w:val="none" w:sz="0" w:space="0" w:color="auto"/>
            </w:tcBorders>
            <w:shd w:val="clear" w:color="auto" w:fill="auto"/>
            <w:vAlign w:val="center"/>
            <w:hideMark/>
          </w:tcPr>
          <w:p w14:paraId="47242408"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lang w:eastAsia="en-GB" w:bidi="ar-SA"/>
              </w:rPr>
            </w:pPr>
            <w:r w:rsidRPr="0047393D">
              <w:rPr>
                <w:rFonts w:cs="Arial"/>
                <w:color w:val="auto"/>
                <w:sz w:val="18"/>
                <w:szCs w:val="18"/>
                <w:lang w:eastAsia="en-GB" w:bidi="ar-SA"/>
              </w:rPr>
              <w:t>2</w:t>
            </w:r>
          </w:p>
        </w:tc>
        <w:tc>
          <w:tcPr>
            <w:tcW w:w="680" w:type="dxa"/>
            <w:tcBorders>
              <w:left w:val="none" w:sz="0" w:space="0" w:color="auto"/>
              <w:right w:val="none" w:sz="0" w:space="0" w:color="auto"/>
            </w:tcBorders>
            <w:shd w:val="clear" w:color="auto" w:fill="auto"/>
            <w:vAlign w:val="center"/>
            <w:hideMark/>
          </w:tcPr>
          <w:p w14:paraId="50872AA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3.2</w:t>
            </w:r>
          </w:p>
        </w:tc>
        <w:tc>
          <w:tcPr>
            <w:tcW w:w="680" w:type="dxa"/>
            <w:tcBorders>
              <w:left w:val="none" w:sz="0" w:space="0" w:color="auto"/>
              <w:right w:val="none" w:sz="0" w:space="0" w:color="auto"/>
            </w:tcBorders>
            <w:shd w:val="clear" w:color="auto" w:fill="auto"/>
            <w:vAlign w:val="center"/>
            <w:hideMark/>
          </w:tcPr>
          <w:p w14:paraId="6C7B7FF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2.1</w:t>
            </w:r>
          </w:p>
        </w:tc>
        <w:tc>
          <w:tcPr>
            <w:tcW w:w="680" w:type="dxa"/>
            <w:tcBorders>
              <w:left w:val="none" w:sz="0" w:space="0" w:color="auto"/>
              <w:right w:val="none" w:sz="0" w:space="0" w:color="auto"/>
            </w:tcBorders>
            <w:shd w:val="clear" w:color="auto" w:fill="auto"/>
            <w:vAlign w:val="center"/>
            <w:hideMark/>
          </w:tcPr>
          <w:p w14:paraId="58E9DF68"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1.8</w:t>
            </w:r>
          </w:p>
        </w:tc>
        <w:tc>
          <w:tcPr>
            <w:tcW w:w="680" w:type="dxa"/>
            <w:tcBorders>
              <w:left w:val="none" w:sz="0" w:space="0" w:color="auto"/>
              <w:right w:val="none" w:sz="0" w:space="0" w:color="auto"/>
            </w:tcBorders>
            <w:shd w:val="clear" w:color="auto" w:fill="auto"/>
            <w:vAlign w:val="center"/>
            <w:hideMark/>
          </w:tcPr>
          <w:p w14:paraId="1F2C722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2.4</w:t>
            </w:r>
          </w:p>
        </w:tc>
        <w:tc>
          <w:tcPr>
            <w:tcW w:w="680" w:type="dxa"/>
            <w:tcBorders>
              <w:left w:val="none" w:sz="0" w:space="0" w:color="auto"/>
              <w:right w:val="none" w:sz="0" w:space="0" w:color="auto"/>
            </w:tcBorders>
            <w:shd w:val="clear" w:color="auto" w:fill="auto"/>
            <w:vAlign w:val="center"/>
            <w:hideMark/>
          </w:tcPr>
          <w:p w14:paraId="0724D037"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1.7</w:t>
            </w:r>
          </w:p>
        </w:tc>
        <w:tc>
          <w:tcPr>
            <w:tcW w:w="680" w:type="dxa"/>
            <w:tcBorders>
              <w:left w:val="none" w:sz="0" w:space="0" w:color="auto"/>
              <w:right w:val="none" w:sz="0" w:space="0" w:color="auto"/>
            </w:tcBorders>
            <w:shd w:val="clear" w:color="auto" w:fill="auto"/>
            <w:vAlign w:val="center"/>
            <w:hideMark/>
          </w:tcPr>
          <w:p w14:paraId="2A54735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1.6</w:t>
            </w:r>
          </w:p>
        </w:tc>
      </w:tr>
      <w:tr w:rsidR="006B2784" w:rsidRPr="0047393D" w14:paraId="6C9F92B4" w14:textId="77777777" w:rsidTr="00577EF3">
        <w:trPr>
          <w:trHeight w:val="315"/>
        </w:trPr>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center"/>
            <w:hideMark/>
          </w:tcPr>
          <w:p w14:paraId="5956CF4B"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Saturated fat (g)</w:t>
            </w:r>
          </w:p>
        </w:tc>
        <w:tc>
          <w:tcPr>
            <w:tcW w:w="806" w:type="dxa"/>
            <w:shd w:val="clear" w:color="auto" w:fill="auto"/>
            <w:vAlign w:val="center"/>
          </w:tcPr>
          <w:p w14:paraId="725B44C3" w14:textId="77777777" w:rsidR="006B2784" w:rsidRPr="00566986"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2.19</w:t>
            </w:r>
          </w:p>
        </w:tc>
        <w:tc>
          <w:tcPr>
            <w:tcW w:w="806" w:type="dxa"/>
            <w:shd w:val="clear" w:color="auto" w:fill="auto"/>
            <w:vAlign w:val="center"/>
            <w:hideMark/>
          </w:tcPr>
          <w:p w14:paraId="3269E8D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0.4</w:t>
            </w:r>
          </w:p>
        </w:tc>
        <w:tc>
          <w:tcPr>
            <w:tcW w:w="680" w:type="dxa"/>
            <w:shd w:val="clear" w:color="auto" w:fill="auto"/>
            <w:vAlign w:val="center"/>
            <w:hideMark/>
          </w:tcPr>
          <w:p w14:paraId="241697F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0.4</w:t>
            </w:r>
          </w:p>
        </w:tc>
        <w:tc>
          <w:tcPr>
            <w:tcW w:w="680" w:type="dxa"/>
            <w:shd w:val="clear" w:color="auto" w:fill="auto"/>
            <w:vAlign w:val="center"/>
            <w:hideMark/>
          </w:tcPr>
          <w:p w14:paraId="11D17F8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w:t>
            </w:r>
          </w:p>
        </w:tc>
        <w:tc>
          <w:tcPr>
            <w:tcW w:w="680" w:type="dxa"/>
            <w:shd w:val="clear" w:color="auto" w:fill="auto"/>
            <w:vAlign w:val="center"/>
            <w:hideMark/>
          </w:tcPr>
          <w:p w14:paraId="2D15535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w:t>
            </w:r>
          </w:p>
        </w:tc>
        <w:tc>
          <w:tcPr>
            <w:tcW w:w="680" w:type="dxa"/>
            <w:shd w:val="clear" w:color="auto" w:fill="auto"/>
            <w:vAlign w:val="center"/>
            <w:hideMark/>
          </w:tcPr>
          <w:p w14:paraId="262B753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0.5</w:t>
            </w:r>
          </w:p>
        </w:tc>
        <w:tc>
          <w:tcPr>
            <w:tcW w:w="836" w:type="dxa"/>
            <w:shd w:val="clear" w:color="auto" w:fill="auto"/>
            <w:vAlign w:val="center"/>
            <w:hideMark/>
          </w:tcPr>
          <w:p w14:paraId="6C3CB0C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2.2</w:t>
            </w:r>
          </w:p>
        </w:tc>
        <w:tc>
          <w:tcPr>
            <w:tcW w:w="680" w:type="dxa"/>
            <w:shd w:val="clear" w:color="auto" w:fill="auto"/>
            <w:vAlign w:val="center"/>
            <w:hideMark/>
          </w:tcPr>
          <w:p w14:paraId="6F57589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w:t>
            </w:r>
          </w:p>
        </w:tc>
        <w:tc>
          <w:tcPr>
            <w:tcW w:w="680" w:type="dxa"/>
            <w:shd w:val="clear" w:color="auto" w:fill="auto"/>
            <w:vAlign w:val="center"/>
            <w:hideMark/>
          </w:tcPr>
          <w:p w14:paraId="04EDF0C6"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2.3</w:t>
            </w:r>
          </w:p>
        </w:tc>
        <w:tc>
          <w:tcPr>
            <w:tcW w:w="680" w:type="dxa"/>
            <w:shd w:val="clear" w:color="auto" w:fill="auto"/>
            <w:vAlign w:val="center"/>
            <w:hideMark/>
          </w:tcPr>
          <w:p w14:paraId="373A88A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2.1</w:t>
            </w:r>
          </w:p>
        </w:tc>
        <w:tc>
          <w:tcPr>
            <w:tcW w:w="680" w:type="dxa"/>
            <w:shd w:val="clear" w:color="auto" w:fill="auto"/>
            <w:vAlign w:val="center"/>
            <w:hideMark/>
          </w:tcPr>
          <w:p w14:paraId="5B99A61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w:t>
            </w:r>
          </w:p>
        </w:tc>
        <w:tc>
          <w:tcPr>
            <w:tcW w:w="680" w:type="dxa"/>
            <w:shd w:val="clear" w:color="auto" w:fill="auto"/>
            <w:vAlign w:val="center"/>
            <w:hideMark/>
          </w:tcPr>
          <w:p w14:paraId="3085B35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0.5</w:t>
            </w:r>
          </w:p>
        </w:tc>
        <w:tc>
          <w:tcPr>
            <w:tcW w:w="680" w:type="dxa"/>
            <w:shd w:val="clear" w:color="auto" w:fill="auto"/>
            <w:vAlign w:val="center"/>
            <w:hideMark/>
          </w:tcPr>
          <w:p w14:paraId="143F166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0.2</w:t>
            </w:r>
          </w:p>
        </w:tc>
        <w:tc>
          <w:tcPr>
            <w:tcW w:w="680" w:type="dxa"/>
            <w:shd w:val="clear" w:color="auto" w:fill="auto"/>
            <w:vAlign w:val="center"/>
            <w:hideMark/>
          </w:tcPr>
          <w:p w14:paraId="534A836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0.2</w:t>
            </w:r>
          </w:p>
        </w:tc>
      </w:tr>
      <w:tr w:rsidR="006B2784" w:rsidRPr="0047393D" w14:paraId="5A7FFB49" w14:textId="77777777" w:rsidTr="00686E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8" w:type="dxa"/>
            <w:tcBorders>
              <w:left w:val="none" w:sz="0" w:space="0" w:color="auto"/>
              <w:right w:val="none" w:sz="0" w:space="0" w:color="auto"/>
            </w:tcBorders>
            <w:shd w:val="clear" w:color="auto" w:fill="auto"/>
            <w:vAlign w:val="center"/>
            <w:hideMark/>
          </w:tcPr>
          <w:p w14:paraId="40CBFB80"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Monounsaturated fat (g)</w:t>
            </w:r>
          </w:p>
        </w:tc>
        <w:tc>
          <w:tcPr>
            <w:tcW w:w="806" w:type="dxa"/>
            <w:tcBorders>
              <w:left w:val="none" w:sz="0" w:space="0" w:color="auto"/>
              <w:right w:val="none" w:sz="0" w:space="0" w:color="auto"/>
            </w:tcBorders>
            <w:shd w:val="clear" w:color="auto" w:fill="auto"/>
            <w:vAlign w:val="center"/>
          </w:tcPr>
          <w:p w14:paraId="6C7C3DEE" w14:textId="77777777" w:rsidR="006B2784" w:rsidRPr="00566986"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0.89</w:t>
            </w:r>
          </w:p>
        </w:tc>
        <w:tc>
          <w:tcPr>
            <w:tcW w:w="806" w:type="dxa"/>
            <w:tcBorders>
              <w:left w:val="none" w:sz="0" w:space="0" w:color="auto"/>
              <w:right w:val="none" w:sz="0" w:space="0" w:color="auto"/>
            </w:tcBorders>
            <w:shd w:val="clear" w:color="auto" w:fill="auto"/>
            <w:vAlign w:val="center"/>
            <w:hideMark/>
          </w:tcPr>
          <w:p w14:paraId="7560CAE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2.8</w:t>
            </w:r>
          </w:p>
        </w:tc>
        <w:tc>
          <w:tcPr>
            <w:tcW w:w="680" w:type="dxa"/>
            <w:tcBorders>
              <w:left w:val="none" w:sz="0" w:space="0" w:color="auto"/>
              <w:right w:val="none" w:sz="0" w:space="0" w:color="auto"/>
            </w:tcBorders>
            <w:shd w:val="clear" w:color="auto" w:fill="auto"/>
            <w:vAlign w:val="center"/>
            <w:hideMark/>
          </w:tcPr>
          <w:p w14:paraId="1D54A190"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1.6</w:t>
            </w:r>
          </w:p>
        </w:tc>
        <w:tc>
          <w:tcPr>
            <w:tcW w:w="680" w:type="dxa"/>
            <w:tcBorders>
              <w:left w:val="none" w:sz="0" w:space="0" w:color="auto"/>
              <w:right w:val="none" w:sz="0" w:space="0" w:color="auto"/>
            </w:tcBorders>
            <w:shd w:val="clear" w:color="auto" w:fill="auto"/>
            <w:vAlign w:val="center"/>
            <w:hideMark/>
          </w:tcPr>
          <w:p w14:paraId="52C6DA38"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0.8</w:t>
            </w:r>
          </w:p>
        </w:tc>
        <w:tc>
          <w:tcPr>
            <w:tcW w:w="680" w:type="dxa"/>
            <w:tcBorders>
              <w:left w:val="none" w:sz="0" w:space="0" w:color="auto"/>
              <w:right w:val="none" w:sz="0" w:space="0" w:color="auto"/>
            </w:tcBorders>
            <w:shd w:val="clear" w:color="auto" w:fill="auto"/>
            <w:vAlign w:val="center"/>
            <w:hideMark/>
          </w:tcPr>
          <w:p w14:paraId="31AE6612"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0.9</w:t>
            </w:r>
          </w:p>
        </w:tc>
        <w:tc>
          <w:tcPr>
            <w:tcW w:w="680" w:type="dxa"/>
            <w:tcBorders>
              <w:left w:val="none" w:sz="0" w:space="0" w:color="auto"/>
              <w:right w:val="none" w:sz="0" w:space="0" w:color="auto"/>
            </w:tcBorders>
            <w:shd w:val="clear" w:color="auto" w:fill="auto"/>
            <w:vAlign w:val="center"/>
            <w:hideMark/>
          </w:tcPr>
          <w:p w14:paraId="0A8E7E3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1.3</w:t>
            </w:r>
          </w:p>
        </w:tc>
        <w:tc>
          <w:tcPr>
            <w:tcW w:w="836" w:type="dxa"/>
            <w:tcBorders>
              <w:left w:val="none" w:sz="0" w:space="0" w:color="auto"/>
              <w:right w:val="none" w:sz="0" w:space="0" w:color="auto"/>
            </w:tcBorders>
            <w:shd w:val="clear" w:color="auto" w:fill="auto"/>
            <w:vAlign w:val="center"/>
            <w:hideMark/>
          </w:tcPr>
          <w:p w14:paraId="178C7D8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0.5</w:t>
            </w:r>
          </w:p>
        </w:tc>
        <w:tc>
          <w:tcPr>
            <w:tcW w:w="680" w:type="dxa"/>
            <w:tcBorders>
              <w:left w:val="none" w:sz="0" w:space="0" w:color="auto"/>
              <w:right w:val="none" w:sz="0" w:space="0" w:color="auto"/>
            </w:tcBorders>
            <w:shd w:val="clear" w:color="auto" w:fill="auto"/>
            <w:vAlign w:val="center"/>
            <w:hideMark/>
          </w:tcPr>
          <w:p w14:paraId="03B8D92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80" w:type="dxa"/>
            <w:tcBorders>
              <w:left w:val="none" w:sz="0" w:space="0" w:color="auto"/>
              <w:right w:val="none" w:sz="0" w:space="0" w:color="auto"/>
            </w:tcBorders>
            <w:shd w:val="clear" w:color="auto" w:fill="auto"/>
            <w:vAlign w:val="center"/>
            <w:hideMark/>
          </w:tcPr>
          <w:p w14:paraId="656F3B41"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0.8</w:t>
            </w:r>
          </w:p>
        </w:tc>
        <w:tc>
          <w:tcPr>
            <w:tcW w:w="680" w:type="dxa"/>
            <w:tcBorders>
              <w:left w:val="none" w:sz="0" w:space="0" w:color="auto"/>
              <w:right w:val="none" w:sz="0" w:space="0" w:color="auto"/>
            </w:tcBorders>
            <w:shd w:val="clear" w:color="auto" w:fill="auto"/>
            <w:vAlign w:val="center"/>
            <w:hideMark/>
          </w:tcPr>
          <w:p w14:paraId="77410C2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80" w:type="dxa"/>
            <w:tcBorders>
              <w:left w:val="none" w:sz="0" w:space="0" w:color="auto"/>
              <w:right w:val="none" w:sz="0" w:space="0" w:color="auto"/>
            </w:tcBorders>
            <w:shd w:val="clear" w:color="auto" w:fill="auto"/>
            <w:vAlign w:val="center"/>
            <w:hideMark/>
          </w:tcPr>
          <w:p w14:paraId="157BD7FD"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1.4</w:t>
            </w:r>
          </w:p>
        </w:tc>
        <w:tc>
          <w:tcPr>
            <w:tcW w:w="680" w:type="dxa"/>
            <w:tcBorders>
              <w:left w:val="none" w:sz="0" w:space="0" w:color="auto"/>
              <w:right w:val="none" w:sz="0" w:space="0" w:color="auto"/>
            </w:tcBorders>
            <w:shd w:val="clear" w:color="auto" w:fill="auto"/>
            <w:vAlign w:val="center"/>
            <w:hideMark/>
          </w:tcPr>
          <w:p w14:paraId="4B19B1A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1.4</w:t>
            </w:r>
          </w:p>
        </w:tc>
        <w:tc>
          <w:tcPr>
            <w:tcW w:w="680" w:type="dxa"/>
            <w:tcBorders>
              <w:left w:val="none" w:sz="0" w:space="0" w:color="auto"/>
              <w:right w:val="none" w:sz="0" w:space="0" w:color="auto"/>
            </w:tcBorders>
            <w:shd w:val="clear" w:color="auto" w:fill="auto"/>
            <w:vAlign w:val="center"/>
            <w:hideMark/>
          </w:tcPr>
          <w:p w14:paraId="33C0CB47"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06432F7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1.3</w:t>
            </w:r>
          </w:p>
        </w:tc>
      </w:tr>
      <w:tr w:rsidR="006B2784" w:rsidRPr="0047393D" w14:paraId="4FA437A2" w14:textId="77777777" w:rsidTr="00577EF3">
        <w:trPr>
          <w:trHeight w:val="315"/>
        </w:trPr>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center"/>
            <w:hideMark/>
          </w:tcPr>
          <w:p w14:paraId="7AD7F54F"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Polyunsaturated fat (g)</w:t>
            </w:r>
          </w:p>
        </w:tc>
        <w:tc>
          <w:tcPr>
            <w:tcW w:w="806" w:type="dxa"/>
            <w:shd w:val="clear" w:color="auto" w:fill="auto"/>
            <w:vAlign w:val="center"/>
          </w:tcPr>
          <w:p w14:paraId="49EAD714" w14:textId="77777777" w:rsidR="006B2784" w:rsidRPr="00566986"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0.09</w:t>
            </w:r>
          </w:p>
        </w:tc>
        <w:tc>
          <w:tcPr>
            <w:tcW w:w="806" w:type="dxa"/>
            <w:shd w:val="clear" w:color="auto" w:fill="auto"/>
            <w:vAlign w:val="center"/>
            <w:hideMark/>
          </w:tcPr>
          <w:p w14:paraId="5149EC0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3.3</w:t>
            </w:r>
          </w:p>
        </w:tc>
        <w:tc>
          <w:tcPr>
            <w:tcW w:w="680" w:type="dxa"/>
            <w:shd w:val="clear" w:color="auto" w:fill="auto"/>
            <w:vAlign w:val="center"/>
            <w:hideMark/>
          </w:tcPr>
          <w:p w14:paraId="1BF00F7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0.8</w:t>
            </w:r>
          </w:p>
        </w:tc>
        <w:tc>
          <w:tcPr>
            <w:tcW w:w="680" w:type="dxa"/>
            <w:shd w:val="clear" w:color="auto" w:fill="auto"/>
            <w:vAlign w:val="center"/>
            <w:hideMark/>
          </w:tcPr>
          <w:p w14:paraId="638D78E1"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0.4</w:t>
            </w:r>
          </w:p>
        </w:tc>
        <w:tc>
          <w:tcPr>
            <w:tcW w:w="680" w:type="dxa"/>
            <w:shd w:val="clear" w:color="auto" w:fill="auto"/>
            <w:vAlign w:val="center"/>
            <w:hideMark/>
          </w:tcPr>
          <w:p w14:paraId="4563423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0.4</w:t>
            </w:r>
          </w:p>
        </w:tc>
        <w:tc>
          <w:tcPr>
            <w:tcW w:w="680" w:type="dxa"/>
            <w:shd w:val="clear" w:color="auto" w:fill="auto"/>
            <w:vAlign w:val="center"/>
            <w:hideMark/>
          </w:tcPr>
          <w:p w14:paraId="0BF099E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0.4</w:t>
            </w:r>
          </w:p>
        </w:tc>
        <w:tc>
          <w:tcPr>
            <w:tcW w:w="836" w:type="dxa"/>
            <w:shd w:val="clear" w:color="auto" w:fill="auto"/>
            <w:vAlign w:val="center"/>
            <w:hideMark/>
          </w:tcPr>
          <w:p w14:paraId="284C8C1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0.7</w:t>
            </w:r>
          </w:p>
        </w:tc>
        <w:tc>
          <w:tcPr>
            <w:tcW w:w="680" w:type="dxa"/>
            <w:shd w:val="clear" w:color="auto" w:fill="auto"/>
            <w:vAlign w:val="center"/>
            <w:hideMark/>
          </w:tcPr>
          <w:p w14:paraId="1BA7BE34"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80" w:type="dxa"/>
            <w:shd w:val="clear" w:color="auto" w:fill="auto"/>
            <w:vAlign w:val="center"/>
            <w:hideMark/>
          </w:tcPr>
          <w:p w14:paraId="0D3894E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w:t>
            </w:r>
          </w:p>
        </w:tc>
        <w:tc>
          <w:tcPr>
            <w:tcW w:w="680" w:type="dxa"/>
            <w:shd w:val="clear" w:color="auto" w:fill="auto"/>
            <w:vAlign w:val="center"/>
            <w:hideMark/>
          </w:tcPr>
          <w:p w14:paraId="4EB61F3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80" w:type="dxa"/>
            <w:shd w:val="clear" w:color="auto" w:fill="auto"/>
            <w:vAlign w:val="center"/>
            <w:hideMark/>
          </w:tcPr>
          <w:p w14:paraId="3BD94A84"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0.03</w:t>
            </w:r>
          </w:p>
        </w:tc>
        <w:tc>
          <w:tcPr>
            <w:tcW w:w="680" w:type="dxa"/>
            <w:shd w:val="clear" w:color="auto" w:fill="auto"/>
            <w:vAlign w:val="center"/>
            <w:hideMark/>
          </w:tcPr>
          <w:p w14:paraId="1A0C7E4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0.5</w:t>
            </w:r>
          </w:p>
        </w:tc>
        <w:tc>
          <w:tcPr>
            <w:tcW w:w="680" w:type="dxa"/>
            <w:shd w:val="clear" w:color="auto" w:fill="auto"/>
            <w:vAlign w:val="center"/>
            <w:hideMark/>
          </w:tcPr>
          <w:p w14:paraId="6C541DFC"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720F4A5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w:t>
            </w:r>
          </w:p>
        </w:tc>
      </w:tr>
      <w:tr w:rsidR="006B2784" w:rsidRPr="0047393D" w14:paraId="350BFA26" w14:textId="77777777" w:rsidTr="00686E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8" w:type="dxa"/>
            <w:tcBorders>
              <w:left w:val="none" w:sz="0" w:space="0" w:color="auto"/>
              <w:right w:val="none" w:sz="0" w:space="0" w:color="auto"/>
            </w:tcBorders>
            <w:shd w:val="clear" w:color="auto" w:fill="auto"/>
            <w:vAlign w:val="center"/>
            <w:hideMark/>
          </w:tcPr>
          <w:p w14:paraId="69F73311"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Trans fatty acids (g)</w:t>
            </w:r>
          </w:p>
        </w:tc>
        <w:tc>
          <w:tcPr>
            <w:tcW w:w="806" w:type="dxa"/>
            <w:tcBorders>
              <w:left w:val="none" w:sz="0" w:space="0" w:color="auto"/>
              <w:right w:val="none" w:sz="0" w:space="0" w:color="auto"/>
            </w:tcBorders>
            <w:shd w:val="clear" w:color="auto" w:fill="auto"/>
            <w:vAlign w:val="center"/>
          </w:tcPr>
          <w:p w14:paraId="4B6EFE9F" w14:textId="77777777" w:rsidR="006B2784" w:rsidRPr="00566986"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0.11</w:t>
            </w:r>
          </w:p>
        </w:tc>
        <w:tc>
          <w:tcPr>
            <w:tcW w:w="806" w:type="dxa"/>
            <w:tcBorders>
              <w:left w:val="none" w:sz="0" w:space="0" w:color="auto"/>
              <w:right w:val="none" w:sz="0" w:space="0" w:color="auto"/>
            </w:tcBorders>
            <w:shd w:val="clear" w:color="auto" w:fill="auto"/>
            <w:vAlign w:val="center"/>
            <w:hideMark/>
          </w:tcPr>
          <w:p w14:paraId="7C2B05BB"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680" w:type="dxa"/>
            <w:tcBorders>
              <w:left w:val="none" w:sz="0" w:space="0" w:color="auto"/>
              <w:right w:val="none" w:sz="0" w:space="0" w:color="auto"/>
            </w:tcBorders>
            <w:shd w:val="clear" w:color="auto" w:fill="auto"/>
            <w:vAlign w:val="center"/>
            <w:hideMark/>
          </w:tcPr>
          <w:p w14:paraId="1987CD5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680" w:type="dxa"/>
            <w:tcBorders>
              <w:left w:val="none" w:sz="0" w:space="0" w:color="auto"/>
              <w:right w:val="none" w:sz="0" w:space="0" w:color="auto"/>
            </w:tcBorders>
            <w:shd w:val="clear" w:color="auto" w:fill="auto"/>
            <w:vAlign w:val="center"/>
            <w:hideMark/>
          </w:tcPr>
          <w:p w14:paraId="09DC9C5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680" w:type="dxa"/>
            <w:tcBorders>
              <w:left w:val="none" w:sz="0" w:space="0" w:color="auto"/>
              <w:right w:val="none" w:sz="0" w:space="0" w:color="auto"/>
            </w:tcBorders>
            <w:shd w:val="clear" w:color="auto" w:fill="auto"/>
            <w:vAlign w:val="center"/>
            <w:hideMark/>
          </w:tcPr>
          <w:p w14:paraId="6F661EAD"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680" w:type="dxa"/>
            <w:tcBorders>
              <w:left w:val="none" w:sz="0" w:space="0" w:color="auto"/>
              <w:right w:val="none" w:sz="0" w:space="0" w:color="auto"/>
            </w:tcBorders>
            <w:shd w:val="clear" w:color="auto" w:fill="auto"/>
            <w:vAlign w:val="center"/>
            <w:hideMark/>
          </w:tcPr>
          <w:p w14:paraId="3BB3BCB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836" w:type="dxa"/>
            <w:tcBorders>
              <w:left w:val="none" w:sz="0" w:space="0" w:color="auto"/>
              <w:right w:val="none" w:sz="0" w:space="0" w:color="auto"/>
            </w:tcBorders>
            <w:shd w:val="clear" w:color="auto" w:fill="auto"/>
            <w:vAlign w:val="center"/>
            <w:hideMark/>
          </w:tcPr>
          <w:p w14:paraId="795BD201"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680" w:type="dxa"/>
            <w:tcBorders>
              <w:left w:val="none" w:sz="0" w:space="0" w:color="auto"/>
              <w:right w:val="none" w:sz="0" w:space="0" w:color="auto"/>
            </w:tcBorders>
            <w:shd w:val="clear" w:color="auto" w:fill="auto"/>
            <w:vAlign w:val="center"/>
            <w:hideMark/>
          </w:tcPr>
          <w:p w14:paraId="52947788"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680" w:type="dxa"/>
            <w:tcBorders>
              <w:left w:val="none" w:sz="0" w:space="0" w:color="auto"/>
              <w:right w:val="none" w:sz="0" w:space="0" w:color="auto"/>
            </w:tcBorders>
            <w:shd w:val="clear" w:color="auto" w:fill="auto"/>
            <w:vAlign w:val="center"/>
            <w:hideMark/>
          </w:tcPr>
          <w:p w14:paraId="24BA905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680" w:type="dxa"/>
            <w:tcBorders>
              <w:left w:val="none" w:sz="0" w:space="0" w:color="auto"/>
              <w:right w:val="none" w:sz="0" w:space="0" w:color="auto"/>
            </w:tcBorders>
            <w:shd w:val="clear" w:color="auto" w:fill="auto"/>
            <w:vAlign w:val="center"/>
            <w:hideMark/>
          </w:tcPr>
          <w:p w14:paraId="243F738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680" w:type="dxa"/>
            <w:tcBorders>
              <w:left w:val="none" w:sz="0" w:space="0" w:color="auto"/>
              <w:right w:val="none" w:sz="0" w:space="0" w:color="auto"/>
            </w:tcBorders>
            <w:shd w:val="clear" w:color="auto" w:fill="auto"/>
            <w:vAlign w:val="center"/>
            <w:hideMark/>
          </w:tcPr>
          <w:p w14:paraId="3140D94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680" w:type="dxa"/>
            <w:tcBorders>
              <w:left w:val="none" w:sz="0" w:space="0" w:color="auto"/>
              <w:right w:val="none" w:sz="0" w:space="0" w:color="auto"/>
            </w:tcBorders>
            <w:shd w:val="clear" w:color="auto" w:fill="auto"/>
            <w:vAlign w:val="center"/>
            <w:hideMark/>
          </w:tcPr>
          <w:p w14:paraId="1FDCC96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c>
          <w:tcPr>
            <w:tcW w:w="680" w:type="dxa"/>
            <w:tcBorders>
              <w:left w:val="none" w:sz="0" w:space="0" w:color="auto"/>
              <w:right w:val="none" w:sz="0" w:space="0" w:color="auto"/>
            </w:tcBorders>
            <w:shd w:val="clear" w:color="auto" w:fill="auto"/>
            <w:vAlign w:val="center"/>
            <w:hideMark/>
          </w:tcPr>
          <w:p w14:paraId="7426F58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15A6A4C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0.00</w:t>
            </w:r>
          </w:p>
        </w:tc>
      </w:tr>
      <w:tr w:rsidR="006B2784" w:rsidRPr="0047393D" w14:paraId="5073B1AF" w14:textId="77777777" w:rsidTr="00577EF3">
        <w:trPr>
          <w:trHeight w:val="315"/>
        </w:trPr>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center"/>
            <w:hideMark/>
          </w:tcPr>
          <w:p w14:paraId="278862D1"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Cholesterol (mg)</w:t>
            </w:r>
          </w:p>
        </w:tc>
        <w:tc>
          <w:tcPr>
            <w:tcW w:w="806" w:type="dxa"/>
            <w:shd w:val="clear" w:color="auto" w:fill="auto"/>
            <w:vAlign w:val="center"/>
          </w:tcPr>
          <w:p w14:paraId="3643ABB1" w14:textId="77777777" w:rsidR="006B2784" w:rsidRPr="00566986"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10</w:t>
            </w:r>
          </w:p>
        </w:tc>
        <w:tc>
          <w:tcPr>
            <w:tcW w:w="806" w:type="dxa"/>
            <w:shd w:val="clear" w:color="auto" w:fill="auto"/>
            <w:vAlign w:val="center"/>
            <w:hideMark/>
          </w:tcPr>
          <w:p w14:paraId="5D1E6EE1"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80" w:type="dxa"/>
            <w:shd w:val="clear" w:color="auto" w:fill="auto"/>
            <w:vAlign w:val="center"/>
            <w:hideMark/>
          </w:tcPr>
          <w:p w14:paraId="739095D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80" w:type="dxa"/>
            <w:shd w:val="clear" w:color="auto" w:fill="auto"/>
            <w:vAlign w:val="center"/>
            <w:hideMark/>
          </w:tcPr>
          <w:p w14:paraId="0CD031D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80" w:type="dxa"/>
            <w:shd w:val="clear" w:color="auto" w:fill="auto"/>
            <w:vAlign w:val="center"/>
            <w:hideMark/>
          </w:tcPr>
          <w:p w14:paraId="2A15DB4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80" w:type="dxa"/>
            <w:shd w:val="clear" w:color="auto" w:fill="auto"/>
            <w:vAlign w:val="center"/>
            <w:hideMark/>
          </w:tcPr>
          <w:p w14:paraId="238B080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836" w:type="dxa"/>
            <w:shd w:val="clear" w:color="auto" w:fill="auto"/>
            <w:vAlign w:val="center"/>
            <w:hideMark/>
          </w:tcPr>
          <w:p w14:paraId="27BF62A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80" w:type="dxa"/>
            <w:shd w:val="clear" w:color="auto" w:fill="auto"/>
            <w:vAlign w:val="center"/>
            <w:hideMark/>
          </w:tcPr>
          <w:p w14:paraId="7437D13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80" w:type="dxa"/>
            <w:shd w:val="clear" w:color="auto" w:fill="auto"/>
            <w:vAlign w:val="center"/>
            <w:hideMark/>
          </w:tcPr>
          <w:p w14:paraId="1C63230C"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80" w:type="dxa"/>
            <w:shd w:val="clear" w:color="auto" w:fill="auto"/>
            <w:vAlign w:val="center"/>
            <w:hideMark/>
          </w:tcPr>
          <w:p w14:paraId="2244500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80" w:type="dxa"/>
            <w:shd w:val="clear" w:color="auto" w:fill="auto"/>
            <w:vAlign w:val="center"/>
            <w:hideMark/>
          </w:tcPr>
          <w:p w14:paraId="31BE55F6"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80" w:type="dxa"/>
            <w:shd w:val="clear" w:color="auto" w:fill="auto"/>
            <w:vAlign w:val="center"/>
            <w:hideMark/>
          </w:tcPr>
          <w:p w14:paraId="6DF4942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80" w:type="dxa"/>
            <w:shd w:val="clear" w:color="auto" w:fill="auto"/>
            <w:vAlign w:val="center"/>
            <w:hideMark/>
          </w:tcPr>
          <w:p w14:paraId="5AE4C1E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80" w:type="dxa"/>
            <w:shd w:val="clear" w:color="auto" w:fill="auto"/>
            <w:vAlign w:val="center"/>
            <w:hideMark/>
          </w:tcPr>
          <w:p w14:paraId="14EFD96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r>
      <w:tr w:rsidR="006B2784" w:rsidRPr="0047393D" w14:paraId="2D2932D7" w14:textId="77777777" w:rsidTr="00686E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8" w:type="dxa"/>
            <w:tcBorders>
              <w:left w:val="none" w:sz="0" w:space="0" w:color="auto"/>
              <w:right w:val="none" w:sz="0" w:space="0" w:color="auto"/>
            </w:tcBorders>
            <w:shd w:val="clear" w:color="auto" w:fill="auto"/>
            <w:vAlign w:val="center"/>
            <w:hideMark/>
          </w:tcPr>
          <w:p w14:paraId="0174770C"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Carbohydrates (g)</w:t>
            </w:r>
          </w:p>
        </w:tc>
        <w:tc>
          <w:tcPr>
            <w:tcW w:w="806" w:type="dxa"/>
            <w:tcBorders>
              <w:left w:val="none" w:sz="0" w:space="0" w:color="auto"/>
              <w:right w:val="none" w:sz="0" w:space="0" w:color="auto"/>
            </w:tcBorders>
            <w:shd w:val="clear" w:color="auto" w:fill="auto"/>
            <w:vAlign w:val="center"/>
          </w:tcPr>
          <w:p w14:paraId="6C07AD1F" w14:textId="77777777" w:rsidR="006B2784" w:rsidRPr="00566986"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6</w:t>
            </w:r>
          </w:p>
        </w:tc>
        <w:tc>
          <w:tcPr>
            <w:tcW w:w="806" w:type="dxa"/>
            <w:tcBorders>
              <w:left w:val="none" w:sz="0" w:space="0" w:color="auto"/>
              <w:right w:val="none" w:sz="0" w:space="0" w:color="auto"/>
            </w:tcBorders>
            <w:shd w:val="clear" w:color="auto" w:fill="auto"/>
            <w:vAlign w:val="center"/>
            <w:hideMark/>
          </w:tcPr>
          <w:p w14:paraId="7D896D1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5.1</w:t>
            </w:r>
          </w:p>
        </w:tc>
        <w:tc>
          <w:tcPr>
            <w:tcW w:w="680" w:type="dxa"/>
            <w:tcBorders>
              <w:left w:val="none" w:sz="0" w:space="0" w:color="auto"/>
              <w:right w:val="none" w:sz="0" w:space="0" w:color="auto"/>
            </w:tcBorders>
            <w:shd w:val="clear" w:color="auto" w:fill="auto"/>
            <w:vAlign w:val="center"/>
            <w:hideMark/>
          </w:tcPr>
          <w:p w14:paraId="1C2A965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11.5</w:t>
            </w:r>
          </w:p>
        </w:tc>
        <w:tc>
          <w:tcPr>
            <w:tcW w:w="680" w:type="dxa"/>
            <w:tcBorders>
              <w:left w:val="none" w:sz="0" w:space="0" w:color="auto"/>
              <w:right w:val="none" w:sz="0" w:space="0" w:color="auto"/>
            </w:tcBorders>
            <w:shd w:val="clear" w:color="auto" w:fill="auto"/>
            <w:vAlign w:val="center"/>
            <w:hideMark/>
          </w:tcPr>
          <w:p w14:paraId="28D788F7"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2.7</w:t>
            </w:r>
          </w:p>
        </w:tc>
        <w:tc>
          <w:tcPr>
            <w:tcW w:w="680" w:type="dxa"/>
            <w:tcBorders>
              <w:left w:val="none" w:sz="0" w:space="0" w:color="auto"/>
              <w:right w:val="none" w:sz="0" w:space="0" w:color="auto"/>
            </w:tcBorders>
            <w:shd w:val="clear" w:color="auto" w:fill="auto"/>
            <w:vAlign w:val="center"/>
            <w:hideMark/>
          </w:tcPr>
          <w:p w14:paraId="6FAE260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w:t>
            </w:r>
          </w:p>
        </w:tc>
        <w:tc>
          <w:tcPr>
            <w:tcW w:w="680" w:type="dxa"/>
            <w:tcBorders>
              <w:left w:val="none" w:sz="0" w:space="0" w:color="auto"/>
              <w:right w:val="none" w:sz="0" w:space="0" w:color="auto"/>
            </w:tcBorders>
            <w:shd w:val="clear" w:color="auto" w:fill="auto"/>
            <w:vAlign w:val="center"/>
            <w:hideMark/>
          </w:tcPr>
          <w:p w14:paraId="06F59A2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2.7</w:t>
            </w:r>
          </w:p>
        </w:tc>
        <w:tc>
          <w:tcPr>
            <w:tcW w:w="836" w:type="dxa"/>
            <w:tcBorders>
              <w:left w:val="none" w:sz="0" w:space="0" w:color="auto"/>
              <w:right w:val="none" w:sz="0" w:space="0" w:color="auto"/>
            </w:tcBorders>
            <w:shd w:val="clear" w:color="auto" w:fill="auto"/>
            <w:vAlign w:val="center"/>
            <w:hideMark/>
          </w:tcPr>
          <w:p w14:paraId="1727D29D"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3.1</w:t>
            </w:r>
          </w:p>
        </w:tc>
        <w:tc>
          <w:tcPr>
            <w:tcW w:w="680" w:type="dxa"/>
            <w:tcBorders>
              <w:left w:val="none" w:sz="0" w:space="0" w:color="auto"/>
              <w:right w:val="none" w:sz="0" w:space="0" w:color="auto"/>
            </w:tcBorders>
            <w:shd w:val="clear" w:color="auto" w:fill="auto"/>
            <w:vAlign w:val="center"/>
            <w:hideMark/>
          </w:tcPr>
          <w:p w14:paraId="6DC7A1F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2.7</w:t>
            </w:r>
          </w:p>
        </w:tc>
        <w:tc>
          <w:tcPr>
            <w:tcW w:w="680" w:type="dxa"/>
            <w:tcBorders>
              <w:left w:val="none" w:sz="0" w:space="0" w:color="auto"/>
              <w:right w:val="none" w:sz="0" w:space="0" w:color="auto"/>
            </w:tcBorders>
            <w:shd w:val="clear" w:color="auto" w:fill="auto"/>
            <w:vAlign w:val="center"/>
            <w:hideMark/>
          </w:tcPr>
          <w:p w14:paraId="1E9D1470"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7.8</w:t>
            </w:r>
          </w:p>
        </w:tc>
        <w:tc>
          <w:tcPr>
            <w:tcW w:w="680" w:type="dxa"/>
            <w:tcBorders>
              <w:left w:val="none" w:sz="0" w:space="0" w:color="auto"/>
              <w:right w:val="none" w:sz="0" w:space="0" w:color="auto"/>
            </w:tcBorders>
            <w:shd w:val="clear" w:color="auto" w:fill="auto"/>
            <w:vAlign w:val="center"/>
            <w:hideMark/>
          </w:tcPr>
          <w:p w14:paraId="0B25DDD7"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2.9</w:t>
            </w:r>
          </w:p>
        </w:tc>
        <w:tc>
          <w:tcPr>
            <w:tcW w:w="680" w:type="dxa"/>
            <w:tcBorders>
              <w:left w:val="none" w:sz="0" w:space="0" w:color="auto"/>
              <w:right w:val="none" w:sz="0" w:space="0" w:color="auto"/>
            </w:tcBorders>
            <w:shd w:val="clear" w:color="auto" w:fill="auto"/>
            <w:vAlign w:val="center"/>
            <w:hideMark/>
          </w:tcPr>
          <w:p w14:paraId="46BC29B7"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2.8</w:t>
            </w:r>
          </w:p>
        </w:tc>
        <w:tc>
          <w:tcPr>
            <w:tcW w:w="680" w:type="dxa"/>
            <w:tcBorders>
              <w:left w:val="none" w:sz="0" w:space="0" w:color="auto"/>
              <w:right w:val="none" w:sz="0" w:space="0" w:color="auto"/>
            </w:tcBorders>
            <w:shd w:val="clear" w:color="auto" w:fill="auto"/>
            <w:vAlign w:val="center"/>
            <w:hideMark/>
          </w:tcPr>
          <w:p w14:paraId="3B993C8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6.7</w:t>
            </w:r>
          </w:p>
        </w:tc>
        <w:tc>
          <w:tcPr>
            <w:tcW w:w="680" w:type="dxa"/>
            <w:tcBorders>
              <w:left w:val="none" w:sz="0" w:space="0" w:color="auto"/>
              <w:right w:val="none" w:sz="0" w:space="0" w:color="auto"/>
            </w:tcBorders>
            <w:shd w:val="clear" w:color="auto" w:fill="auto"/>
            <w:vAlign w:val="center"/>
            <w:hideMark/>
          </w:tcPr>
          <w:p w14:paraId="00B4DCB8"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3.8</w:t>
            </w:r>
          </w:p>
        </w:tc>
        <w:tc>
          <w:tcPr>
            <w:tcW w:w="680" w:type="dxa"/>
            <w:tcBorders>
              <w:left w:val="none" w:sz="0" w:space="0" w:color="auto"/>
              <w:right w:val="none" w:sz="0" w:space="0" w:color="auto"/>
            </w:tcBorders>
            <w:shd w:val="clear" w:color="auto" w:fill="auto"/>
            <w:vAlign w:val="center"/>
            <w:hideMark/>
          </w:tcPr>
          <w:p w14:paraId="35843D1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3.1</w:t>
            </w:r>
          </w:p>
        </w:tc>
      </w:tr>
      <w:tr w:rsidR="006B2784" w:rsidRPr="0047393D" w14:paraId="2A4AB6B9" w14:textId="77777777" w:rsidTr="00577EF3">
        <w:trPr>
          <w:trHeight w:val="315"/>
        </w:trPr>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center"/>
            <w:hideMark/>
          </w:tcPr>
          <w:p w14:paraId="209034FA"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Total sugars (g)</w:t>
            </w:r>
          </w:p>
        </w:tc>
        <w:tc>
          <w:tcPr>
            <w:tcW w:w="806" w:type="dxa"/>
            <w:shd w:val="clear" w:color="auto" w:fill="auto"/>
            <w:vAlign w:val="center"/>
          </w:tcPr>
          <w:p w14:paraId="574D309D" w14:textId="77777777" w:rsidR="006B2784" w:rsidRPr="00566986"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6</w:t>
            </w:r>
          </w:p>
        </w:tc>
        <w:tc>
          <w:tcPr>
            <w:tcW w:w="806" w:type="dxa"/>
            <w:shd w:val="clear" w:color="auto" w:fill="auto"/>
            <w:vAlign w:val="center"/>
            <w:hideMark/>
          </w:tcPr>
          <w:p w14:paraId="474ED00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3.8</w:t>
            </w:r>
          </w:p>
        </w:tc>
        <w:tc>
          <w:tcPr>
            <w:tcW w:w="680" w:type="dxa"/>
            <w:shd w:val="clear" w:color="auto" w:fill="auto"/>
            <w:vAlign w:val="center"/>
            <w:hideMark/>
          </w:tcPr>
          <w:p w14:paraId="3590547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2.8</w:t>
            </w:r>
          </w:p>
        </w:tc>
        <w:tc>
          <w:tcPr>
            <w:tcW w:w="680" w:type="dxa"/>
            <w:shd w:val="clear" w:color="auto" w:fill="auto"/>
            <w:vAlign w:val="center"/>
            <w:hideMark/>
          </w:tcPr>
          <w:p w14:paraId="7D055FF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2.5</w:t>
            </w:r>
          </w:p>
        </w:tc>
        <w:tc>
          <w:tcPr>
            <w:tcW w:w="680" w:type="dxa"/>
            <w:shd w:val="clear" w:color="auto" w:fill="auto"/>
            <w:vAlign w:val="center"/>
            <w:hideMark/>
          </w:tcPr>
          <w:p w14:paraId="523EDDB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w:t>
            </w:r>
          </w:p>
        </w:tc>
        <w:tc>
          <w:tcPr>
            <w:tcW w:w="680" w:type="dxa"/>
            <w:shd w:val="clear" w:color="auto" w:fill="auto"/>
            <w:vAlign w:val="center"/>
            <w:hideMark/>
          </w:tcPr>
          <w:p w14:paraId="50CDB49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2.7</w:t>
            </w:r>
          </w:p>
        </w:tc>
        <w:tc>
          <w:tcPr>
            <w:tcW w:w="836" w:type="dxa"/>
            <w:shd w:val="clear" w:color="auto" w:fill="auto"/>
            <w:vAlign w:val="center"/>
            <w:hideMark/>
          </w:tcPr>
          <w:p w14:paraId="7E95D44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2.9</w:t>
            </w:r>
          </w:p>
        </w:tc>
        <w:tc>
          <w:tcPr>
            <w:tcW w:w="680" w:type="dxa"/>
            <w:shd w:val="clear" w:color="auto" w:fill="auto"/>
            <w:vAlign w:val="center"/>
            <w:hideMark/>
          </w:tcPr>
          <w:p w14:paraId="54FD965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2.5</w:t>
            </w:r>
          </w:p>
        </w:tc>
        <w:tc>
          <w:tcPr>
            <w:tcW w:w="680" w:type="dxa"/>
            <w:shd w:val="clear" w:color="auto" w:fill="auto"/>
            <w:vAlign w:val="center"/>
            <w:hideMark/>
          </w:tcPr>
          <w:p w14:paraId="1F7C51E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3.8</w:t>
            </w:r>
          </w:p>
        </w:tc>
        <w:tc>
          <w:tcPr>
            <w:tcW w:w="680" w:type="dxa"/>
            <w:shd w:val="clear" w:color="auto" w:fill="auto"/>
            <w:vAlign w:val="center"/>
            <w:hideMark/>
          </w:tcPr>
          <w:p w14:paraId="7F5EF8C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2.5</w:t>
            </w:r>
          </w:p>
        </w:tc>
        <w:tc>
          <w:tcPr>
            <w:tcW w:w="680" w:type="dxa"/>
            <w:shd w:val="clear" w:color="auto" w:fill="auto"/>
            <w:vAlign w:val="center"/>
            <w:hideMark/>
          </w:tcPr>
          <w:p w14:paraId="797A359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0.2</w:t>
            </w:r>
          </w:p>
        </w:tc>
        <w:tc>
          <w:tcPr>
            <w:tcW w:w="680" w:type="dxa"/>
            <w:shd w:val="clear" w:color="auto" w:fill="auto"/>
            <w:vAlign w:val="center"/>
            <w:hideMark/>
          </w:tcPr>
          <w:p w14:paraId="6067D41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3.4</w:t>
            </w:r>
          </w:p>
        </w:tc>
        <w:tc>
          <w:tcPr>
            <w:tcW w:w="680" w:type="dxa"/>
            <w:shd w:val="clear" w:color="auto" w:fill="auto"/>
            <w:vAlign w:val="center"/>
            <w:hideMark/>
          </w:tcPr>
          <w:p w14:paraId="0A3FC97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2.9</w:t>
            </w:r>
          </w:p>
        </w:tc>
        <w:tc>
          <w:tcPr>
            <w:tcW w:w="680" w:type="dxa"/>
            <w:shd w:val="clear" w:color="auto" w:fill="auto"/>
            <w:vAlign w:val="center"/>
            <w:hideMark/>
          </w:tcPr>
          <w:p w14:paraId="4C21085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3.1</w:t>
            </w:r>
          </w:p>
        </w:tc>
      </w:tr>
      <w:tr w:rsidR="006B2784" w:rsidRPr="0047393D" w14:paraId="74F18E68" w14:textId="77777777" w:rsidTr="00686E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8" w:type="dxa"/>
            <w:tcBorders>
              <w:left w:val="none" w:sz="0" w:space="0" w:color="auto"/>
              <w:right w:val="none" w:sz="0" w:space="0" w:color="auto"/>
            </w:tcBorders>
            <w:shd w:val="clear" w:color="auto" w:fill="auto"/>
            <w:vAlign w:val="center"/>
            <w:hideMark/>
          </w:tcPr>
          <w:p w14:paraId="0F509002"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Dietary fibre (g)</w:t>
            </w:r>
          </w:p>
        </w:tc>
        <w:tc>
          <w:tcPr>
            <w:tcW w:w="806" w:type="dxa"/>
            <w:tcBorders>
              <w:left w:val="none" w:sz="0" w:space="0" w:color="auto"/>
              <w:right w:val="none" w:sz="0" w:space="0" w:color="auto"/>
            </w:tcBorders>
            <w:shd w:val="clear" w:color="auto" w:fill="auto"/>
            <w:vAlign w:val="center"/>
          </w:tcPr>
          <w:p w14:paraId="20B14411" w14:textId="77777777" w:rsidR="006B2784" w:rsidRPr="00566986"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0</w:t>
            </w:r>
          </w:p>
        </w:tc>
        <w:tc>
          <w:tcPr>
            <w:tcW w:w="806" w:type="dxa"/>
            <w:tcBorders>
              <w:left w:val="none" w:sz="0" w:space="0" w:color="auto"/>
              <w:right w:val="none" w:sz="0" w:space="0" w:color="auto"/>
            </w:tcBorders>
            <w:shd w:val="clear" w:color="auto" w:fill="auto"/>
            <w:vAlign w:val="center"/>
            <w:hideMark/>
          </w:tcPr>
          <w:p w14:paraId="4B8D018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0.6</w:t>
            </w:r>
          </w:p>
        </w:tc>
        <w:tc>
          <w:tcPr>
            <w:tcW w:w="680" w:type="dxa"/>
            <w:tcBorders>
              <w:left w:val="none" w:sz="0" w:space="0" w:color="auto"/>
              <w:right w:val="none" w:sz="0" w:space="0" w:color="auto"/>
            </w:tcBorders>
            <w:shd w:val="clear" w:color="auto" w:fill="auto"/>
            <w:vAlign w:val="center"/>
            <w:hideMark/>
          </w:tcPr>
          <w:p w14:paraId="7B7FE76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w:t>
            </w:r>
          </w:p>
        </w:tc>
        <w:tc>
          <w:tcPr>
            <w:tcW w:w="680" w:type="dxa"/>
            <w:tcBorders>
              <w:left w:val="none" w:sz="0" w:space="0" w:color="auto"/>
              <w:right w:val="none" w:sz="0" w:space="0" w:color="auto"/>
            </w:tcBorders>
            <w:shd w:val="clear" w:color="auto" w:fill="auto"/>
            <w:vAlign w:val="center"/>
            <w:hideMark/>
          </w:tcPr>
          <w:p w14:paraId="74DDABC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0.4</w:t>
            </w:r>
          </w:p>
        </w:tc>
        <w:tc>
          <w:tcPr>
            <w:tcW w:w="680" w:type="dxa"/>
            <w:tcBorders>
              <w:left w:val="none" w:sz="0" w:space="0" w:color="auto"/>
              <w:right w:val="none" w:sz="0" w:space="0" w:color="auto"/>
            </w:tcBorders>
            <w:shd w:val="clear" w:color="auto" w:fill="auto"/>
            <w:vAlign w:val="center"/>
            <w:hideMark/>
          </w:tcPr>
          <w:p w14:paraId="77136B5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w:t>
            </w:r>
          </w:p>
        </w:tc>
        <w:tc>
          <w:tcPr>
            <w:tcW w:w="680" w:type="dxa"/>
            <w:tcBorders>
              <w:left w:val="none" w:sz="0" w:space="0" w:color="auto"/>
              <w:right w:val="none" w:sz="0" w:space="0" w:color="auto"/>
            </w:tcBorders>
            <w:shd w:val="clear" w:color="auto" w:fill="auto"/>
            <w:vAlign w:val="center"/>
            <w:hideMark/>
          </w:tcPr>
          <w:p w14:paraId="3F0B0E61"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836" w:type="dxa"/>
            <w:tcBorders>
              <w:left w:val="none" w:sz="0" w:space="0" w:color="auto"/>
              <w:right w:val="none" w:sz="0" w:space="0" w:color="auto"/>
            </w:tcBorders>
            <w:shd w:val="clear" w:color="auto" w:fill="auto"/>
            <w:vAlign w:val="center"/>
            <w:hideMark/>
          </w:tcPr>
          <w:p w14:paraId="26336440"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0.1</w:t>
            </w:r>
          </w:p>
        </w:tc>
        <w:tc>
          <w:tcPr>
            <w:tcW w:w="680" w:type="dxa"/>
            <w:tcBorders>
              <w:left w:val="none" w:sz="0" w:space="0" w:color="auto"/>
              <w:right w:val="none" w:sz="0" w:space="0" w:color="auto"/>
            </w:tcBorders>
            <w:shd w:val="clear" w:color="auto" w:fill="auto"/>
            <w:vAlign w:val="center"/>
            <w:hideMark/>
          </w:tcPr>
          <w:p w14:paraId="1C99A9E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0.2</w:t>
            </w:r>
          </w:p>
        </w:tc>
        <w:tc>
          <w:tcPr>
            <w:tcW w:w="680" w:type="dxa"/>
            <w:tcBorders>
              <w:left w:val="none" w:sz="0" w:space="0" w:color="auto"/>
              <w:right w:val="none" w:sz="0" w:space="0" w:color="auto"/>
            </w:tcBorders>
            <w:shd w:val="clear" w:color="auto" w:fill="auto"/>
            <w:vAlign w:val="center"/>
            <w:hideMark/>
          </w:tcPr>
          <w:p w14:paraId="4E1763F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7263209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w:t>
            </w:r>
          </w:p>
        </w:tc>
        <w:tc>
          <w:tcPr>
            <w:tcW w:w="680" w:type="dxa"/>
            <w:tcBorders>
              <w:left w:val="none" w:sz="0" w:space="0" w:color="auto"/>
              <w:right w:val="none" w:sz="0" w:space="0" w:color="auto"/>
            </w:tcBorders>
            <w:shd w:val="clear" w:color="auto" w:fill="auto"/>
            <w:vAlign w:val="center"/>
            <w:hideMark/>
          </w:tcPr>
          <w:p w14:paraId="5FE75372"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4879149B"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0.2</w:t>
            </w:r>
          </w:p>
        </w:tc>
        <w:tc>
          <w:tcPr>
            <w:tcW w:w="680" w:type="dxa"/>
            <w:tcBorders>
              <w:left w:val="none" w:sz="0" w:space="0" w:color="auto"/>
              <w:right w:val="none" w:sz="0" w:space="0" w:color="auto"/>
            </w:tcBorders>
            <w:shd w:val="clear" w:color="auto" w:fill="auto"/>
            <w:vAlign w:val="center"/>
            <w:hideMark/>
          </w:tcPr>
          <w:p w14:paraId="68185021"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0.4</w:t>
            </w:r>
          </w:p>
        </w:tc>
        <w:tc>
          <w:tcPr>
            <w:tcW w:w="680" w:type="dxa"/>
            <w:tcBorders>
              <w:left w:val="none" w:sz="0" w:space="0" w:color="auto"/>
              <w:right w:val="none" w:sz="0" w:space="0" w:color="auto"/>
            </w:tcBorders>
            <w:shd w:val="clear" w:color="auto" w:fill="auto"/>
            <w:vAlign w:val="center"/>
            <w:hideMark/>
          </w:tcPr>
          <w:p w14:paraId="07C6E951"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w:t>
            </w:r>
          </w:p>
        </w:tc>
      </w:tr>
      <w:tr w:rsidR="006B2784" w:rsidRPr="0047393D" w14:paraId="1826D845" w14:textId="77777777" w:rsidTr="00577EF3">
        <w:trPr>
          <w:trHeight w:val="315"/>
        </w:trPr>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center"/>
            <w:hideMark/>
          </w:tcPr>
          <w:p w14:paraId="71F11EA5"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Calcium (Ca) (mg)</w:t>
            </w:r>
          </w:p>
        </w:tc>
        <w:tc>
          <w:tcPr>
            <w:tcW w:w="806" w:type="dxa"/>
            <w:shd w:val="clear" w:color="auto" w:fill="auto"/>
            <w:vAlign w:val="center"/>
          </w:tcPr>
          <w:p w14:paraId="4A318B50" w14:textId="77777777" w:rsidR="006B2784" w:rsidRPr="00566986"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104</w:t>
            </w:r>
          </w:p>
        </w:tc>
        <w:tc>
          <w:tcPr>
            <w:tcW w:w="806" w:type="dxa"/>
            <w:shd w:val="clear" w:color="auto" w:fill="auto"/>
            <w:vAlign w:val="center"/>
            <w:hideMark/>
          </w:tcPr>
          <w:p w14:paraId="69BA612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120*</w:t>
            </w:r>
          </w:p>
        </w:tc>
        <w:tc>
          <w:tcPr>
            <w:tcW w:w="680" w:type="dxa"/>
            <w:shd w:val="clear" w:color="auto" w:fill="auto"/>
            <w:vAlign w:val="center"/>
            <w:hideMark/>
          </w:tcPr>
          <w:p w14:paraId="2E2D7D31"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120*</w:t>
            </w:r>
          </w:p>
        </w:tc>
        <w:tc>
          <w:tcPr>
            <w:tcW w:w="680" w:type="dxa"/>
            <w:shd w:val="clear" w:color="auto" w:fill="auto"/>
            <w:vAlign w:val="center"/>
            <w:hideMark/>
          </w:tcPr>
          <w:p w14:paraId="222895D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75</w:t>
            </w:r>
          </w:p>
        </w:tc>
        <w:tc>
          <w:tcPr>
            <w:tcW w:w="680" w:type="dxa"/>
            <w:shd w:val="clear" w:color="auto" w:fill="auto"/>
            <w:vAlign w:val="center"/>
            <w:hideMark/>
          </w:tcPr>
          <w:p w14:paraId="0A095F8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75</w:t>
            </w:r>
          </w:p>
        </w:tc>
        <w:tc>
          <w:tcPr>
            <w:tcW w:w="680" w:type="dxa"/>
            <w:shd w:val="clear" w:color="auto" w:fill="auto"/>
            <w:vAlign w:val="center"/>
            <w:hideMark/>
          </w:tcPr>
          <w:p w14:paraId="24A292A4"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836" w:type="dxa"/>
            <w:shd w:val="clear" w:color="auto" w:fill="auto"/>
            <w:vAlign w:val="center"/>
            <w:hideMark/>
          </w:tcPr>
          <w:p w14:paraId="0BE053D4"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75</w:t>
            </w:r>
          </w:p>
        </w:tc>
        <w:tc>
          <w:tcPr>
            <w:tcW w:w="680" w:type="dxa"/>
            <w:shd w:val="clear" w:color="auto" w:fill="auto"/>
            <w:vAlign w:val="center"/>
            <w:hideMark/>
          </w:tcPr>
          <w:p w14:paraId="37FCB2F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120*</w:t>
            </w:r>
          </w:p>
        </w:tc>
        <w:tc>
          <w:tcPr>
            <w:tcW w:w="680" w:type="dxa"/>
            <w:shd w:val="clear" w:color="auto" w:fill="auto"/>
            <w:vAlign w:val="center"/>
            <w:hideMark/>
          </w:tcPr>
          <w:p w14:paraId="746AD4D1"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4173586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w:t>
            </w:r>
          </w:p>
        </w:tc>
        <w:tc>
          <w:tcPr>
            <w:tcW w:w="680" w:type="dxa"/>
            <w:shd w:val="clear" w:color="auto" w:fill="auto"/>
            <w:vAlign w:val="center"/>
            <w:hideMark/>
          </w:tcPr>
          <w:p w14:paraId="01123DDC"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33DBD26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1322823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w:t>
            </w:r>
          </w:p>
        </w:tc>
        <w:tc>
          <w:tcPr>
            <w:tcW w:w="680" w:type="dxa"/>
            <w:shd w:val="clear" w:color="auto" w:fill="auto"/>
            <w:vAlign w:val="center"/>
            <w:hideMark/>
          </w:tcPr>
          <w:p w14:paraId="2DEA7F6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120*</w:t>
            </w:r>
          </w:p>
        </w:tc>
      </w:tr>
      <w:tr w:rsidR="006B2784" w:rsidRPr="0047393D" w14:paraId="4F9F9073" w14:textId="77777777" w:rsidTr="00686EE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98" w:type="dxa"/>
            <w:tcBorders>
              <w:left w:val="none" w:sz="0" w:space="0" w:color="auto"/>
              <w:right w:val="none" w:sz="0" w:space="0" w:color="auto"/>
            </w:tcBorders>
            <w:shd w:val="clear" w:color="auto" w:fill="auto"/>
            <w:vAlign w:val="center"/>
            <w:hideMark/>
          </w:tcPr>
          <w:p w14:paraId="2543873A"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Sodium (Na) (mg)</w:t>
            </w:r>
          </w:p>
        </w:tc>
        <w:tc>
          <w:tcPr>
            <w:tcW w:w="806" w:type="dxa"/>
            <w:tcBorders>
              <w:left w:val="none" w:sz="0" w:space="0" w:color="auto"/>
              <w:right w:val="none" w:sz="0" w:space="0" w:color="auto"/>
            </w:tcBorders>
            <w:shd w:val="clear" w:color="auto" w:fill="auto"/>
            <w:vAlign w:val="center"/>
          </w:tcPr>
          <w:p w14:paraId="2AA78816" w14:textId="77777777" w:rsidR="006B2784" w:rsidRPr="00566986"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35</w:t>
            </w:r>
          </w:p>
        </w:tc>
        <w:tc>
          <w:tcPr>
            <w:tcW w:w="806" w:type="dxa"/>
            <w:tcBorders>
              <w:left w:val="none" w:sz="0" w:space="0" w:color="auto"/>
              <w:right w:val="none" w:sz="0" w:space="0" w:color="auto"/>
            </w:tcBorders>
            <w:shd w:val="clear" w:color="auto" w:fill="auto"/>
            <w:vAlign w:val="center"/>
            <w:hideMark/>
          </w:tcPr>
          <w:p w14:paraId="781C852D"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34</w:t>
            </w:r>
          </w:p>
        </w:tc>
        <w:tc>
          <w:tcPr>
            <w:tcW w:w="680" w:type="dxa"/>
            <w:tcBorders>
              <w:left w:val="none" w:sz="0" w:space="0" w:color="auto"/>
              <w:right w:val="none" w:sz="0" w:space="0" w:color="auto"/>
            </w:tcBorders>
            <w:shd w:val="clear" w:color="auto" w:fill="auto"/>
            <w:vAlign w:val="center"/>
            <w:hideMark/>
          </w:tcPr>
          <w:p w14:paraId="792DF4F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40</w:t>
            </w:r>
          </w:p>
        </w:tc>
        <w:tc>
          <w:tcPr>
            <w:tcW w:w="680" w:type="dxa"/>
            <w:tcBorders>
              <w:left w:val="none" w:sz="0" w:space="0" w:color="auto"/>
              <w:right w:val="none" w:sz="0" w:space="0" w:color="auto"/>
            </w:tcBorders>
            <w:shd w:val="clear" w:color="auto" w:fill="auto"/>
            <w:vAlign w:val="center"/>
            <w:hideMark/>
          </w:tcPr>
          <w:p w14:paraId="731C63B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30</w:t>
            </w:r>
          </w:p>
        </w:tc>
        <w:tc>
          <w:tcPr>
            <w:tcW w:w="680" w:type="dxa"/>
            <w:tcBorders>
              <w:left w:val="none" w:sz="0" w:space="0" w:color="auto"/>
              <w:right w:val="none" w:sz="0" w:space="0" w:color="auto"/>
            </w:tcBorders>
            <w:shd w:val="clear" w:color="auto" w:fill="auto"/>
            <w:vAlign w:val="center"/>
            <w:hideMark/>
          </w:tcPr>
          <w:p w14:paraId="2329C97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35</w:t>
            </w:r>
          </w:p>
        </w:tc>
        <w:tc>
          <w:tcPr>
            <w:tcW w:w="680" w:type="dxa"/>
            <w:tcBorders>
              <w:left w:val="none" w:sz="0" w:space="0" w:color="auto"/>
              <w:right w:val="none" w:sz="0" w:space="0" w:color="auto"/>
            </w:tcBorders>
            <w:shd w:val="clear" w:color="auto" w:fill="auto"/>
            <w:vAlign w:val="center"/>
            <w:hideMark/>
          </w:tcPr>
          <w:p w14:paraId="15234C7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39</w:t>
            </w:r>
          </w:p>
        </w:tc>
        <w:tc>
          <w:tcPr>
            <w:tcW w:w="836" w:type="dxa"/>
            <w:tcBorders>
              <w:left w:val="none" w:sz="0" w:space="0" w:color="auto"/>
              <w:right w:val="none" w:sz="0" w:space="0" w:color="auto"/>
            </w:tcBorders>
            <w:shd w:val="clear" w:color="auto" w:fill="auto"/>
            <w:vAlign w:val="center"/>
            <w:hideMark/>
          </w:tcPr>
          <w:p w14:paraId="0639A12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25</w:t>
            </w:r>
          </w:p>
        </w:tc>
        <w:tc>
          <w:tcPr>
            <w:tcW w:w="680" w:type="dxa"/>
            <w:tcBorders>
              <w:left w:val="none" w:sz="0" w:space="0" w:color="auto"/>
              <w:right w:val="none" w:sz="0" w:space="0" w:color="auto"/>
            </w:tcBorders>
            <w:shd w:val="clear" w:color="auto" w:fill="auto"/>
            <w:vAlign w:val="center"/>
            <w:hideMark/>
          </w:tcPr>
          <w:p w14:paraId="6BE88E9D"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26</w:t>
            </w:r>
          </w:p>
        </w:tc>
        <w:tc>
          <w:tcPr>
            <w:tcW w:w="680" w:type="dxa"/>
            <w:tcBorders>
              <w:left w:val="none" w:sz="0" w:space="0" w:color="auto"/>
              <w:right w:val="none" w:sz="0" w:space="0" w:color="auto"/>
            </w:tcBorders>
            <w:shd w:val="clear" w:color="auto" w:fill="auto"/>
            <w:vAlign w:val="center"/>
            <w:hideMark/>
          </w:tcPr>
          <w:p w14:paraId="53B40C61"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55</w:t>
            </w:r>
          </w:p>
        </w:tc>
        <w:tc>
          <w:tcPr>
            <w:tcW w:w="680" w:type="dxa"/>
            <w:tcBorders>
              <w:left w:val="none" w:sz="0" w:space="0" w:color="auto"/>
              <w:right w:val="none" w:sz="0" w:space="0" w:color="auto"/>
            </w:tcBorders>
            <w:shd w:val="clear" w:color="auto" w:fill="auto"/>
            <w:vAlign w:val="center"/>
            <w:hideMark/>
          </w:tcPr>
          <w:p w14:paraId="3D4BBBE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20</w:t>
            </w:r>
          </w:p>
        </w:tc>
        <w:tc>
          <w:tcPr>
            <w:tcW w:w="680" w:type="dxa"/>
            <w:tcBorders>
              <w:left w:val="none" w:sz="0" w:space="0" w:color="auto"/>
              <w:right w:val="none" w:sz="0" w:space="0" w:color="auto"/>
            </w:tcBorders>
            <w:shd w:val="clear" w:color="auto" w:fill="auto"/>
            <w:vAlign w:val="center"/>
            <w:hideMark/>
          </w:tcPr>
          <w:p w14:paraId="1D75795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75</w:t>
            </w:r>
          </w:p>
        </w:tc>
        <w:tc>
          <w:tcPr>
            <w:tcW w:w="680" w:type="dxa"/>
            <w:tcBorders>
              <w:left w:val="none" w:sz="0" w:space="0" w:color="auto"/>
              <w:right w:val="none" w:sz="0" w:space="0" w:color="auto"/>
            </w:tcBorders>
            <w:shd w:val="clear" w:color="auto" w:fill="auto"/>
            <w:vAlign w:val="center"/>
            <w:hideMark/>
          </w:tcPr>
          <w:p w14:paraId="3EBDF82B"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10</w:t>
            </w:r>
          </w:p>
        </w:tc>
        <w:tc>
          <w:tcPr>
            <w:tcW w:w="680" w:type="dxa"/>
            <w:tcBorders>
              <w:left w:val="none" w:sz="0" w:space="0" w:color="auto"/>
              <w:right w:val="none" w:sz="0" w:space="0" w:color="auto"/>
            </w:tcBorders>
            <w:shd w:val="clear" w:color="auto" w:fill="auto"/>
            <w:vAlign w:val="center"/>
            <w:hideMark/>
          </w:tcPr>
          <w:p w14:paraId="18E66E7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50</w:t>
            </w:r>
          </w:p>
        </w:tc>
        <w:tc>
          <w:tcPr>
            <w:tcW w:w="680" w:type="dxa"/>
            <w:tcBorders>
              <w:left w:val="none" w:sz="0" w:space="0" w:color="auto"/>
              <w:right w:val="none" w:sz="0" w:space="0" w:color="auto"/>
            </w:tcBorders>
            <w:shd w:val="clear" w:color="auto" w:fill="auto"/>
            <w:vAlign w:val="center"/>
            <w:hideMark/>
          </w:tcPr>
          <w:p w14:paraId="5B290487"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50</w:t>
            </w:r>
          </w:p>
        </w:tc>
      </w:tr>
      <w:tr w:rsidR="006B2784" w:rsidRPr="0047393D" w14:paraId="5E0A485D" w14:textId="77777777" w:rsidTr="00577EF3">
        <w:trPr>
          <w:trHeight w:val="315"/>
        </w:trPr>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center"/>
            <w:hideMark/>
          </w:tcPr>
          <w:p w14:paraId="37756AB6"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Phosphorus (P) (mg)</w:t>
            </w:r>
          </w:p>
        </w:tc>
        <w:tc>
          <w:tcPr>
            <w:tcW w:w="806" w:type="dxa"/>
            <w:shd w:val="clear" w:color="auto" w:fill="auto"/>
            <w:vAlign w:val="center"/>
          </w:tcPr>
          <w:p w14:paraId="2E8BA747" w14:textId="77777777" w:rsidR="006B2784" w:rsidRPr="00566986"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88</w:t>
            </w:r>
          </w:p>
        </w:tc>
        <w:tc>
          <w:tcPr>
            <w:tcW w:w="806" w:type="dxa"/>
            <w:shd w:val="clear" w:color="auto" w:fill="auto"/>
            <w:vAlign w:val="center"/>
            <w:hideMark/>
          </w:tcPr>
          <w:p w14:paraId="3E9D1C7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2C5AF57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38880BC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58</w:t>
            </w:r>
          </w:p>
        </w:tc>
        <w:tc>
          <w:tcPr>
            <w:tcW w:w="680" w:type="dxa"/>
            <w:shd w:val="clear" w:color="auto" w:fill="auto"/>
            <w:vAlign w:val="center"/>
            <w:hideMark/>
          </w:tcPr>
          <w:p w14:paraId="5638D5E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58</w:t>
            </w:r>
          </w:p>
        </w:tc>
        <w:tc>
          <w:tcPr>
            <w:tcW w:w="680" w:type="dxa"/>
            <w:shd w:val="clear" w:color="auto" w:fill="auto"/>
            <w:vAlign w:val="center"/>
            <w:hideMark/>
          </w:tcPr>
          <w:p w14:paraId="5D735F2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836" w:type="dxa"/>
            <w:shd w:val="clear" w:color="auto" w:fill="auto"/>
            <w:vAlign w:val="center"/>
            <w:hideMark/>
          </w:tcPr>
          <w:p w14:paraId="2E173424"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44</w:t>
            </w:r>
          </w:p>
        </w:tc>
        <w:tc>
          <w:tcPr>
            <w:tcW w:w="680" w:type="dxa"/>
            <w:shd w:val="clear" w:color="auto" w:fill="auto"/>
            <w:vAlign w:val="center"/>
            <w:hideMark/>
          </w:tcPr>
          <w:p w14:paraId="4B38070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3F73132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3CB2970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2A59F6C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585C684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6C19A35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w:t>
            </w:r>
          </w:p>
        </w:tc>
        <w:tc>
          <w:tcPr>
            <w:tcW w:w="680" w:type="dxa"/>
            <w:shd w:val="clear" w:color="auto" w:fill="auto"/>
            <w:vAlign w:val="center"/>
            <w:hideMark/>
          </w:tcPr>
          <w:p w14:paraId="2E9D27B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r w:rsidR="006B2784" w:rsidRPr="0047393D" w14:paraId="08E618CA" w14:textId="77777777" w:rsidTr="00686E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8" w:type="dxa"/>
            <w:tcBorders>
              <w:left w:val="none" w:sz="0" w:space="0" w:color="auto"/>
              <w:right w:val="none" w:sz="0" w:space="0" w:color="auto"/>
            </w:tcBorders>
            <w:shd w:val="clear" w:color="auto" w:fill="auto"/>
            <w:vAlign w:val="center"/>
            <w:hideMark/>
          </w:tcPr>
          <w:p w14:paraId="4B86F54C"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lastRenderedPageBreak/>
              <w:t>Vitamin A (µg)</w:t>
            </w:r>
          </w:p>
        </w:tc>
        <w:tc>
          <w:tcPr>
            <w:tcW w:w="806" w:type="dxa"/>
            <w:tcBorders>
              <w:left w:val="none" w:sz="0" w:space="0" w:color="auto"/>
              <w:right w:val="none" w:sz="0" w:space="0" w:color="auto"/>
            </w:tcBorders>
            <w:shd w:val="clear" w:color="auto" w:fill="auto"/>
            <w:vAlign w:val="center"/>
          </w:tcPr>
          <w:p w14:paraId="137D3277" w14:textId="77777777" w:rsidR="006B2784" w:rsidRPr="00566986"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51</w:t>
            </w:r>
          </w:p>
        </w:tc>
        <w:tc>
          <w:tcPr>
            <w:tcW w:w="806" w:type="dxa"/>
            <w:tcBorders>
              <w:left w:val="none" w:sz="0" w:space="0" w:color="auto"/>
              <w:right w:val="none" w:sz="0" w:space="0" w:color="auto"/>
            </w:tcBorders>
            <w:shd w:val="clear" w:color="auto" w:fill="auto"/>
            <w:vAlign w:val="center"/>
            <w:hideMark/>
          </w:tcPr>
          <w:p w14:paraId="4505A82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05104DA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5D802B67"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190DF48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476B6870"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836" w:type="dxa"/>
            <w:tcBorders>
              <w:left w:val="none" w:sz="0" w:space="0" w:color="auto"/>
              <w:right w:val="none" w:sz="0" w:space="0" w:color="auto"/>
            </w:tcBorders>
            <w:shd w:val="clear" w:color="auto" w:fill="auto"/>
            <w:vAlign w:val="center"/>
            <w:hideMark/>
          </w:tcPr>
          <w:p w14:paraId="7E9278C2"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542FB62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456B731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462B4EC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w:t>
            </w:r>
          </w:p>
        </w:tc>
        <w:tc>
          <w:tcPr>
            <w:tcW w:w="680" w:type="dxa"/>
            <w:tcBorders>
              <w:left w:val="none" w:sz="0" w:space="0" w:color="auto"/>
              <w:right w:val="none" w:sz="0" w:space="0" w:color="auto"/>
            </w:tcBorders>
            <w:shd w:val="clear" w:color="auto" w:fill="auto"/>
            <w:vAlign w:val="center"/>
            <w:hideMark/>
          </w:tcPr>
          <w:p w14:paraId="06797007"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7BCB603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4436BCC7"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w:t>
            </w:r>
          </w:p>
        </w:tc>
        <w:tc>
          <w:tcPr>
            <w:tcW w:w="680" w:type="dxa"/>
            <w:tcBorders>
              <w:left w:val="none" w:sz="0" w:space="0" w:color="auto"/>
              <w:right w:val="none" w:sz="0" w:space="0" w:color="auto"/>
            </w:tcBorders>
            <w:shd w:val="clear" w:color="auto" w:fill="auto"/>
            <w:vAlign w:val="center"/>
            <w:hideMark/>
          </w:tcPr>
          <w:p w14:paraId="02F4EAF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r w:rsidR="006B2784" w:rsidRPr="0047393D" w14:paraId="264A8427" w14:textId="77777777" w:rsidTr="00577EF3">
        <w:trPr>
          <w:trHeight w:val="315"/>
        </w:trPr>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center"/>
            <w:hideMark/>
          </w:tcPr>
          <w:p w14:paraId="7E51ACD0"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Thiamin (B</w:t>
            </w:r>
            <w:r w:rsidRPr="00E11976">
              <w:rPr>
                <w:rFonts w:cs="Arial"/>
                <w:color w:val="000000"/>
                <w:sz w:val="18"/>
                <w:szCs w:val="18"/>
                <w:vertAlign w:val="subscript"/>
                <w:lang w:eastAsia="en-GB" w:bidi="ar-SA"/>
              </w:rPr>
              <w:t>1</w:t>
            </w:r>
            <w:r w:rsidRPr="0047393D">
              <w:rPr>
                <w:rFonts w:cs="Arial"/>
                <w:color w:val="000000"/>
                <w:sz w:val="18"/>
                <w:szCs w:val="18"/>
                <w:lang w:eastAsia="en-GB" w:bidi="ar-SA"/>
              </w:rPr>
              <w:t>) (mg)</w:t>
            </w:r>
          </w:p>
        </w:tc>
        <w:tc>
          <w:tcPr>
            <w:tcW w:w="806" w:type="dxa"/>
            <w:shd w:val="clear" w:color="auto" w:fill="auto"/>
            <w:vAlign w:val="center"/>
          </w:tcPr>
          <w:p w14:paraId="1E5F9793" w14:textId="77777777" w:rsidR="006B2784" w:rsidRPr="00566986"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0.005</w:t>
            </w:r>
          </w:p>
        </w:tc>
        <w:tc>
          <w:tcPr>
            <w:tcW w:w="806" w:type="dxa"/>
            <w:shd w:val="clear" w:color="auto" w:fill="auto"/>
            <w:vAlign w:val="center"/>
            <w:hideMark/>
          </w:tcPr>
          <w:p w14:paraId="54469BD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33D6A011"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4BC76EC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3CF2013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2B257FE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836" w:type="dxa"/>
            <w:shd w:val="clear" w:color="auto" w:fill="auto"/>
            <w:vAlign w:val="center"/>
            <w:hideMark/>
          </w:tcPr>
          <w:p w14:paraId="58A8DAD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60DF879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7A60F1B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7425AEC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64AE01A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02820790"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5168D30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3D7400A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r w:rsidR="006B2784" w:rsidRPr="0047393D" w14:paraId="658EF655" w14:textId="77777777" w:rsidTr="00686E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8" w:type="dxa"/>
            <w:tcBorders>
              <w:left w:val="none" w:sz="0" w:space="0" w:color="auto"/>
              <w:right w:val="none" w:sz="0" w:space="0" w:color="auto"/>
            </w:tcBorders>
            <w:shd w:val="clear" w:color="auto" w:fill="auto"/>
            <w:vAlign w:val="center"/>
            <w:hideMark/>
          </w:tcPr>
          <w:p w14:paraId="13BC9274"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Riboflavin (B</w:t>
            </w:r>
            <w:r w:rsidRPr="00E11976">
              <w:rPr>
                <w:rFonts w:cs="Arial"/>
                <w:color w:val="000000"/>
                <w:sz w:val="18"/>
                <w:szCs w:val="18"/>
                <w:vertAlign w:val="subscript"/>
                <w:lang w:eastAsia="en-GB" w:bidi="ar-SA"/>
              </w:rPr>
              <w:t>2</w:t>
            </w:r>
            <w:r w:rsidRPr="0047393D">
              <w:rPr>
                <w:rFonts w:cs="Arial"/>
                <w:color w:val="000000"/>
                <w:sz w:val="18"/>
                <w:szCs w:val="18"/>
                <w:lang w:eastAsia="en-GB" w:bidi="ar-SA"/>
              </w:rPr>
              <w:t>) (mg)</w:t>
            </w:r>
          </w:p>
        </w:tc>
        <w:tc>
          <w:tcPr>
            <w:tcW w:w="806" w:type="dxa"/>
            <w:tcBorders>
              <w:left w:val="none" w:sz="0" w:space="0" w:color="auto"/>
              <w:right w:val="none" w:sz="0" w:space="0" w:color="auto"/>
            </w:tcBorders>
            <w:shd w:val="clear" w:color="auto" w:fill="auto"/>
            <w:vAlign w:val="center"/>
          </w:tcPr>
          <w:p w14:paraId="444B2E27" w14:textId="77777777" w:rsidR="006B2784" w:rsidRPr="00566986"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0.201</w:t>
            </w:r>
          </w:p>
        </w:tc>
        <w:tc>
          <w:tcPr>
            <w:tcW w:w="806" w:type="dxa"/>
            <w:tcBorders>
              <w:left w:val="none" w:sz="0" w:space="0" w:color="auto"/>
              <w:right w:val="none" w:sz="0" w:space="0" w:color="auto"/>
            </w:tcBorders>
            <w:shd w:val="clear" w:color="auto" w:fill="auto"/>
            <w:vAlign w:val="center"/>
            <w:hideMark/>
          </w:tcPr>
          <w:p w14:paraId="133668F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296644B8"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5367110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3404E647"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3B02F621"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836" w:type="dxa"/>
            <w:tcBorders>
              <w:left w:val="none" w:sz="0" w:space="0" w:color="auto"/>
              <w:right w:val="none" w:sz="0" w:space="0" w:color="auto"/>
            </w:tcBorders>
            <w:shd w:val="clear" w:color="auto" w:fill="auto"/>
            <w:vAlign w:val="center"/>
            <w:hideMark/>
          </w:tcPr>
          <w:p w14:paraId="7BA91CA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21BC927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5A4B1B92"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0E6D890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w:t>
            </w:r>
          </w:p>
        </w:tc>
        <w:tc>
          <w:tcPr>
            <w:tcW w:w="680" w:type="dxa"/>
            <w:tcBorders>
              <w:left w:val="none" w:sz="0" w:space="0" w:color="auto"/>
              <w:right w:val="none" w:sz="0" w:space="0" w:color="auto"/>
            </w:tcBorders>
            <w:shd w:val="clear" w:color="auto" w:fill="auto"/>
            <w:vAlign w:val="center"/>
            <w:hideMark/>
          </w:tcPr>
          <w:p w14:paraId="1B2FAFD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0F795EBD"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3E3442C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75F2255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0.21*</w:t>
            </w:r>
          </w:p>
        </w:tc>
      </w:tr>
      <w:tr w:rsidR="006B2784" w:rsidRPr="0047393D" w14:paraId="310AF904" w14:textId="77777777" w:rsidTr="00577EF3">
        <w:trPr>
          <w:trHeight w:val="315"/>
        </w:trPr>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center"/>
            <w:hideMark/>
          </w:tcPr>
          <w:p w14:paraId="388D0D98"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Vitamin B</w:t>
            </w:r>
            <w:r w:rsidRPr="00E11976">
              <w:rPr>
                <w:rFonts w:cs="Arial"/>
                <w:color w:val="000000"/>
                <w:sz w:val="18"/>
                <w:szCs w:val="18"/>
                <w:vertAlign w:val="subscript"/>
                <w:lang w:eastAsia="en-GB" w:bidi="ar-SA"/>
              </w:rPr>
              <w:t>6</w:t>
            </w:r>
            <w:r w:rsidRPr="0047393D">
              <w:rPr>
                <w:rFonts w:cs="Arial"/>
                <w:color w:val="000000"/>
                <w:sz w:val="18"/>
                <w:szCs w:val="18"/>
                <w:lang w:eastAsia="en-GB" w:bidi="ar-SA"/>
              </w:rPr>
              <w:t xml:space="preserve"> (mg)</w:t>
            </w:r>
          </w:p>
        </w:tc>
        <w:tc>
          <w:tcPr>
            <w:tcW w:w="806" w:type="dxa"/>
            <w:shd w:val="clear" w:color="auto" w:fill="auto"/>
            <w:vAlign w:val="center"/>
          </w:tcPr>
          <w:p w14:paraId="164F5D95" w14:textId="77777777" w:rsidR="006B2784" w:rsidRPr="00566986"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0.07</w:t>
            </w:r>
          </w:p>
        </w:tc>
        <w:tc>
          <w:tcPr>
            <w:tcW w:w="806" w:type="dxa"/>
            <w:shd w:val="clear" w:color="auto" w:fill="auto"/>
            <w:vAlign w:val="center"/>
            <w:hideMark/>
          </w:tcPr>
          <w:p w14:paraId="7DC5DD0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2ABDC684"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4D756F6C"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2D40684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1AEDA17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836" w:type="dxa"/>
            <w:shd w:val="clear" w:color="auto" w:fill="auto"/>
            <w:vAlign w:val="center"/>
            <w:hideMark/>
          </w:tcPr>
          <w:p w14:paraId="29594AF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619DF105"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0334405C"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0695C05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3A00CF4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4C1CC96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07684FB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47C6CF4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r w:rsidR="006B2784" w:rsidRPr="0047393D" w14:paraId="54E4B6A8" w14:textId="77777777" w:rsidTr="00686E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8" w:type="dxa"/>
            <w:tcBorders>
              <w:left w:val="none" w:sz="0" w:space="0" w:color="auto"/>
              <w:right w:val="none" w:sz="0" w:space="0" w:color="auto"/>
            </w:tcBorders>
            <w:shd w:val="clear" w:color="auto" w:fill="auto"/>
            <w:vAlign w:val="center"/>
            <w:hideMark/>
          </w:tcPr>
          <w:p w14:paraId="0CFFCB99"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Vitamin B</w:t>
            </w:r>
            <w:r w:rsidRPr="00E11976">
              <w:rPr>
                <w:rFonts w:cs="Arial"/>
                <w:color w:val="000000"/>
                <w:sz w:val="18"/>
                <w:szCs w:val="18"/>
                <w:vertAlign w:val="subscript"/>
                <w:lang w:eastAsia="en-GB" w:bidi="ar-SA"/>
              </w:rPr>
              <w:t>12</w:t>
            </w:r>
            <w:r w:rsidRPr="0047393D">
              <w:rPr>
                <w:rFonts w:cs="Arial"/>
                <w:color w:val="000000"/>
                <w:sz w:val="18"/>
                <w:szCs w:val="18"/>
                <w:lang w:eastAsia="en-GB" w:bidi="ar-SA"/>
              </w:rPr>
              <w:t xml:space="preserve"> (µg)</w:t>
            </w:r>
          </w:p>
        </w:tc>
        <w:tc>
          <w:tcPr>
            <w:tcW w:w="806" w:type="dxa"/>
            <w:tcBorders>
              <w:left w:val="none" w:sz="0" w:space="0" w:color="auto"/>
              <w:right w:val="none" w:sz="0" w:space="0" w:color="auto"/>
            </w:tcBorders>
            <w:shd w:val="clear" w:color="auto" w:fill="auto"/>
            <w:vAlign w:val="center"/>
          </w:tcPr>
          <w:p w14:paraId="4C326873" w14:textId="77777777" w:rsidR="006B2784" w:rsidRPr="00566986"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0.6</w:t>
            </w:r>
          </w:p>
        </w:tc>
        <w:tc>
          <w:tcPr>
            <w:tcW w:w="806" w:type="dxa"/>
            <w:tcBorders>
              <w:left w:val="none" w:sz="0" w:space="0" w:color="auto"/>
              <w:right w:val="none" w:sz="0" w:space="0" w:color="auto"/>
            </w:tcBorders>
            <w:shd w:val="clear" w:color="auto" w:fill="auto"/>
            <w:vAlign w:val="center"/>
            <w:hideMark/>
          </w:tcPr>
          <w:p w14:paraId="44DDE2A3"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0F4C5F6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7FF4EA9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71D8FD4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2C792C7D"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836" w:type="dxa"/>
            <w:tcBorders>
              <w:left w:val="none" w:sz="0" w:space="0" w:color="auto"/>
              <w:right w:val="none" w:sz="0" w:space="0" w:color="auto"/>
            </w:tcBorders>
            <w:shd w:val="clear" w:color="auto" w:fill="auto"/>
            <w:vAlign w:val="center"/>
            <w:hideMark/>
          </w:tcPr>
          <w:p w14:paraId="3FAC8AF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595BA0C9"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2B34194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08BBC0D2"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w:t>
            </w:r>
          </w:p>
        </w:tc>
        <w:tc>
          <w:tcPr>
            <w:tcW w:w="680" w:type="dxa"/>
            <w:tcBorders>
              <w:left w:val="none" w:sz="0" w:space="0" w:color="auto"/>
              <w:right w:val="none" w:sz="0" w:space="0" w:color="auto"/>
            </w:tcBorders>
            <w:shd w:val="clear" w:color="auto" w:fill="auto"/>
            <w:vAlign w:val="center"/>
            <w:hideMark/>
          </w:tcPr>
          <w:p w14:paraId="25E0F8F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42BB791D"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2D222A8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12C61A1E"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0.38*</w:t>
            </w:r>
          </w:p>
        </w:tc>
      </w:tr>
      <w:tr w:rsidR="006B2784" w:rsidRPr="0047393D" w14:paraId="01038668" w14:textId="77777777" w:rsidTr="00577EF3">
        <w:trPr>
          <w:trHeight w:val="315"/>
        </w:trPr>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center"/>
            <w:hideMark/>
          </w:tcPr>
          <w:p w14:paraId="654028FD"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Folate, natural</w:t>
            </w:r>
            <w:r>
              <w:rPr>
                <w:rFonts w:cs="Arial"/>
                <w:color w:val="000000"/>
                <w:sz w:val="18"/>
                <w:szCs w:val="18"/>
                <w:lang w:eastAsia="en-GB" w:bidi="ar-SA"/>
              </w:rPr>
              <w:t xml:space="preserve"> </w:t>
            </w:r>
            <w:r w:rsidRPr="0047393D">
              <w:rPr>
                <w:rFonts w:cs="Arial"/>
                <w:color w:val="000000"/>
                <w:sz w:val="18"/>
                <w:szCs w:val="18"/>
                <w:lang w:eastAsia="en-GB" w:bidi="ar-SA"/>
              </w:rPr>
              <w:t>(µg)</w:t>
            </w:r>
          </w:p>
        </w:tc>
        <w:tc>
          <w:tcPr>
            <w:tcW w:w="806" w:type="dxa"/>
            <w:shd w:val="clear" w:color="auto" w:fill="auto"/>
            <w:vAlign w:val="center"/>
          </w:tcPr>
          <w:p w14:paraId="69716992" w14:textId="77777777" w:rsidR="006B2784" w:rsidRPr="00566986"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14</w:t>
            </w:r>
          </w:p>
        </w:tc>
        <w:tc>
          <w:tcPr>
            <w:tcW w:w="806" w:type="dxa"/>
            <w:shd w:val="clear" w:color="auto" w:fill="auto"/>
            <w:vAlign w:val="center"/>
            <w:hideMark/>
          </w:tcPr>
          <w:p w14:paraId="3EEBE2F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7A6E671B"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7876670C"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715C3B4E"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7A5C1A97"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836" w:type="dxa"/>
            <w:shd w:val="clear" w:color="auto" w:fill="auto"/>
            <w:vAlign w:val="center"/>
            <w:hideMark/>
          </w:tcPr>
          <w:p w14:paraId="3A750B6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3743C56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3DF845A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7895C81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252A6783"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66D1CCC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19AAC7DD"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w:t>
            </w:r>
          </w:p>
        </w:tc>
        <w:tc>
          <w:tcPr>
            <w:tcW w:w="680" w:type="dxa"/>
            <w:shd w:val="clear" w:color="auto" w:fill="auto"/>
            <w:vAlign w:val="center"/>
            <w:hideMark/>
          </w:tcPr>
          <w:p w14:paraId="47C238A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r w:rsidR="006B2784" w:rsidRPr="0047393D" w14:paraId="75BFB1E0" w14:textId="77777777" w:rsidTr="00686E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8" w:type="dxa"/>
            <w:tcBorders>
              <w:left w:val="none" w:sz="0" w:space="0" w:color="auto"/>
              <w:right w:val="none" w:sz="0" w:space="0" w:color="auto"/>
            </w:tcBorders>
            <w:shd w:val="clear" w:color="auto" w:fill="auto"/>
            <w:vAlign w:val="center"/>
            <w:hideMark/>
          </w:tcPr>
          <w:p w14:paraId="7F47F84D"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Magnesium (Mg) (mg)</w:t>
            </w:r>
          </w:p>
        </w:tc>
        <w:tc>
          <w:tcPr>
            <w:tcW w:w="806" w:type="dxa"/>
            <w:tcBorders>
              <w:left w:val="none" w:sz="0" w:space="0" w:color="auto"/>
              <w:right w:val="none" w:sz="0" w:space="0" w:color="auto"/>
            </w:tcBorders>
            <w:shd w:val="clear" w:color="auto" w:fill="auto"/>
            <w:vAlign w:val="center"/>
          </w:tcPr>
          <w:p w14:paraId="070DAED8" w14:textId="77777777" w:rsidR="006B2784" w:rsidRPr="00566986"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10</w:t>
            </w:r>
          </w:p>
        </w:tc>
        <w:tc>
          <w:tcPr>
            <w:tcW w:w="806" w:type="dxa"/>
            <w:tcBorders>
              <w:left w:val="none" w:sz="0" w:space="0" w:color="auto"/>
              <w:right w:val="none" w:sz="0" w:space="0" w:color="auto"/>
            </w:tcBorders>
            <w:shd w:val="clear" w:color="auto" w:fill="auto"/>
            <w:vAlign w:val="center"/>
            <w:hideMark/>
          </w:tcPr>
          <w:p w14:paraId="32F93FB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1F0DAED0"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6AF833E8"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4EEC3D06"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57EDDEAD"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836" w:type="dxa"/>
            <w:tcBorders>
              <w:left w:val="none" w:sz="0" w:space="0" w:color="auto"/>
              <w:right w:val="none" w:sz="0" w:space="0" w:color="auto"/>
            </w:tcBorders>
            <w:shd w:val="clear" w:color="auto" w:fill="auto"/>
            <w:vAlign w:val="center"/>
            <w:hideMark/>
          </w:tcPr>
          <w:p w14:paraId="5B848855"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066F1DE4"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6FDA74B7"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2ABC75DC"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1B02499F"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41CF244A"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42B00852"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763BF8AB" w14:textId="77777777" w:rsidR="006B2784" w:rsidRPr="0047393D" w:rsidRDefault="006B2784" w:rsidP="00D20A1E">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r w:rsidR="006B2784" w:rsidRPr="0047393D" w14:paraId="5108F457" w14:textId="77777777" w:rsidTr="00577EF3">
        <w:trPr>
          <w:trHeight w:val="315"/>
        </w:trPr>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center"/>
            <w:hideMark/>
          </w:tcPr>
          <w:p w14:paraId="5617E505" w14:textId="77777777" w:rsidR="006B2784" w:rsidRPr="0047393D" w:rsidRDefault="006B2784" w:rsidP="00D20A1E">
            <w:pPr>
              <w:widowControl/>
              <w:rPr>
                <w:rFonts w:cs="Arial"/>
                <w:color w:val="000000"/>
                <w:sz w:val="18"/>
                <w:szCs w:val="18"/>
                <w:lang w:eastAsia="en-GB" w:bidi="ar-SA"/>
              </w:rPr>
            </w:pPr>
            <w:r w:rsidRPr="0047393D">
              <w:rPr>
                <w:rFonts w:cs="Arial"/>
                <w:color w:val="000000"/>
                <w:sz w:val="18"/>
                <w:szCs w:val="18"/>
                <w:lang w:eastAsia="en-GB" w:bidi="ar-SA"/>
              </w:rPr>
              <w:t>Zinc (Zn) (mg)</w:t>
            </w:r>
          </w:p>
        </w:tc>
        <w:tc>
          <w:tcPr>
            <w:tcW w:w="806" w:type="dxa"/>
            <w:shd w:val="clear" w:color="auto" w:fill="auto"/>
            <w:vAlign w:val="center"/>
          </w:tcPr>
          <w:p w14:paraId="6DB9DA63" w14:textId="77777777" w:rsidR="006B2784" w:rsidRPr="00566986"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0.34</w:t>
            </w:r>
          </w:p>
        </w:tc>
        <w:tc>
          <w:tcPr>
            <w:tcW w:w="806" w:type="dxa"/>
            <w:shd w:val="clear" w:color="auto" w:fill="auto"/>
            <w:vAlign w:val="center"/>
            <w:hideMark/>
          </w:tcPr>
          <w:p w14:paraId="0DFC058C"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186D8FD2"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3E333B76"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4E7D0558"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2D42D4E4"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836" w:type="dxa"/>
            <w:shd w:val="clear" w:color="auto" w:fill="auto"/>
            <w:vAlign w:val="center"/>
            <w:hideMark/>
          </w:tcPr>
          <w:p w14:paraId="77EDF316"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7E937F0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7B7D799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17AFC49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w:t>
            </w:r>
          </w:p>
        </w:tc>
        <w:tc>
          <w:tcPr>
            <w:tcW w:w="680" w:type="dxa"/>
            <w:shd w:val="clear" w:color="auto" w:fill="auto"/>
            <w:vAlign w:val="center"/>
            <w:hideMark/>
          </w:tcPr>
          <w:p w14:paraId="4D16C4FA"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7D8F9404"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082E5E8F"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shd w:val="clear" w:color="auto" w:fill="auto"/>
            <w:vAlign w:val="center"/>
            <w:hideMark/>
          </w:tcPr>
          <w:p w14:paraId="75EE4639" w14:textId="77777777" w:rsidR="006B2784" w:rsidRPr="0047393D" w:rsidRDefault="006B2784" w:rsidP="00D20A1E">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r w:rsidR="006B2784" w:rsidRPr="0047393D" w14:paraId="60793634" w14:textId="77777777" w:rsidTr="00686E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8" w:type="dxa"/>
            <w:tcBorders>
              <w:left w:val="none" w:sz="0" w:space="0" w:color="auto"/>
              <w:right w:val="none" w:sz="0" w:space="0" w:color="auto"/>
            </w:tcBorders>
            <w:shd w:val="clear" w:color="auto" w:fill="auto"/>
            <w:vAlign w:val="center"/>
            <w:hideMark/>
          </w:tcPr>
          <w:p w14:paraId="5F927C34" w14:textId="77777777" w:rsidR="006B2784" w:rsidRPr="0047393D" w:rsidRDefault="006B2784" w:rsidP="00D20A1E">
            <w:pPr>
              <w:keepNext/>
              <w:keepLines/>
              <w:widowControl/>
              <w:rPr>
                <w:rFonts w:cs="Arial"/>
                <w:color w:val="000000"/>
                <w:sz w:val="18"/>
                <w:szCs w:val="18"/>
                <w:lang w:eastAsia="en-GB" w:bidi="ar-SA"/>
              </w:rPr>
            </w:pPr>
            <w:r w:rsidRPr="0047393D">
              <w:rPr>
                <w:rFonts w:cs="Arial"/>
                <w:color w:val="000000"/>
                <w:sz w:val="18"/>
                <w:szCs w:val="18"/>
                <w:lang w:eastAsia="en-GB" w:bidi="ar-SA"/>
              </w:rPr>
              <w:t>Iodine (I) (µg)</w:t>
            </w:r>
          </w:p>
        </w:tc>
        <w:tc>
          <w:tcPr>
            <w:tcW w:w="806" w:type="dxa"/>
            <w:tcBorders>
              <w:left w:val="none" w:sz="0" w:space="0" w:color="auto"/>
              <w:right w:val="none" w:sz="0" w:space="0" w:color="auto"/>
            </w:tcBorders>
            <w:shd w:val="clear" w:color="auto" w:fill="auto"/>
            <w:vAlign w:val="center"/>
          </w:tcPr>
          <w:p w14:paraId="11B3C57D" w14:textId="77777777" w:rsidR="006B2784" w:rsidRPr="00566986"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EF54D5">
              <w:rPr>
                <w:rFonts w:cs="Arial"/>
                <w:color w:val="000000"/>
                <w:sz w:val="18"/>
                <w:szCs w:val="18"/>
                <w:lang w:eastAsia="en-GB" w:bidi="ar-SA"/>
              </w:rPr>
              <w:t>22.3</w:t>
            </w:r>
          </w:p>
        </w:tc>
        <w:tc>
          <w:tcPr>
            <w:tcW w:w="806" w:type="dxa"/>
            <w:tcBorders>
              <w:left w:val="none" w:sz="0" w:space="0" w:color="auto"/>
              <w:right w:val="none" w:sz="0" w:space="0" w:color="auto"/>
            </w:tcBorders>
            <w:shd w:val="clear" w:color="auto" w:fill="auto"/>
            <w:vAlign w:val="center"/>
            <w:hideMark/>
          </w:tcPr>
          <w:p w14:paraId="38AC03C8"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3A19F26A"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10758F6C"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090BDD95"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27404B36"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836" w:type="dxa"/>
            <w:tcBorders>
              <w:left w:val="none" w:sz="0" w:space="0" w:color="auto"/>
              <w:right w:val="none" w:sz="0" w:space="0" w:color="auto"/>
            </w:tcBorders>
            <w:shd w:val="clear" w:color="auto" w:fill="auto"/>
            <w:vAlign w:val="center"/>
            <w:hideMark/>
          </w:tcPr>
          <w:p w14:paraId="6892254A"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49AD7D72"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1FB25808"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17E7E7AD"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36AF973D"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0949CC44"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6F2DFCA8"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c>
          <w:tcPr>
            <w:tcW w:w="680" w:type="dxa"/>
            <w:tcBorders>
              <w:left w:val="none" w:sz="0" w:space="0" w:color="auto"/>
              <w:right w:val="none" w:sz="0" w:space="0" w:color="auto"/>
            </w:tcBorders>
            <w:shd w:val="clear" w:color="auto" w:fill="auto"/>
            <w:vAlign w:val="center"/>
            <w:hideMark/>
          </w:tcPr>
          <w:p w14:paraId="52429C76" w14:textId="77777777" w:rsidR="006B2784" w:rsidRPr="0047393D" w:rsidRDefault="006B2784" w:rsidP="00D20A1E">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eastAsia="en-GB" w:bidi="ar-SA"/>
              </w:rPr>
            </w:pPr>
            <w:r w:rsidRPr="0047393D">
              <w:rPr>
                <w:rFonts w:cs="Arial"/>
                <w:color w:val="000000"/>
                <w:sz w:val="18"/>
                <w:szCs w:val="18"/>
                <w:lang w:eastAsia="en-GB" w:bidi="ar-SA"/>
              </w:rPr>
              <w:t>ns</w:t>
            </w:r>
          </w:p>
        </w:tc>
      </w:tr>
    </w:tbl>
    <w:p w14:paraId="252152D7" w14:textId="74424EFE" w:rsidR="006B2784" w:rsidRPr="00E4287E" w:rsidRDefault="006B2784" w:rsidP="00D20A1E">
      <w:pPr>
        <w:widowControl/>
        <w:spacing w:before="20" w:after="20"/>
        <w:rPr>
          <w:rFonts w:cs="Arial"/>
          <w:i/>
          <w:iCs/>
          <w:color w:val="000000"/>
          <w:sz w:val="16"/>
          <w:szCs w:val="16"/>
          <w:lang w:eastAsia="en-GB" w:bidi="ar-SA"/>
        </w:rPr>
      </w:pPr>
      <w:r w:rsidRPr="00E4287E">
        <w:rPr>
          <w:rFonts w:cs="Arial"/>
          <w:i/>
          <w:iCs/>
          <w:color w:val="000000"/>
          <w:sz w:val="16"/>
          <w:szCs w:val="16"/>
          <w:lang w:eastAsia="en-GB" w:bidi="ar-SA"/>
        </w:rPr>
        <w:t>ɫ</w:t>
      </w:r>
      <w:r w:rsidR="00E4287E" w:rsidRPr="00E4287E">
        <w:rPr>
          <w:rFonts w:cs="Arial"/>
          <w:i/>
          <w:iCs/>
          <w:color w:val="000000"/>
          <w:sz w:val="16"/>
          <w:szCs w:val="16"/>
          <w:lang w:eastAsia="en-GB" w:bidi="ar-SA"/>
        </w:rPr>
        <w:tab/>
      </w:r>
      <w:r w:rsidRPr="00E4287E">
        <w:rPr>
          <w:rFonts w:cs="Arial"/>
          <w:i/>
          <w:iCs/>
          <w:color w:val="000000"/>
          <w:sz w:val="16"/>
          <w:szCs w:val="16"/>
          <w:lang w:eastAsia="en-GB" w:bidi="ar-SA"/>
        </w:rPr>
        <w:t>Data from AUSNUT 2011-13 Australian Health Survey Food Nutrient Database</w:t>
      </w:r>
      <w:r w:rsidR="004E22D4">
        <w:rPr>
          <w:rFonts w:cs="Arial"/>
          <w:i/>
          <w:iCs/>
          <w:color w:val="000000"/>
          <w:sz w:val="16"/>
          <w:szCs w:val="16"/>
          <w:lang w:eastAsia="en-GB" w:bidi="ar-SA"/>
        </w:rPr>
        <w:t xml:space="preserve"> </w:t>
      </w:r>
      <w:r w:rsidR="00954E58" w:rsidRPr="00954E58">
        <w:rPr>
          <w:rFonts w:cs="Arial"/>
          <w:i/>
          <w:iCs/>
          <w:color w:val="000000"/>
          <w:sz w:val="16"/>
          <w:szCs w:val="16"/>
          <w:lang w:eastAsia="en-GB" w:bidi="ar-SA"/>
        </w:rPr>
        <w:t>(FSANZ 2014)</w:t>
      </w:r>
    </w:p>
    <w:p w14:paraId="0A73D5CE" w14:textId="11305E53" w:rsidR="006B2784" w:rsidRPr="00E4287E" w:rsidRDefault="006B2784" w:rsidP="00D20A1E">
      <w:pPr>
        <w:widowControl/>
        <w:spacing w:before="20" w:after="20"/>
        <w:rPr>
          <w:rFonts w:cs="Arial"/>
          <w:i/>
          <w:iCs/>
          <w:color w:val="000000"/>
          <w:sz w:val="16"/>
          <w:szCs w:val="16"/>
          <w:lang w:eastAsia="en-GB" w:bidi="ar-SA"/>
        </w:rPr>
      </w:pPr>
      <w:r w:rsidRPr="00E4287E">
        <w:rPr>
          <w:rFonts w:cs="Arial"/>
          <w:color w:val="000000"/>
          <w:sz w:val="16"/>
          <w:szCs w:val="16"/>
          <w:lang w:eastAsia="en-GB" w:bidi="ar-SA"/>
        </w:rPr>
        <w:t>#</w:t>
      </w:r>
      <w:r w:rsidR="00E4287E" w:rsidRPr="00E4287E">
        <w:rPr>
          <w:rFonts w:cs="Arial"/>
          <w:i/>
          <w:iCs/>
          <w:color w:val="000000"/>
          <w:sz w:val="16"/>
          <w:szCs w:val="16"/>
          <w:lang w:eastAsia="en-GB" w:bidi="ar-SA"/>
        </w:rPr>
        <w:tab/>
      </w:r>
      <w:r w:rsidRPr="00E4287E">
        <w:rPr>
          <w:rFonts w:cs="Arial"/>
          <w:i/>
          <w:iCs/>
          <w:color w:val="000000"/>
          <w:sz w:val="16"/>
          <w:szCs w:val="16"/>
          <w:lang w:eastAsia="en-GB" w:bidi="ar-SA"/>
        </w:rPr>
        <w:t>Data from product Nutrition Information Panels (NIPs)</w:t>
      </w:r>
    </w:p>
    <w:p w14:paraId="18DDEF31" w14:textId="079F4F40" w:rsidR="006B2784" w:rsidRPr="00E4287E" w:rsidRDefault="006B2784" w:rsidP="00D20A1E">
      <w:pPr>
        <w:widowControl/>
        <w:spacing w:before="20" w:after="20"/>
        <w:rPr>
          <w:sz w:val="16"/>
          <w:szCs w:val="16"/>
        </w:rPr>
      </w:pPr>
      <w:r w:rsidRPr="00E4287E">
        <w:rPr>
          <w:rFonts w:cs="Arial"/>
          <w:i/>
          <w:iCs/>
          <w:color w:val="000000"/>
          <w:sz w:val="16"/>
          <w:szCs w:val="16"/>
          <w:lang w:eastAsia="en-GB" w:bidi="ar-SA"/>
        </w:rPr>
        <w:t>*</w:t>
      </w:r>
      <w:r w:rsidR="00E4287E" w:rsidRPr="00E4287E">
        <w:rPr>
          <w:rFonts w:cs="Arial"/>
          <w:i/>
          <w:iCs/>
          <w:color w:val="000000"/>
          <w:sz w:val="16"/>
          <w:szCs w:val="16"/>
          <w:lang w:eastAsia="en-GB" w:bidi="ar-SA"/>
        </w:rPr>
        <w:tab/>
      </w:r>
      <w:r w:rsidRPr="00E4287E">
        <w:rPr>
          <w:rFonts w:cs="Arial"/>
          <w:i/>
          <w:iCs/>
          <w:color w:val="000000"/>
          <w:sz w:val="16"/>
          <w:szCs w:val="16"/>
          <w:lang w:eastAsia="en-GB" w:bidi="ar-SA"/>
        </w:rPr>
        <w:t>Fortified</w:t>
      </w:r>
    </w:p>
    <w:p w14:paraId="152DFCDA" w14:textId="0848F50B" w:rsidR="006B2784" w:rsidRPr="00E4287E" w:rsidRDefault="00E4287E" w:rsidP="00D20A1E">
      <w:pPr>
        <w:widowControl/>
        <w:spacing w:before="20" w:after="20"/>
        <w:rPr>
          <w:sz w:val="16"/>
          <w:szCs w:val="16"/>
        </w:rPr>
      </w:pPr>
      <w:r w:rsidRPr="00E4287E">
        <w:rPr>
          <w:rFonts w:cs="Arial"/>
          <w:i/>
          <w:iCs/>
          <w:color w:val="000000"/>
          <w:sz w:val="16"/>
          <w:szCs w:val="16"/>
          <w:lang w:eastAsia="en-GB" w:bidi="ar-SA"/>
        </w:rPr>
        <w:t>ns</w:t>
      </w:r>
      <w:r w:rsidRPr="00E4287E">
        <w:rPr>
          <w:rFonts w:cs="Arial"/>
          <w:i/>
          <w:iCs/>
          <w:color w:val="000000"/>
          <w:sz w:val="16"/>
          <w:szCs w:val="16"/>
          <w:lang w:eastAsia="en-GB" w:bidi="ar-SA"/>
        </w:rPr>
        <w:tab/>
      </w:r>
      <w:r w:rsidR="006B2784" w:rsidRPr="00E4287E">
        <w:rPr>
          <w:rFonts w:cs="Arial"/>
          <w:i/>
          <w:iCs/>
          <w:color w:val="000000"/>
          <w:sz w:val="16"/>
          <w:szCs w:val="16"/>
          <w:lang w:eastAsia="en-GB" w:bidi="ar-SA"/>
        </w:rPr>
        <w:t>not specified</w:t>
      </w:r>
      <w:r w:rsidR="006B2784" w:rsidRPr="00E4287E">
        <w:rPr>
          <w:sz w:val="16"/>
          <w:szCs w:val="16"/>
        </w:rPr>
        <w:t xml:space="preserve"> </w:t>
      </w:r>
    </w:p>
    <w:p w14:paraId="2049E6B4" w14:textId="77777777" w:rsidR="006B2784" w:rsidRDefault="006B2784" w:rsidP="00D20A1E">
      <w:pPr>
        <w:widowControl/>
      </w:pPr>
      <w:r>
        <w:br w:type="page"/>
      </w:r>
    </w:p>
    <w:p w14:paraId="4E244103" w14:textId="1AD720A6" w:rsidR="006B2784" w:rsidRDefault="006B2784" w:rsidP="00D20A1E">
      <w:pPr>
        <w:pStyle w:val="FSTableTitle"/>
        <w:widowControl/>
        <w:rPr>
          <w:vertAlign w:val="superscript"/>
        </w:rPr>
      </w:pPr>
      <w:bookmarkStart w:id="197" w:name="_Ref417648746"/>
      <w:r>
        <w:lastRenderedPageBreak/>
        <w:t>Table A1.</w:t>
      </w:r>
      <w:fldSimple w:instr=" SEQ Table_A1. \* ARABIC ">
        <w:r w:rsidR="00047581">
          <w:rPr>
            <w:noProof/>
          </w:rPr>
          <w:t>2</w:t>
        </w:r>
      </w:fldSimple>
      <w:bookmarkEnd w:id="197"/>
      <w:r>
        <w:t>:</w:t>
      </w:r>
      <w:r w:rsidR="00F6296A">
        <w:t xml:space="preserve"> </w:t>
      </w:r>
      <w:r>
        <w:t xml:space="preserve">Proportion of population groups consuming milk and </w:t>
      </w:r>
      <w:r w:rsidR="003D608F">
        <w:t>plant-based milk substitute</w:t>
      </w:r>
      <w:r>
        <w:t>s in Australian and New Zealand national nutrition surveys</w:t>
      </w:r>
      <w:r w:rsidR="00D24122" w:rsidRPr="00D24122">
        <w:rPr>
          <w:vertAlign w:val="superscript"/>
        </w:rPr>
        <w:t>☼</w:t>
      </w:r>
    </w:p>
    <w:p w14:paraId="244725B3" w14:textId="77777777" w:rsidR="0023423F" w:rsidRPr="0023423F" w:rsidRDefault="0023423F" w:rsidP="0023423F"/>
    <w:tbl>
      <w:tblPr>
        <w:tblStyle w:val="TableGrid"/>
        <w:tblW w:w="0" w:type="auto"/>
        <w:tblLayout w:type="fixed"/>
        <w:tblLook w:val="04A0" w:firstRow="1" w:lastRow="0" w:firstColumn="1" w:lastColumn="0" w:noHBand="0" w:noVBand="1"/>
      </w:tblPr>
      <w:tblGrid>
        <w:gridCol w:w="1447"/>
        <w:gridCol w:w="1107"/>
        <w:gridCol w:w="2752"/>
        <w:gridCol w:w="1454"/>
        <w:gridCol w:w="1458"/>
        <w:gridCol w:w="1457"/>
        <w:gridCol w:w="1458"/>
        <w:gridCol w:w="1457"/>
        <w:gridCol w:w="1453"/>
      </w:tblGrid>
      <w:tr w:rsidR="000428F0" w:rsidRPr="000428F0" w14:paraId="272CB498" w14:textId="77777777" w:rsidTr="0026334B">
        <w:trPr>
          <w:trHeight w:val="497"/>
        </w:trPr>
        <w:tc>
          <w:tcPr>
            <w:tcW w:w="1447" w:type="dxa"/>
            <w:vMerge w:val="restart"/>
            <w:shd w:val="clear" w:color="auto" w:fill="B8CCE4" w:themeFill="accent1" w:themeFillTint="66"/>
          </w:tcPr>
          <w:p w14:paraId="5FDEDDB7" w14:textId="2F078E54" w:rsidR="003378C6" w:rsidRPr="000428F0" w:rsidRDefault="003378C6" w:rsidP="00D20A1E">
            <w:pPr>
              <w:widowControl/>
              <w:spacing w:before="40" w:after="40"/>
              <w:jc w:val="center"/>
              <w:rPr>
                <w:rFonts w:cs="Arial"/>
                <w:b/>
                <w:sz w:val="18"/>
                <w:szCs w:val="18"/>
              </w:rPr>
            </w:pPr>
            <w:r w:rsidRPr="000428F0">
              <w:rPr>
                <w:rFonts w:cs="Arial"/>
                <w:b/>
                <w:sz w:val="18"/>
                <w:szCs w:val="18"/>
              </w:rPr>
              <w:t>Nutrition Survey</w:t>
            </w:r>
          </w:p>
        </w:tc>
        <w:tc>
          <w:tcPr>
            <w:tcW w:w="1107" w:type="dxa"/>
            <w:vMerge w:val="restart"/>
            <w:shd w:val="clear" w:color="auto" w:fill="B8CCE4" w:themeFill="accent1" w:themeFillTint="66"/>
          </w:tcPr>
          <w:p w14:paraId="03EC9638" w14:textId="77777777" w:rsidR="003378C6" w:rsidRPr="000428F0" w:rsidRDefault="003378C6" w:rsidP="00D20A1E">
            <w:pPr>
              <w:widowControl/>
              <w:spacing w:before="40" w:after="40"/>
              <w:rPr>
                <w:rFonts w:cs="Arial"/>
                <w:b/>
                <w:sz w:val="18"/>
                <w:szCs w:val="18"/>
              </w:rPr>
            </w:pPr>
            <w:r w:rsidRPr="000428F0">
              <w:rPr>
                <w:rFonts w:cs="Arial"/>
                <w:b/>
                <w:sz w:val="18"/>
                <w:szCs w:val="18"/>
              </w:rPr>
              <w:t>Age</w:t>
            </w:r>
          </w:p>
        </w:tc>
        <w:tc>
          <w:tcPr>
            <w:tcW w:w="2752" w:type="dxa"/>
            <w:vMerge w:val="restart"/>
            <w:shd w:val="clear" w:color="auto" w:fill="B8CCE4" w:themeFill="accent1" w:themeFillTint="66"/>
          </w:tcPr>
          <w:p w14:paraId="6A9FB0E2" w14:textId="0D65B77A" w:rsidR="003378C6" w:rsidRPr="000428F0" w:rsidRDefault="003378C6" w:rsidP="00D20A1E">
            <w:pPr>
              <w:widowControl/>
              <w:spacing w:before="40" w:after="40"/>
              <w:rPr>
                <w:rFonts w:cs="Arial"/>
                <w:b/>
                <w:sz w:val="18"/>
                <w:szCs w:val="18"/>
              </w:rPr>
            </w:pPr>
            <w:r w:rsidRPr="000428F0">
              <w:rPr>
                <w:rFonts w:cs="Arial"/>
                <w:b/>
                <w:sz w:val="18"/>
                <w:szCs w:val="18"/>
              </w:rPr>
              <w:t>Plain or flavoured beverage</w:t>
            </w:r>
          </w:p>
        </w:tc>
        <w:tc>
          <w:tcPr>
            <w:tcW w:w="2912" w:type="dxa"/>
            <w:gridSpan w:val="2"/>
            <w:shd w:val="clear" w:color="auto" w:fill="B8CCE4" w:themeFill="accent1" w:themeFillTint="66"/>
            <w:vAlign w:val="center"/>
          </w:tcPr>
          <w:p w14:paraId="264B8291" w14:textId="0A7CA3AC" w:rsidR="003378C6" w:rsidRPr="000428F0" w:rsidRDefault="003378C6" w:rsidP="00D20A1E">
            <w:pPr>
              <w:widowControl/>
              <w:spacing w:before="40" w:after="40"/>
              <w:jc w:val="center"/>
              <w:rPr>
                <w:rFonts w:cs="Arial"/>
                <w:b/>
                <w:sz w:val="18"/>
                <w:szCs w:val="18"/>
              </w:rPr>
            </w:pPr>
            <w:r w:rsidRPr="000428F0">
              <w:rPr>
                <w:rFonts w:cs="Arial"/>
                <w:b/>
                <w:sz w:val="18"/>
                <w:szCs w:val="18"/>
              </w:rPr>
              <w:t>Milk</w:t>
            </w:r>
          </w:p>
        </w:tc>
        <w:tc>
          <w:tcPr>
            <w:tcW w:w="2915" w:type="dxa"/>
            <w:gridSpan w:val="2"/>
            <w:shd w:val="clear" w:color="auto" w:fill="B8CCE4" w:themeFill="accent1" w:themeFillTint="66"/>
            <w:vAlign w:val="center"/>
          </w:tcPr>
          <w:p w14:paraId="39DCAC33" w14:textId="77777777" w:rsidR="003378C6" w:rsidRPr="000428F0" w:rsidRDefault="003378C6" w:rsidP="00D20A1E">
            <w:pPr>
              <w:widowControl/>
              <w:spacing w:before="40" w:after="40"/>
              <w:jc w:val="center"/>
              <w:rPr>
                <w:rFonts w:cs="Arial"/>
                <w:b/>
                <w:sz w:val="18"/>
                <w:szCs w:val="18"/>
              </w:rPr>
            </w:pPr>
            <w:r w:rsidRPr="000428F0">
              <w:rPr>
                <w:rFonts w:cs="Arial"/>
                <w:b/>
                <w:sz w:val="18"/>
                <w:szCs w:val="18"/>
              </w:rPr>
              <w:t>Soy-based beverages</w:t>
            </w:r>
          </w:p>
        </w:tc>
        <w:tc>
          <w:tcPr>
            <w:tcW w:w="2910" w:type="dxa"/>
            <w:gridSpan w:val="2"/>
            <w:shd w:val="clear" w:color="auto" w:fill="B8CCE4" w:themeFill="accent1" w:themeFillTint="66"/>
            <w:vAlign w:val="center"/>
          </w:tcPr>
          <w:p w14:paraId="61C6EADB" w14:textId="32B26056" w:rsidR="003378C6" w:rsidRPr="000428F0" w:rsidRDefault="003378C6" w:rsidP="00D20A1E">
            <w:pPr>
              <w:widowControl/>
              <w:spacing w:before="40" w:after="40"/>
              <w:jc w:val="center"/>
              <w:rPr>
                <w:rFonts w:cs="Arial"/>
                <w:b/>
                <w:sz w:val="18"/>
                <w:szCs w:val="18"/>
              </w:rPr>
            </w:pPr>
            <w:r w:rsidRPr="000428F0">
              <w:rPr>
                <w:rFonts w:cs="Arial"/>
                <w:b/>
                <w:sz w:val="18"/>
                <w:szCs w:val="18"/>
              </w:rPr>
              <w:t>Other plant-based milk substitutes</w:t>
            </w:r>
          </w:p>
        </w:tc>
      </w:tr>
      <w:tr w:rsidR="000428F0" w:rsidRPr="000428F0" w14:paraId="615C468B" w14:textId="77777777" w:rsidTr="0026334B">
        <w:trPr>
          <w:trHeight w:val="144"/>
        </w:trPr>
        <w:tc>
          <w:tcPr>
            <w:tcW w:w="1447" w:type="dxa"/>
            <w:vMerge/>
            <w:shd w:val="clear" w:color="auto" w:fill="B8CCE4" w:themeFill="accent1" w:themeFillTint="66"/>
          </w:tcPr>
          <w:p w14:paraId="7918E74F" w14:textId="77777777" w:rsidR="003378C6" w:rsidRPr="000428F0" w:rsidRDefault="003378C6" w:rsidP="00D20A1E">
            <w:pPr>
              <w:widowControl/>
              <w:spacing w:before="40" w:after="40"/>
              <w:jc w:val="center"/>
              <w:rPr>
                <w:rFonts w:cs="Arial"/>
                <w:b/>
                <w:sz w:val="18"/>
                <w:szCs w:val="18"/>
              </w:rPr>
            </w:pPr>
          </w:p>
        </w:tc>
        <w:tc>
          <w:tcPr>
            <w:tcW w:w="1107" w:type="dxa"/>
            <w:vMerge/>
            <w:shd w:val="clear" w:color="auto" w:fill="B8CCE4" w:themeFill="accent1" w:themeFillTint="66"/>
          </w:tcPr>
          <w:p w14:paraId="4B6EB577" w14:textId="77777777" w:rsidR="003378C6" w:rsidRPr="000428F0" w:rsidRDefault="003378C6" w:rsidP="00D20A1E">
            <w:pPr>
              <w:widowControl/>
              <w:spacing w:before="40" w:after="40"/>
              <w:rPr>
                <w:rFonts w:cs="Arial"/>
                <w:b/>
                <w:sz w:val="18"/>
                <w:szCs w:val="18"/>
              </w:rPr>
            </w:pPr>
          </w:p>
        </w:tc>
        <w:tc>
          <w:tcPr>
            <w:tcW w:w="2752" w:type="dxa"/>
            <w:vMerge/>
            <w:tcBorders>
              <w:bottom w:val="single" w:sz="4" w:space="0" w:color="000000"/>
            </w:tcBorders>
            <w:shd w:val="clear" w:color="auto" w:fill="B8CCE4" w:themeFill="accent1" w:themeFillTint="66"/>
          </w:tcPr>
          <w:p w14:paraId="1005EA2B" w14:textId="512EF152" w:rsidR="003378C6" w:rsidRPr="000428F0" w:rsidRDefault="003378C6" w:rsidP="00D20A1E">
            <w:pPr>
              <w:widowControl/>
              <w:spacing w:before="40" w:after="40"/>
              <w:rPr>
                <w:rFonts w:cs="Arial"/>
                <w:b/>
                <w:sz w:val="18"/>
                <w:szCs w:val="18"/>
              </w:rPr>
            </w:pPr>
          </w:p>
        </w:tc>
        <w:tc>
          <w:tcPr>
            <w:tcW w:w="1454" w:type="dxa"/>
            <w:tcBorders>
              <w:bottom w:val="single" w:sz="4" w:space="0" w:color="000000"/>
            </w:tcBorders>
            <w:shd w:val="clear" w:color="auto" w:fill="B8CCE4" w:themeFill="accent1" w:themeFillTint="66"/>
          </w:tcPr>
          <w:p w14:paraId="71346221" w14:textId="0D019035" w:rsidR="003378C6" w:rsidRPr="000428F0" w:rsidRDefault="003378C6" w:rsidP="00D20A1E">
            <w:pPr>
              <w:widowControl/>
              <w:spacing w:before="40" w:after="40"/>
              <w:jc w:val="center"/>
              <w:rPr>
                <w:rFonts w:cs="Arial"/>
                <w:b/>
                <w:sz w:val="18"/>
                <w:szCs w:val="18"/>
              </w:rPr>
            </w:pPr>
            <w:r w:rsidRPr="000428F0">
              <w:rPr>
                <w:rFonts w:cs="Arial"/>
                <w:b/>
                <w:sz w:val="18"/>
                <w:szCs w:val="18"/>
              </w:rPr>
              <w:t>Number of consumers</w:t>
            </w:r>
          </w:p>
        </w:tc>
        <w:tc>
          <w:tcPr>
            <w:tcW w:w="1457" w:type="dxa"/>
            <w:tcBorders>
              <w:bottom w:val="single" w:sz="4" w:space="0" w:color="000000"/>
            </w:tcBorders>
            <w:shd w:val="clear" w:color="auto" w:fill="B8CCE4" w:themeFill="accent1" w:themeFillTint="66"/>
          </w:tcPr>
          <w:p w14:paraId="01A58C45" w14:textId="77777777" w:rsidR="003378C6" w:rsidRPr="000428F0" w:rsidRDefault="003378C6" w:rsidP="00D20A1E">
            <w:pPr>
              <w:widowControl/>
              <w:spacing w:before="40" w:after="40"/>
              <w:jc w:val="center"/>
              <w:rPr>
                <w:rFonts w:cs="Arial"/>
                <w:b/>
                <w:sz w:val="18"/>
                <w:szCs w:val="18"/>
              </w:rPr>
            </w:pPr>
            <w:r w:rsidRPr="000428F0">
              <w:rPr>
                <w:rFonts w:cs="Arial"/>
                <w:b/>
                <w:sz w:val="18"/>
                <w:szCs w:val="18"/>
              </w:rPr>
              <w:t>% consumers to respondents</w:t>
            </w:r>
          </w:p>
        </w:tc>
        <w:tc>
          <w:tcPr>
            <w:tcW w:w="1457" w:type="dxa"/>
            <w:tcBorders>
              <w:bottom w:val="single" w:sz="4" w:space="0" w:color="000000"/>
            </w:tcBorders>
            <w:shd w:val="clear" w:color="auto" w:fill="B8CCE4" w:themeFill="accent1" w:themeFillTint="66"/>
          </w:tcPr>
          <w:p w14:paraId="4702E558" w14:textId="77777777" w:rsidR="003378C6" w:rsidRPr="000428F0" w:rsidRDefault="003378C6" w:rsidP="00D20A1E">
            <w:pPr>
              <w:widowControl/>
              <w:spacing w:before="40" w:after="40"/>
              <w:jc w:val="center"/>
              <w:rPr>
                <w:rFonts w:cs="Arial"/>
                <w:b/>
                <w:sz w:val="18"/>
                <w:szCs w:val="18"/>
              </w:rPr>
            </w:pPr>
            <w:r w:rsidRPr="000428F0">
              <w:rPr>
                <w:rFonts w:cs="Arial"/>
                <w:b/>
                <w:sz w:val="18"/>
                <w:szCs w:val="18"/>
              </w:rPr>
              <w:t>Number of consumers</w:t>
            </w:r>
          </w:p>
        </w:tc>
        <w:tc>
          <w:tcPr>
            <w:tcW w:w="1457" w:type="dxa"/>
            <w:tcBorders>
              <w:bottom w:val="single" w:sz="4" w:space="0" w:color="000000"/>
            </w:tcBorders>
            <w:shd w:val="clear" w:color="auto" w:fill="B8CCE4" w:themeFill="accent1" w:themeFillTint="66"/>
          </w:tcPr>
          <w:p w14:paraId="5525363D" w14:textId="77777777" w:rsidR="003378C6" w:rsidRPr="000428F0" w:rsidRDefault="003378C6" w:rsidP="00D20A1E">
            <w:pPr>
              <w:widowControl/>
              <w:spacing w:before="40" w:after="40"/>
              <w:jc w:val="center"/>
              <w:rPr>
                <w:rFonts w:cs="Arial"/>
                <w:b/>
                <w:sz w:val="18"/>
                <w:szCs w:val="18"/>
              </w:rPr>
            </w:pPr>
            <w:r w:rsidRPr="000428F0">
              <w:rPr>
                <w:rFonts w:cs="Arial"/>
                <w:b/>
                <w:sz w:val="18"/>
                <w:szCs w:val="18"/>
              </w:rPr>
              <w:t>% consumers to respondents</w:t>
            </w:r>
          </w:p>
        </w:tc>
        <w:tc>
          <w:tcPr>
            <w:tcW w:w="1457" w:type="dxa"/>
            <w:tcBorders>
              <w:bottom w:val="single" w:sz="4" w:space="0" w:color="000000"/>
            </w:tcBorders>
            <w:shd w:val="clear" w:color="auto" w:fill="B8CCE4" w:themeFill="accent1" w:themeFillTint="66"/>
          </w:tcPr>
          <w:p w14:paraId="0F9E9C3A" w14:textId="77777777" w:rsidR="003378C6" w:rsidRPr="000428F0" w:rsidRDefault="003378C6" w:rsidP="00D20A1E">
            <w:pPr>
              <w:widowControl/>
              <w:spacing w:before="40" w:after="40"/>
              <w:jc w:val="center"/>
              <w:rPr>
                <w:rFonts w:cs="Arial"/>
                <w:b/>
                <w:sz w:val="18"/>
                <w:szCs w:val="18"/>
              </w:rPr>
            </w:pPr>
            <w:r w:rsidRPr="000428F0">
              <w:rPr>
                <w:rFonts w:cs="Arial"/>
                <w:b/>
                <w:sz w:val="18"/>
                <w:szCs w:val="18"/>
              </w:rPr>
              <w:t>Number of consumers</w:t>
            </w:r>
          </w:p>
        </w:tc>
        <w:tc>
          <w:tcPr>
            <w:tcW w:w="1452" w:type="dxa"/>
            <w:tcBorders>
              <w:bottom w:val="single" w:sz="4" w:space="0" w:color="000000"/>
            </w:tcBorders>
            <w:shd w:val="clear" w:color="auto" w:fill="B8CCE4" w:themeFill="accent1" w:themeFillTint="66"/>
          </w:tcPr>
          <w:p w14:paraId="52DC1D48" w14:textId="77777777" w:rsidR="003378C6" w:rsidRPr="000428F0" w:rsidRDefault="003378C6" w:rsidP="00D20A1E">
            <w:pPr>
              <w:widowControl/>
              <w:spacing w:before="40" w:after="40"/>
              <w:jc w:val="center"/>
              <w:rPr>
                <w:rFonts w:cs="Arial"/>
                <w:b/>
                <w:sz w:val="18"/>
                <w:szCs w:val="18"/>
              </w:rPr>
            </w:pPr>
            <w:r w:rsidRPr="000428F0">
              <w:rPr>
                <w:rFonts w:cs="Arial"/>
                <w:b/>
                <w:sz w:val="18"/>
                <w:szCs w:val="18"/>
              </w:rPr>
              <w:t>% consumers to respondents</w:t>
            </w:r>
          </w:p>
        </w:tc>
      </w:tr>
      <w:tr w:rsidR="000428F0" w:rsidRPr="000428F0" w14:paraId="2BD4134E" w14:textId="77777777" w:rsidTr="0026334B">
        <w:trPr>
          <w:trHeight w:val="327"/>
        </w:trPr>
        <w:tc>
          <w:tcPr>
            <w:tcW w:w="1447" w:type="dxa"/>
            <w:vMerge w:val="restart"/>
            <w:vAlign w:val="center"/>
          </w:tcPr>
          <w:p w14:paraId="2C0B3836" w14:textId="470A706F" w:rsidR="003378C6" w:rsidRPr="000428F0" w:rsidRDefault="003378C6" w:rsidP="00D20A1E">
            <w:pPr>
              <w:widowControl/>
              <w:spacing w:before="60" w:after="60"/>
              <w:rPr>
                <w:rFonts w:cs="Arial"/>
                <w:sz w:val="18"/>
                <w:szCs w:val="18"/>
              </w:rPr>
            </w:pPr>
            <w:r w:rsidRPr="000428F0">
              <w:rPr>
                <w:rFonts w:cs="Arial"/>
                <w:sz w:val="18"/>
                <w:szCs w:val="18"/>
              </w:rPr>
              <w:t>1995 AusNNS</w:t>
            </w:r>
          </w:p>
        </w:tc>
        <w:tc>
          <w:tcPr>
            <w:tcW w:w="1107" w:type="dxa"/>
            <w:vMerge w:val="restart"/>
            <w:vAlign w:val="center"/>
          </w:tcPr>
          <w:p w14:paraId="457830CE" w14:textId="07BCF937" w:rsidR="003378C6" w:rsidRPr="000428F0" w:rsidRDefault="003378C6" w:rsidP="00D20A1E">
            <w:pPr>
              <w:widowControl/>
              <w:spacing w:before="60" w:after="60"/>
              <w:rPr>
                <w:rFonts w:cs="Arial"/>
                <w:sz w:val="18"/>
                <w:szCs w:val="18"/>
              </w:rPr>
            </w:pPr>
            <w:r w:rsidRPr="000428F0">
              <w:rPr>
                <w:rFonts w:cs="Arial"/>
                <w:sz w:val="18"/>
                <w:szCs w:val="18"/>
              </w:rPr>
              <w:t>17 years &amp; above</w:t>
            </w:r>
          </w:p>
        </w:tc>
        <w:tc>
          <w:tcPr>
            <w:tcW w:w="2752" w:type="dxa"/>
            <w:tcBorders>
              <w:bottom w:val="dotted" w:sz="4" w:space="0" w:color="auto"/>
            </w:tcBorders>
            <w:vAlign w:val="center"/>
          </w:tcPr>
          <w:p w14:paraId="70F1B956" w14:textId="62C43367" w:rsidR="003378C6" w:rsidRPr="000428F0" w:rsidRDefault="003378C6" w:rsidP="00D20A1E">
            <w:pPr>
              <w:widowControl/>
              <w:spacing w:before="60" w:after="60"/>
              <w:rPr>
                <w:rFonts w:cs="Arial"/>
                <w:sz w:val="18"/>
                <w:szCs w:val="18"/>
              </w:rPr>
            </w:pPr>
            <w:r w:rsidRPr="000428F0">
              <w:rPr>
                <w:rFonts w:cs="Arial"/>
                <w:sz w:val="18"/>
                <w:szCs w:val="18"/>
              </w:rPr>
              <w:t>Plain only</w:t>
            </w:r>
          </w:p>
        </w:tc>
        <w:tc>
          <w:tcPr>
            <w:tcW w:w="1454" w:type="dxa"/>
            <w:tcBorders>
              <w:bottom w:val="dotted" w:sz="4" w:space="0" w:color="auto"/>
            </w:tcBorders>
            <w:vAlign w:val="center"/>
          </w:tcPr>
          <w:p w14:paraId="2EF529BA" w14:textId="1EDBFE5A" w:rsidR="003378C6" w:rsidRPr="000428F0" w:rsidRDefault="003378C6" w:rsidP="00D20A1E">
            <w:pPr>
              <w:widowControl/>
              <w:tabs>
                <w:tab w:val="decimal" w:pos="881"/>
              </w:tabs>
              <w:spacing w:before="60" w:after="60"/>
              <w:rPr>
                <w:rFonts w:cs="Arial"/>
                <w:sz w:val="18"/>
                <w:szCs w:val="18"/>
              </w:rPr>
            </w:pPr>
            <w:r w:rsidRPr="000428F0">
              <w:rPr>
                <w:rFonts w:cs="Arial"/>
                <w:sz w:val="18"/>
                <w:szCs w:val="18"/>
              </w:rPr>
              <w:t>11,441</w:t>
            </w:r>
          </w:p>
        </w:tc>
        <w:tc>
          <w:tcPr>
            <w:tcW w:w="1457" w:type="dxa"/>
            <w:tcBorders>
              <w:bottom w:val="dotted" w:sz="4" w:space="0" w:color="auto"/>
            </w:tcBorders>
            <w:vAlign w:val="center"/>
          </w:tcPr>
          <w:p w14:paraId="0E4E84B6" w14:textId="0CDAC994" w:rsidR="003378C6" w:rsidRPr="000428F0" w:rsidRDefault="003378C6" w:rsidP="00D20A1E">
            <w:pPr>
              <w:widowControl/>
              <w:tabs>
                <w:tab w:val="decimal" w:pos="689"/>
              </w:tabs>
              <w:spacing w:before="60" w:after="60"/>
              <w:rPr>
                <w:rFonts w:cs="Arial"/>
                <w:sz w:val="18"/>
                <w:szCs w:val="18"/>
              </w:rPr>
            </w:pPr>
            <w:r w:rsidRPr="000428F0">
              <w:rPr>
                <w:rFonts w:cs="Arial"/>
                <w:sz w:val="18"/>
                <w:szCs w:val="18"/>
              </w:rPr>
              <w:t>83</w:t>
            </w:r>
          </w:p>
        </w:tc>
        <w:tc>
          <w:tcPr>
            <w:tcW w:w="1457" w:type="dxa"/>
            <w:tcBorders>
              <w:bottom w:val="dotted" w:sz="4" w:space="0" w:color="auto"/>
            </w:tcBorders>
            <w:vAlign w:val="center"/>
          </w:tcPr>
          <w:p w14:paraId="7546002C" w14:textId="7DAEC10F" w:rsidR="003378C6" w:rsidRPr="000428F0" w:rsidRDefault="003378C6" w:rsidP="00D20A1E">
            <w:pPr>
              <w:widowControl/>
              <w:tabs>
                <w:tab w:val="decimal" w:pos="777"/>
              </w:tabs>
              <w:spacing w:before="60" w:after="60"/>
              <w:rPr>
                <w:rFonts w:cs="Arial"/>
                <w:sz w:val="18"/>
                <w:szCs w:val="18"/>
              </w:rPr>
            </w:pPr>
            <w:r w:rsidRPr="000428F0">
              <w:rPr>
                <w:rFonts w:cs="Arial"/>
                <w:sz w:val="18"/>
                <w:szCs w:val="18"/>
              </w:rPr>
              <w:t>289</w:t>
            </w:r>
          </w:p>
        </w:tc>
        <w:tc>
          <w:tcPr>
            <w:tcW w:w="1457" w:type="dxa"/>
            <w:tcBorders>
              <w:bottom w:val="dotted" w:sz="4" w:space="0" w:color="auto"/>
            </w:tcBorders>
            <w:vAlign w:val="center"/>
          </w:tcPr>
          <w:p w14:paraId="198191D2" w14:textId="0C985DEE" w:rsidR="003378C6" w:rsidRPr="000428F0" w:rsidRDefault="003378C6" w:rsidP="00D20A1E">
            <w:pPr>
              <w:widowControl/>
              <w:tabs>
                <w:tab w:val="decimal" w:pos="582"/>
              </w:tabs>
              <w:spacing w:before="60" w:after="60"/>
              <w:rPr>
                <w:rFonts w:cs="Arial"/>
                <w:sz w:val="18"/>
                <w:szCs w:val="18"/>
              </w:rPr>
            </w:pPr>
            <w:r w:rsidRPr="000428F0">
              <w:rPr>
                <w:rFonts w:cs="Arial"/>
                <w:sz w:val="18"/>
                <w:szCs w:val="18"/>
              </w:rPr>
              <w:t>2.1</w:t>
            </w:r>
          </w:p>
        </w:tc>
        <w:tc>
          <w:tcPr>
            <w:tcW w:w="1457" w:type="dxa"/>
            <w:tcBorders>
              <w:bottom w:val="dotted" w:sz="4" w:space="0" w:color="auto"/>
            </w:tcBorders>
            <w:vAlign w:val="center"/>
          </w:tcPr>
          <w:p w14:paraId="1AC3E61B" w14:textId="0DFEA414" w:rsidR="003378C6" w:rsidRPr="000428F0" w:rsidRDefault="003378C6" w:rsidP="00D20A1E">
            <w:pPr>
              <w:widowControl/>
              <w:spacing w:before="60" w:after="60"/>
              <w:jc w:val="center"/>
              <w:rPr>
                <w:rFonts w:cs="Arial"/>
                <w:sz w:val="18"/>
                <w:szCs w:val="18"/>
              </w:rPr>
            </w:pPr>
            <w:r w:rsidRPr="000428F0">
              <w:rPr>
                <w:rFonts w:cs="Arial"/>
                <w:sz w:val="18"/>
                <w:szCs w:val="18"/>
              </w:rPr>
              <w:t>NC</w:t>
            </w:r>
          </w:p>
        </w:tc>
        <w:tc>
          <w:tcPr>
            <w:tcW w:w="1452" w:type="dxa"/>
            <w:tcBorders>
              <w:bottom w:val="dotted" w:sz="4" w:space="0" w:color="auto"/>
            </w:tcBorders>
            <w:vAlign w:val="center"/>
          </w:tcPr>
          <w:p w14:paraId="685F51DA" w14:textId="60250498" w:rsidR="003378C6" w:rsidRPr="000428F0" w:rsidRDefault="003378C6" w:rsidP="00D20A1E">
            <w:pPr>
              <w:widowControl/>
              <w:spacing w:before="60" w:after="60"/>
              <w:jc w:val="center"/>
              <w:rPr>
                <w:rFonts w:cs="Arial"/>
                <w:sz w:val="18"/>
                <w:szCs w:val="18"/>
              </w:rPr>
            </w:pPr>
            <w:r w:rsidRPr="000428F0">
              <w:rPr>
                <w:rFonts w:cs="Arial"/>
                <w:sz w:val="18"/>
                <w:szCs w:val="18"/>
              </w:rPr>
              <w:t>NC</w:t>
            </w:r>
          </w:p>
        </w:tc>
      </w:tr>
      <w:tr w:rsidR="000428F0" w:rsidRPr="000428F0" w14:paraId="282995C8" w14:textId="77777777" w:rsidTr="0026334B">
        <w:trPr>
          <w:trHeight w:val="144"/>
        </w:trPr>
        <w:tc>
          <w:tcPr>
            <w:tcW w:w="1447" w:type="dxa"/>
            <w:vMerge/>
            <w:vAlign w:val="center"/>
          </w:tcPr>
          <w:p w14:paraId="6C37F232" w14:textId="72A50A5C" w:rsidR="003378C6" w:rsidRPr="000428F0" w:rsidRDefault="003378C6" w:rsidP="00D20A1E">
            <w:pPr>
              <w:widowControl/>
              <w:spacing w:before="60" w:after="60"/>
              <w:rPr>
                <w:rFonts w:cs="Arial"/>
                <w:sz w:val="18"/>
                <w:szCs w:val="18"/>
              </w:rPr>
            </w:pPr>
          </w:p>
        </w:tc>
        <w:tc>
          <w:tcPr>
            <w:tcW w:w="1107" w:type="dxa"/>
            <w:vMerge/>
            <w:vAlign w:val="center"/>
          </w:tcPr>
          <w:p w14:paraId="395348BF" w14:textId="792D5796" w:rsidR="003378C6" w:rsidRPr="000428F0" w:rsidRDefault="003378C6" w:rsidP="00D20A1E">
            <w:pPr>
              <w:widowControl/>
              <w:spacing w:before="60" w:after="60"/>
              <w:rPr>
                <w:rFonts w:cs="Arial"/>
                <w:sz w:val="18"/>
                <w:szCs w:val="18"/>
              </w:rPr>
            </w:pPr>
          </w:p>
        </w:tc>
        <w:tc>
          <w:tcPr>
            <w:tcW w:w="2752" w:type="dxa"/>
            <w:tcBorders>
              <w:top w:val="dotted" w:sz="4" w:space="0" w:color="auto"/>
              <w:bottom w:val="single" w:sz="4" w:space="0" w:color="000000"/>
            </w:tcBorders>
            <w:vAlign w:val="center"/>
          </w:tcPr>
          <w:p w14:paraId="4B1AA678" w14:textId="49C79DA7" w:rsidR="003378C6" w:rsidRPr="000428F0" w:rsidRDefault="003378C6" w:rsidP="00D20A1E">
            <w:pPr>
              <w:widowControl/>
              <w:spacing w:before="60" w:after="60"/>
              <w:rPr>
                <w:rFonts w:cs="Arial"/>
                <w:sz w:val="18"/>
                <w:szCs w:val="18"/>
              </w:rPr>
            </w:pPr>
            <w:r w:rsidRPr="000428F0">
              <w:rPr>
                <w:rFonts w:cs="Arial"/>
                <w:sz w:val="18"/>
                <w:szCs w:val="18"/>
              </w:rPr>
              <w:t>Plain</w:t>
            </w:r>
            <w:r w:rsidR="00D33726">
              <w:rPr>
                <w:rFonts w:cs="Arial"/>
                <w:sz w:val="18"/>
                <w:szCs w:val="18"/>
              </w:rPr>
              <w:t xml:space="preserve"> /</w:t>
            </w:r>
            <w:r w:rsidRPr="000428F0">
              <w:rPr>
                <w:rFonts w:cs="Arial"/>
                <w:sz w:val="18"/>
                <w:szCs w:val="18"/>
              </w:rPr>
              <w:t xml:space="preserve"> flavoured </w:t>
            </w:r>
            <w:r w:rsidR="00D33726">
              <w:rPr>
                <w:rFonts w:cs="Arial"/>
                <w:sz w:val="18"/>
                <w:szCs w:val="18"/>
              </w:rPr>
              <w:t>/</w:t>
            </w:r>
            <w:r w:rsidRPr="000428F0">
              <w:rPr>
                <w:rFonts w:cs="Arial"/>
                <w:sz w:val="18"/>
                <w:szCs w:val="18"/>
              </w:rPr>
              <w:t xml:space="preserve"> milkshakes</w:t>
            </w:r>
            <w:r w:rsidR="00D33726">
              <w:rPr>
                <w:rFonts w:cs="Arial"/>
                <w:sz w:val="18"/>
                <w:szCs w:val="18"/>
              </w:rPr>
              <w:t xml:space="preserve"> / milk hot chocolate</w:t>
            </w:r>
          </w:p>
        </w:tc>
        <w:tc>
          <w:tcPr>
            <w:tcW w:w="1454" w:type="dxa"/>
            <w:tcBorders>
              <w:top w:val="dotted" w:sz="4" w:space="0" w:color="auto"/>
              <w:bottom w:val="single" w:sz="4" w:space="0" w:color="000000"/>
            </w:tcBorders>
            <w:vAlign w:val="center"/>
          </w:tcPr>
          <w:p w14:paraId="587136B0" w14:textId="188D9A37" w:rsidR="003378C6" w:rsidRPr="000428F0" w:rsidRDefault="003378C6" w:rsidP="00D20A1E">
            <w:pPr>
              <w:widowControl/>
              <w:tabs>
                <w:tab w:val="decimal" w:pos="881"/>
              </w:tabs>
              <w:spacing w:before="60" w:after="60"/>
              <w:rPr>
                <w:rFonts w:cs="Arial"/>
                <w:sz w:val="18"/>
                <w:szCs w:val="18"/>
              </w:rPr>
            </w:pPr>
            <w:r w:rsidRPr="000428F0">
              <w:rPr>
                <w:rFonts w:cs="Arial"/>
                <w:sz w:val="18"/>
                <w:szCs w:val="18"/>
              </w:rPr>
              <w:t>11,594</w:t>
            </w:r>
          </w:p>
        </w:tc>
        <w:tc>
          <w:tcPr>
            <w:tcW w:w="1457" w:type="dxa"/>
            <w:tcBorders>
              <w:top w:val="dotted" w:sz="4" w:space="0" w:color="auto"/>
              <w:bottom w:val="single" w:sz="4" w:space="0" w:color="000000"/>
            </w:tcBorders>
            <w:vAlign w:val="center"/>
          </w:tcPr>
          <w:p w14:paraId="0A4BE9C3" w14:textId="3D6AB77D" w:rsidR="003378C6" w:rsidRPr="000428F0" w:rsidRDefault="003378C6" w:rsidP="00D20A1E">
            <w:pPr>
              <w:widowControl/>
              <w:tabs>
                <w:tab w:val="decimal" w:pos="689"/>
              </w:tabs>
              <w:spacing w:before="60" w:after="60"/>
              <w:rPr>
                <w:rFonts w:cs="Arial"/>
                <w:sz w:val="18"/>
                <w:szCs w:val="18"/>
              </w:rPr>
            </w:pPr>
            <w:r w:rsidRPr="000428F0">
              <w:rPr>
                <w:rFonts w:cs="Arial"/>
                <w:sz w:val="18"/>
                <w:szCs w:val="18"/>
              </w:rPr>
              <w:t>84</w:t>
            </w:r>
          </w:p>
        </w:tc>
        <w:tc>
          <w:tcPr>
            <w:tcW w:w="1457" w:type="dxa"/>
            <w:tcBorders>
              <w:top w:val="dotted" w:sz="4" w:space="0" w:color="auto"/>
              <w:bottom w:val="single" w:sz="4" w:space="0" w:color="000000"/>
            </w:tcBorders>
            <w:vAlign w:val="center"/>
          </w:tcPr>
          <w:p w14:paraId="1D539FEE" w14:textId="31AD4872" w:rsidR="003378C6" w:rsidRPr="000428F0" w:rsidRDefault="003378C6" w:rsidP="00D20A1E">
            <w:pPr>
              <w:widowControl/>
              <w:tabs>
                <w:tab w:val="decimal" w:pos="777"/>
              </w:tabs>
              <w:spacing w:before="60" w:after="60"/>
              <w:rPr>
                <w:rFonts w:cs="Arial"/>
                <w:sz w:val="18"/>
                <w:szCs w:val="18"/>
              </w:rPr>
            </w:pPr>
            <w:r w:rsidRPr="000428F0">
              <w:rPr>
                <w:rFonts w:cs="Arial"/>
                <w:sz w:val="18"/>
                <w:szCs w:val="18"/>
              </w:rPr>
              <w:t>297</w:t>
            </w:r>
            <w:r w:rsidRPr="000428F0">
              <w:rPr>
                <w:sz w:val="18"/>
                <w:szCs w:val="18"/>
              </w:rPr>
              <w:t>^</w:t>
            </w:r>
          </w:p>
        </w:tc>
        <w:tc>
          <w:tcPr>
            <w:tcW w:w="1457" w:type="dxa"/>
            <w:tcBorders>
              <w:top w:val="dotted" w:sz="4" w:space="0" w:color="auto"/>
              <w:bottom w:val="single" w:sz="4" w:space="0" w:color="000000"/>
            </w:tcBorders>
            <w:vAlign w:val="center"/>
          </w:tcPr>
          <w:p w14:paraId="2C2B28E1" w14:textId="426C6012" w:rsidR="003378C6" w:rsidRPr="000428F0" w:rsidRDefault="003378C6" w:rsidP="00D20A1E">
            <w:pPr>
              <w:widowControl/>
              <w:tabs>
                <w:tab w:val="decimal" w:pos="582"/>
              </w:tabs>
              <w:spacing w:before="60" w:after="60"/>
              <w:rPr>
                <w:rFonts w:cs="Arial"/>
                <w:sz w:val="18"/>
                <w:szCs w:val="18"/>
              </w:rPr>
            </w:pPr>
            <w:r w:rsidRPr="000428F0">
              <w:rPr>
                <w:rFonts w:cs="Arial"/>
                <w:sz w:val="18"/>
                <w:szCs w:val="18"/>
              </w:rPr>
              <w:t>2.1</w:t>
            </w:r>
          </w:p>
        </w:tc>
        <w:tc>
          <w:tcPr>
            <w:tcW w:w="1457" w:type="dxa"/>
            <w:tcBorders>
              <w:top w:val="dotted" w:sz="4" w:space="0" w:color="auto"/>
              <w:bottom w:val="single" w:sz="4" w:space="0" w:color="000000"/>
            </w:tcBorders>
            <w:vAlign w:val="center"/>
          </w:tcPr>
          <w:p w14:paraId="0ECC1B27" w14:textId="52AE57D9" w:rsidR="003378C6" w:rsidRPr="000428F0" w:rsidRDefault="003378C6" w:rsidP="00D20A1E">
            <w:pPr>
              <w:widowControl/>
              <w:spacing w:before="60" w:after="60"/>
              <w:jc w:val="center"/>
              <w:rPr>
                <w:rFonts w:cs="Arial"/>
                <w:sz w:val="18"/>
                <w:szCs w:val="18"/>
              </w:rPr>
            </w:pPr>
            <w:r w:rsidRPr="000428F0">
              <w:rPr>
                <w:rFonts w:cs="Arial"/>
                <w:sz w:val="18"/>
                <w:szCs w:val="18"/>
              </w:rPr>
              <w:t>NC</w:t>
            </w:r>
          </w:p>
        </w:tc>
        <w:tc>
          <w:tcPr>
            <w:tcW w:w="1452" w:type="dxa"/>
            <w:tcBorders>
              <w:top w:val="dotted" w:sz="4" w:space="0" w:color="auto"/>
              <w:bottom w:val="single" w:sz="4" w:space="0" w:color="000000"/>
            </w:tcBorders>
            <w:vAlign w:val="center"/>
          </w:tcPr>
          <w:p w14:paraId="473A71B9" w14:textId="056CFA59" w:rsidR="003378C6" w:rsidRPr="000428F0" w:rsidRDefault="003378C6" w:rsidP="00D20A1E">
            <w:pPr>
              <w:widowControl/>
              <w:spacing w:before="60" w:after="60"/>
              <w:jc w:val="center"/>
              <w:rPr>
                <w:rFonts w:cs="Arial"/>
                <w:sz w:val="18"/>
                <w:szCs w:val="18"/>
              </w:rPr>
            </w:pPr>
            <w:r w:rsidRPr="000428F0">
              <w:rPr>
                <w:rFonts w:cs="Arial"/>
                <w:sz w:val="18"/>
                <w:szCs w:val="18"/>
              </w:rPr>
              <w:t>NC</w:t>
            </w:r>
          </w:p>
        </w:tc>
      </w:tr>
      <w:tr w:rsidR="000428F0" w:rsidRPr="000428F0" w14:paraId="5E4CBA6E" w14:textId="77777777" w:rsidTr="0026334B">
        <w:trPr>
          <w:trHeight w:val="327"/>
        </w:trPr>
        <w:tc>
          <w:tcPr>
            <w:tcW w:w="1447" w:type="dxa"/>
            <w:vMerge w:val="restart"/>
            <w:vAlign w:val="center"/>
          </w:tcPr>
          <w:p w14:paraId="01F55B86" w14:textId="5E8A0A19" w:rsidR="003378C6" w:rsidRPr="000428F0" w:rsidRDefault="003378C6" w:rsidP="00D20A1E">
            <w:pPr>
              <w:widowControl/>
              <w:spacing w:before="60" w:after="60"/>
              <w:rPr>
                <w:rFonts w:cs="Arial"/>
                <w:sz w:val="18"/>
                <w:szCs w:val="18"/>
              </w:rPr>
            </w:pPr>
            <w:r w:rsidRPr="000428F0">
              <w:rPr>
                <w:rFonts w:cs="Arial"/>
                <w:sz w:val="18"/>
                <w:szCs w:val="18"/>
              </w:rPr>
              <w:t>2007 ANCNPAS</w:t>
            </w:r>
          </w:p>
        </w:tc>
        <w:tc>
          <w:tcPr>
            <w:tcW w:w="1107" w:type="dxa"/>
            <w:vMerge w:val="restart"/>
            <w:vAlign w:val="center"/>
          </w:tcPr>
          <w:p w14:paraId="3CC4E265" w14:textId="77777777" w:rsidR="003378C6" w:rsidRPr="000428F0" w:rsidRDefault="003378C6" w:rsidP="00D20A1E">
            <w:pPr>
              <w:widowControl/>
              <w:spacing w:before="60" w:after="60"/>
              <w:rPr>
                <w:rFonts w:cs="Arial"/>
                <w:sz w:val="18"/>
                <w:szCs w:val="18"/>
              </w:rPr>
            </w:pPr>
            <w:r w:rsidRPr="000428F0">
              <w:rPr>
                <w:rFonts w:cs="Arial"/>
                <w:sz w:val="18"/>
                <w:szCs w:val="18"/>
              </w:rPr>
              <w:t>2-16 years</w:t>
            </w:r>
          </w:p>
        </w:tc>
        <w:tc>
          <w:tcPr>
            <w:tcW w:w="2752" w:type="dxa"/>
            <w:tcBorders>
              <w:bottom w:val="dotted" w:sz="4" w:space="0" w:color="auto"/>
            </w:tcBorders>
            <w:vAlign w:val="center"/>
          </w:tcPr>
          <w:p w14:paraId="45664E6D" w14:textId="41D7B41A" w:rsidR="003378C6" w:rsidRPr="000428F0" w:rsidRDefault="003378C6" w:rsidP="00D20A1E">
            <w:pPr>
              <w:widowControl/>
              <w:spacing w:before="60" w:after="60"/>
              <w:rPr>
                <w:rFonts w:cs="Arial"/>
                <w:sz w:val="18"/>
                <w:szCs w:val="18"/>
              </w:rPr>
            </w:pPr>
            <w:r w:rsidRPr="000428F0">
              <w:rPr>
                <w:rFonts w:cs="Arial"/>
                <w:sz w:val="18"/>
                <w:szCs w:val="18"/>
              </w:rPr>
              <w:t>Plain only</w:t>
            </w:r>
          </w:p>
        </w:tc>
        <w:tc>
          <w:tcPr>
            <w:tcW w:w="1454" w:type="dxa"/>
            <w:tcBorders>
              <w:bottom w:val="dotted" w:sz="4" w:space="0" w:color="auto"/>
            </w:tcBorders>
            <w:vAlign w:val="center"/>
          </w:tcPr>
          <w:p w14:paraId="682E17CE" w14:textId="341DB0FA" w:rsidR="003378C6" w:rsidRPr="000428F0" w:rsidRDefault="003378C6" w:rsidP="00D20A1E">
            <w:pPr>
              <w:widowControl/>
              <w:tabs>
                <w:tab w:val="decimal" w:pos="881"/>
              </w:tabs>
              <w:spacing w:before="60" w:after="60"/>
              <w:rPr>
                <w:rFonts w:cs="Arial"/>
                <w:sz w:val="18"/>
                <w:szCs w:val="18"/>
              </w:rPr>
            </w:pPr>
            <w:r w:rsidRPr="000428F0">
              <w:rPr>
                <w:rFonts w:cs="Arial"/>
                <w:sz w:val="18"/>
                <w:szCs w:val="18"/>
              </w:rPr>
              <w:t>3,285</w:t>
            </w:r>
          </w:p>
        </w:tc>
        <w:tc>
          <w:tcPr>
            <w:tcW w:w="1457" w:type="dxa"/>
            <w:tcBorders>
              <w:bottom w:val="dotted" w:sz="4" w:space="0" w:color="auto"/>
            </w:tcBorders>
            <w:vAlign w:val="center"/>
          </w:tcPr>
          <w:p w14:paraId="4B5425E2" w14:textId="174C50C8" w:rsidR="003378C6" w:rsidRPr="000428F0" w:rsidRDefault="003378C6" w:rsidP="00D20A1E">
            <w:pPr>
              <w:widowControl/>
              <w:tabs>
                <w:tab w:val="decimal" w:pos="689"/>
              </w:tabs>
              <w:spacing w:before="60" w:after="60"/>
              <w:rPr>
                <w:rFonts w:cs="Arial"/>
                <w:sz w:val="18"/>
                <w:szCs w:val="18"/>
              </w:rPr>
            </w:pPr>
            <w:r w:rsidRPr="000428F0">
              <w:rPr>
                <w:rFonts w:cs="Arial"/>
                <w:sz w:val="18"/>
                <w:szCs w:val="18"/>
              </w:rPr>
              <w:t>73</w:t>
            </w:r>
          </w:p>
        </w:tc>
        <w:tc>
          <w:tcPr>
            <w:tcW w:w="1457" w:type="dxa"/>
            <w:tcBorders>
              <w:bottom w:val="dotted" w:sz="4" w:space="0" w:color="auto"/>
            </w:tcBorders>
            <w:vAlign w:val="center"/>
          </w:tcPr>
          <w:p w14:paraId="763E2617" w14:textId="1C02F3A0" w:rsidR="003378C6" w:rsidRPr="000428F0" w:rsidRDefault="003378C6" w:rsidP="00D20A1E">
            <w:pPr>
              <w:widowControl/>
              <w:tabs>
                <w:tab w:val="decimal" w:pos="777"/>
              </w:tabs>
              <w:spacing w:before="60" w:after="60"/>
              <w:rPr>
                <w:rFonts w:cs="Arial"/>
                <w:sz w:val="18"/>
                <w:szCs w:val="18"/>
              </w:rPr>
            </w:pPr>
            <w:r w:rsidRPr="000428F0">
              <w:rPr>
                <w:rFonts w:cs="Arial"/>
                <w:sz w:val="18"/>
                <w:szCs w:val="18"/>
              </w:rPr>
              <w:t>86</w:t>
            </w:r>
          </w:p>
        </w:tc>
        <w:tc>
          <w:tcPr>
            <w:tcW w:w="1457" w:type="dxa"/>
            <w:tcBorders>
              <w:bottom w:val="dotted" w:sz="4" w:space="0" w:color="auto"/>
            </w:tcBorders>
            <w:vAlign w:val="center"/>
          </w:tcPr>
          <w:p w14:paraId="49483C23" w14:textId="425154FE" w:rsidR="003378C6" w:rsidRPr="000428F0" w:rsidRDefault="003378C6" w:rsidP="00D20A1E">
            <w:pPr>
              <w:widowControl/>
              <w:tabs>
                <w:tab w:val="decimal" w:pos="582"/>
              </w:tabs>
              <w:spacing w:before="60" w:after="60"/>
              <w:rPr>
                <w:rFonts w:cs="Arial"/>
                <w:sz w:val="18"/>
                <w:szCs w:val="18"/>
              </w:rPr>
            </w:pPr>
            <w:r w:rsidRPr="000428F0">
              <w:rPr>
                <w:rFonts w:cs="Arial"/>
                <w:sz w:val="18"/>
                <w:szCs w:val="18"/>
              </w:rPr>
              <w:t>1.9</w:t>
            </w:r>
          </w:p>
        </w:tc>
        <w:tc>
          <w:tcPr>
            <w:tcW w:w="1457" w:type="dxa"/>
            <w:tcBorders>
              <w:bottom w:val="dotted" w:sz="4" w:space="0" w:color="auto"/>
            </w:tcBorders>
            <w:vAlign w:val="center"/>
          </w:tcPr>
          <w:p w14:paraId="7337E740" w14:textId="3255FE7A" w:rsidR="003378C6" w:rsidRPr="000428F0" w:rsidRDefault="003378C6" w:rsidP="00D20A1E">
            <w:pPr>
              <w:widowControl/>
              <w:tabs>
                <w:tab w:val="decimal" w:pos="670"/>
              </w:tabs>
              <w:spacing w:before="60" w:after="60"/>
              <w:rPr>
                <w:rFonts w:cs="Arial"/>
                <w:sz w:val="18"/>
                <w:szCs w:val="18"/>
              </w:rPr>
            </w:pPr>
            <w:r w:rsidRPr="000428F0">
              <w:rPr>
                <w:rFonts w:cs="Arial"/>
                <w:sz w:val="18"/>
                <w:szCs w:val="18"/>
              </w:rPr>
              <w:t>26</w:t>
            </w:r>
          </w:p>
        </w:tc>
        <w:tc>
          <w:tcPr>
            <w:tcW w:w="1452" w:type="dxa"/>
            <w:tcBorders>
              <w:bottom w:val="dotted" w:sz="4" w:space="0" w:color="auto"/>
            </w:tcBorders>
            <w:vAlign w:val="center"/>
          </w:tcPr>
          <w:p w14:paraId="42AF689A" w14:textId="690E7BC9" w:rsidR="003378C6" w:rsidRPr="000428F0" w:rsidRDefault="003378C6" w:rsidP="00D20A1E">
            <w:pPr>
              <w:widowControl/>
              <w:tabs>
                <w:tab w:val="decimal" w:pos="617"/>
              </w:tabs>
              <w:spacing w:before="60" w:after="60"/>
              <w:rPr>
                <w:rFonts w:cs="Arial"/>
                <w:sz w:val="18"/>
                <w:szCs w:val="18"/>
              </w:rPr>
            </w:pPr>
            <w:r w:rsidRPr="000428F0">
              <w:rPr>
                <w:rFonts w:cs="Arial"/>
                <w:sz w:val="18"/>
                <w:szCs w:val="18"/>
              </w:rPr>
              <w:t>0.6</w:t>
            </w:r>
          </w:p>
        </w:tc>
      </w:tr>
      <w:tr w:rsidR="000428F0" w:rsidRPr="000428F0" w14:paraId="6D3A7CAC" w14:textId="77777777" w:rsidTr="0026334B">
        <w:trPr>
          <w:trHeight w:val="144"/>
        </w:trPr>
        <w:tc>
          <w:tcPr>
            <w:tcW w:w="1447" w:type="dxa"/>
            <w:vMerge/>
            <w:tcBorders>
              <w:bottom w:val="single" w:sz="4" w:space="0" w:color="000000"/>
            </w:tcBorders>
            <w:vAlign w:val="center"/>
          </w:tcPr>
          <w:p w14:paraId="14CF1FEC" w14:textId="73A41158" w:rsidR="003378C6" w:rsidRPr="000428F0" w:rsidRDefault="003378C6" w:rsidP="00D20A1E">
            <w:pPr>
              <w:widowControl/>
              <w:spacing w:before="60" w:after="60"/>
              <w:rPr>
                <w:rFonts w:cs="Arial"/>
                <w:sz w:val="18"/>
                <w:szCs w:val="18"/>
              </w:rPr>
            </w:pPr>
          </w:p>
        </w:tc>
        <w:tc>
          <w:tcPr>
            <w:tcW w:w="1107" w:type="dxa"/>
            <w:vMerge/>
            <w:vAlign w:val="center"/>
          </w:tcPr>
          <w:p w14:paraId="69085123" w14:textId="77777777" w:rsidR="003378C6" w:rsidRPr="000428F0" w:rsidRDefault="003378C6" w:rsidP="00D20A1E">
            <w:pPr>
              <w:widowControl/>
              <w:spacing w:before="60" w:after="60"/>
              <w:rPr>
                <w:rFonts w:cs="Arial"/>
                <w:sz w:val="18"/>
                <w:szCs w:val="18"/>
              </w:rPr>
            </w:pPr>
          </w:p>
        </w:tc>
        <w:tc>
          <w:tcPr>
            <w:tcW w:w="2752" w:type="dxa"/>
            <w:tcBorders>
              <w:top w:val="dotted" w:sz="4" w:space="0" w:color="auto"/>
              <w:bottom w:val="single" w:sz="4" w:space="0" w:color="000000"/>
            </w:tcBorders>
            <w:vAlign w:val="center"/>
          </w:tcPr>
          <w:p w14:paraId="7F1D9296" w14:textId="09F7EB9C" w:rsidR="003378C6" w:rsidRPr="000428F0" w:rsidRDefault="00D33726" w:rsidP="00D20A1E">
            <w:pPr>
              <w:widowControl/>
              <w:spacing w:before="60" w:after="60"/>
              <w:rPr>
                <w:rFonts w:cs="Arial"/>
                <w:sz w:val="18"/>
                <w:szCs w:val="18"/>
              </w:rPr>
            </w:pPr>
            <w:r w:rsidRPr="000428F0">
              <w:rPr>
                <w:rFonts w:cs="Arial"/>
                <w:sz w:val="18"/>
                <w:szCs w:val="18"/>
              </w:rPr>
              <w:t>Plain</w:t>
            </w:r>
            <w:r>
              <w:rPr>
                <w:rFonts w:cs="Arial"/>
                <w:sz w:val="18"/>
                <w:szCs w:val="18"/>
              </w:rPr>
              <w:t xml:space="preserve"> /</w:t>
            </w:r>
            <w:r w:rsidRPr="000428F0">
              <w:rPr>
                <w:rFonts w:cs="Arial"/>
                <w:sz w:val="18"/>
                <w:szCs w:val="18"/>
              </w:rPr>
              <w:t xml:space="preserve"> flavoured </w:t>
            </w:r>
            <w:r>
              <w:rPr>
                <w:rFonts w:cs="Arial"/>
                <w:sz w:val="18"/>
                <w:szCs w:val="18"/>
              </w:rPr>
              <w:t>/</w:t>
            </w:r>
            <w:r w:rsidRPr="000428F0">
              <w:rPr>
                <w:rFonts w:cs="Arial"/>
                <w:sz w:val="18"/>
                <w:szCs w:val="18"/>
              </w:rPr>
              <w:t xml:space="preserve"> milkshakes</w:t>
            </w:r>
            <w:r>
              <w:rPr>
                <w:rFonts w:cs="Arial"/>
                <w:sz w:val="18"/>
                <w:szCs w:val="18"/>
              </w:rPr>
              <w:t xml:space="preserve"> / milk hot chocolate</w:t>
            </w:r>
          </w:p>
        </w:tc>
        <w:tc>
          <w:tcPr>
            <w:tcW w:w="1454" w:type="dxa"/>
            <w:tcBorders>
              <w:top w:val="dotted" w:sz="4" w:space="0" w:color="auto"/>
              <w:bottom w:val="single" w:sz="4" w:space="0" w:color="000000"/>
            </w:tcBorders>
            <w:vAlign w:val="center"/>
          </w:tcPr>
          <w:p w14:paraId="2C8D93C2" w14:textId="05F64191" w:rsidR="003378C6" w:rsidRPr="000428F0" w:rsidRDefault="003378C6" w:rsidP="00D20A1E">
            <w:pPr>
              <w:widowControl/>
              <w:tabs>
                <w:tab w:val="decimal" w:pos="881"/>
              </w:tabs>
              <w:spacing w:before="60" w:after="60"/>
              <w:rPr>
                <w:rFonts w:cs="Arial"/>
                <w:sz w:val="18"/>
                <w:szCs w:val="18"/>
              </w:rPr>
            </w:pPr>
            <w:r w:rsidRPr="000428F0">
              <w:rPr>
                <w:rFonts w:cs="Arial"/>
                <w:sz w:val="18"/>
                <w:szCs w:val="18"/>
              </w:rPr>
              <w:t>3,</w:t>
            </w:r>
            <w:r w:rsidR="009D78AB">
              <w:rPr>
                <w:rFonts w:cs="Arial"/>
                <w:sz w:val="18"/>
                <w:szCs w:val="18"/>
              </w:rPr>
              <w:t>434</w:t>
            </w:r>
          </w:p>
        </w:tc>
        <w:tc>
          <w:tcPr>
            <w:tcW w:w="1457" w:type="dxa"/>
            <w:tcBorders>
              <w:top w:val="dotted" w:sz="4" w:space="0" w:color="auto"/>
              <w:bottom w:val="single" w:sz="4" w:space="0" w:color="000000"/>
            </w:tcBorders>
            <w:vAlign w:val="center"/>
          </w:tcPr>
          <w:p w14:paraId="4E6A3857" w14:textId="533E04EE" w:rsidR="003378C6" w:rsidRPr="000428F0" w:rsidRDefault="004D53D9" w:rsidP="00D20A1E">
            <w:pPr>
              <w:widowControl/>
              <w:tabs>
                <w:tab w:val="decimal" w:pos="689"/>
              </w:tabs>
              <w:spacing w:before="60" w:after="60"/>
              <w:rPr>
                <w:rFonts w:cs="Arial"/>
                <w:sz w:val="18"/>
                <w:szCs w:val="18"/>
              </w:rPr>
            </w:pPr>
            <w:r>
              <w:rPr>
                <w:rFonts w:cs="Arial"/>
                <w:sz w:val="18"/>
                <w:szCs w:val="18"/>
              </w:rPr>
              <w:t>77</w:t>
            </w:r>
          </w:p>
        </w:tc>
        <w:tc>
          <w:tcPr>
            <w:tcW w:w="1457" w:type="dxa"/>
            <w:tcBorders>
              <w:top w:val="dotted" w:sz="4" w:space="0" w:color="auto"/>
              <w:bottom w:val="single" w:sz="4" w:space="0" w:color="000000"/>
            </w:tcBorders>
            <w:vAlign w:val="center"/>
          </w:tcPr>
          <w:p w14:paraId="5C004AA7" w14:textId="150A095B" w:rsidR="003378C6" w:rsidRPr="000428F0" w:rsidRDefault="003378C6" w:rsidP="00D20A1E">
            <w:pPr>
              <w:widowControl/>
              <w:tabs>
                <w:tab w:val="decimal" w:pos="777"/>
              </w:tabs>
              <w:spacing w:before="60" w:after="60"/>
              <w:rPr>
                <w:rFonts w:cs="Arial"/>
                <w:sz w:val="18"/>
                <w:szCs w:val="18"/>
              </w:rPr>
            </w:pPr>
            <w:r w:rsidRPr="000428F0">
              <w:rPr>
                <w:rFonts w:cs="Arial"/>
                <w:sz w:val="18"/>
                <w:szCs w:val="18"/>
              </w:rPr>
              <w:t>101</w:t>
            </w:r>
          </w:p>
        </w:tc>
        <w:tc>
          <w:tcPr>
            <w:tcW w:w="1457" w:type="dxa"/>
            <w:tcBorders>
              <w:top w:val="dotted" w:sz="4" w:space="0" w:color="auto"/>
              <w:bottom w:val="single" w:sz="4" w:space="0" w:color="000000"/>
            </w:tcBorders>
            <w:vAlign w:val="center"/>
          </w:tcPr>
          <w:p w14:paraId="123CDBD6" w14:textId="799E44B5" w:rsidR="003378C6" w:rsidRPr="000428F0" w:rsidRDefault="003378C6" w:rsidP="00D20A1E">
            <w:pPr>
              <w:widowControl/>
              <w:tabs>
                <w:tab w:val="decimal" w:pos="582"/>
              </w:tabs>
              <w:spacing w:before="60" w:after="60"/>
              <w:rPr>
                <w:rFonts w:cs="Arial"/>
                <w:sz w:val="18"/>
                <w:szCs w:val="18"/>
              </w:rPr>
            </w:pPr>
            <w:r w:rsidRPr="000428F0">
              <w:rPr>
                <w:rFonts w:cs="Arial"/>
                <w:sz w:val="18"/>
                <w:szCs w:val="18"/>
              </w:rPr>
              <w:t>2.3</w:t>
            </w:r>
          </w:p>
        </w:tc>
        <w:tc>
          <w:tcPr>
            <w:tcW w:w="1457" w:type="dxa"/>
            <w:tcBorders>
              <w:top w:val="dotted" w:sz="4" w:space="0" w:color="auto"/>
              <w:bottom w:val="single" w:sz="4" w:space="0" w:color="000000"/>
            </w:tcBorders>
            <w:vAlign w:val="center"/>
          </w:tcPr>
          <w:p w14:paraId="43CA5B30" w14:textId="62CA7BBC" w:rsidR="003378C6" w:rsidRPr="000428F0" w:rsidRDefault="003378C6" w:rsidP="00D20A1E">
            <w:pPr>
              <w:widowControl/>
              <w:tabs>
                <w:tab w:val="decimal" w:pos="670"/>
              </w:tabs>
              <w:spacing w:before="60" w:after="60"/>
              <w:rPr>
                <w:rFonts w:cs="Arial"/>
                <w:sz w:val="18"/>
                <w:szCs w:val="18"/>
              </w:rPr>
            </w:pPr>
            <w:r w:rsidRPr="000428F0">
              <w:rPr>
                <w:rFonts w:cs="Arial"/>
                <w:sz w:val="18"/>
                <w:szCs w:val="18"/>
              </w:rPr>
              <w:t>26</w:t>
            </w:r>
          </w:p>
        </w:tc>
        <w:tc>
          <w:tcPr>
            <w:tcW w:w="1452" w:type="dxa"/>
            <w:tcBorders>
              <w:top w:val="dotted" w:sz="4" w:space="0" w:color="auto"/>
              <w:bottom w:val="single" w:sz="4" w:space="0" w:color="000000"/>
            </w:tcBorders>
            <w:vAlign w:val="center"/>
          </w:tcPr>
          <w:p w14:paraId="45190DFD" w14:textId="14199CBB" w:rsidR="003378C6" w:rsidRPr="000428F0" w:rsidRDefault="003378C6" w:rsidP="00D20A1E">
            <w:pPr>
              <w:widowControl/>
              <w:tabs>
                <w:tab w:val="decimal" w:pos="617"/>
              </w:tabs>
              <w:spacing w:before="60" w:after="60"/>
              <w:rPr>
                <w:rFonts w:cs="Arial"/>
                <w:sz w:val="18"/>
                <w:szCs w:val="18"/>
              </w:rPr>
            </w:pPr>
            <w:r w:rsidRPr="000428F0">
              <w:rPr>
                <w:rFonts w:cs="Arial"/>
                <w:sz w:val="18"/>
                <w:szCs w:val="18"/>
              </w:rPr>
              <w:t>0.6</w:t>
            </w:r>
          </w:p>
        </w:tc>
      </w:tr>
      <w:tr w:rsidR="00E22C0D" w:rsidRPr="000428F0" w14:paraId="5C20F54B" w14:textId="77777777" w:rsidTr="0026334B">
        <w:trPr>
          <w:trHeight w:val="337"/>
        </w:trPr>
        <w:tc>
          <w:tcPr>
            <w:tcW w:w="1447" w:type="dxa"/>
            <w:vMerge w:val="restart"/>
            <w:vAlign w:val="center"/>
          </w:tcPr>
          <w:p w14:paraId="4098E9AC" w14:textId="2D9A45A7" w:rsidR="00E22C0D" w:rsidRPr="00675B47" w:rsidRDefault="00E22C0D" w:rsidP="00D20A1E">
            <w:pPr>
              <w:widowControl/>
              <w:spacing w:before="60" w:after="60"/>
              <w:rPr>
                <w:rFonts w:cs="Arial"/>
                <w:sz w:val="18"/>
                <w:szCs w:val="18"/>
              </w:rPr>
            </w:pPr>
            <w:r w:rsidRPr="00675B47">
              <w:rPr>
                <w:rFonts w:cs="Arial"/>
                <w:sz w:val="18"/>
                <w:szCs w:val="18"/>
              </w:rPr>
              <w:t>2011-12 NNPAS</w:t>
            </w:r>
            <w:r w:rsidRPr="00675B47">
              <w:rPr>
                <w:sz w:val="18"/>
                <w:szCs w:val="18"/>
                <w:vertAlign w:val="superscript"/>
              </w:rPr>
              <w:t>☼☼</w:t>
            </w:r>
          </w:p>
        </w:tc>
        <w:tc>
          <w:tcPr>
            <w:tcW w:w="1107" w:type="dxa"/>
            <w:vMerge w:val="restart"/>
            <w:vAlign w:val="center"/>
          </w:tcPr>
          <w:p w14:paraId="454951E9" w14:textId="617092E6" w:rsidR="00E22C0D" w:rsidRPr="000428F0" w:rsidRDefault="00E22C0D" w:rsidP="00D20A1E">
            <w:pPr>
              <w:widowControl/>
              <w:spacing w:before="60" w:after="60"/>
              <w:rPr>
                <w:rFonts w:cs="Arial"/>
                <w:sz w:val="18"/>
                <w:szCs w:val="18"/>
              </w:rPr>
            </w:pPr>
            <w:r w:rsidRPr="000428F0">
              <w:rPr>
                <w:rFonts w:cs="Arial"/>
                <w:sz w:val="18"/>
                <w:szCs w:val="18"/>
              </w:rPr>
              <w:t>2 years &amp; above</w:t>
            </w:r>
          </w:p>
        </w:tc>
        <w:tc>
          <w:tcPr>
            <w:tcW w:w="2752" w:type="dxa"/>
            <w:tcBorders>
              <w:bottom w:val="dotted" w:sz="4" w:space="0" w:color="auto"/>
            </w:tcBorders>
            <w:vAlign w:val="center"/>
          </w:tcPr>
          <w:p w14:paraId="6D06F75F" w14:textId="3E799684" w:rsidR="00E22C0D" w:rsidRPr="000428F0" w:rsidRDefault="00E22C0D" w:rsidP="00D20A1E">
            <w:pPr>
              <w:widowControl/>
              <w:spacing w:before="60" w:after="60"/>
              <w:rPr>
                <w:rFonts w:cs="Arial"/>
                <w:sz w:val="18"/>
                <w:szCs w:val="18"/>
              </w:rPr>
            </w:pPr>
            <w:r w:rsidRPr="000428F0">
              <w:rPr>
                <w:rFonts w:cs="Arial"/>
                <w:sz w:val="18"/>
                <w:szCs w:val="18"/>
              </w:rPr>
              <w:t>Plain only</w:t>
            </w:r>
          </w:p>
        </w:tc>
        <w:tc>
          <w:tcPr>
            <w:tcW w:w="1454" w:type="dxa"/>
            <w:tcBorders>
              <w:bottom w:val="dotted" w:sz="4" w:space="0" w:color="auto"/>
            </w:tcBorders>
            <w:vAlign w:val="center"/>
          </w:tcPr>
          <w:p w14:paraId="28D83D19" w14:textId="0C69E39B" w:rsidR="00E22C0D" w:rsidRPr="005A06D2" w:rsidRDefault="00E22C0D" w:rsidP="00D20A1E">
            <w:pPr>
              <w:widowControl/>
              <w:tabs>
                <w:tab w:val="decimal" w:pos="881"/>
              </w:tabs>
              <w:spacing w:before="60" w:after="60"/>
              <w:rPr>
                <w:sz w:val="18"/>
                <w:szCs w:val="18"/>
                <w:vertAlign w:val="superscript"/>
              </w:rPr>
            </w:pPr>
            <w:r w:rsidRPr="005A06D2">
              <w:rPr>
                <w:rFonts w:cs="Arial"/>
                <w:sz w:val="18"/>
                <w:szCs w:val="18"/>
              </w:rPr>
              <w:t>8,</w:t>
            </w:r>
            <w:r w:rsidRPr="005A06D2">
              <w:rPr>
                <w:sz w:val="18"/>
                <w:szCs w:val="18"/>
              </w:rPr>
              <w:t>30</w:t>
            </w:r>
            <w:r>
              <w:rPr>
                <w:sz w:val="18"/>
                <w:szCs w:val="18"/>
              </w:rPr>
              <w:t>2</w:t>
            </w:r>
          </w:p>
        </w:tc>
        <w:tc>
          <w:tcPr>
            <w:tcW w:w="1457" w:type="dxa"/>
            <w:tcBorders>
              <w:bottom w:val="dotted" w:sz="4" w:space="0" w:color="auto"/>
            </w:tcBorders>
            <w:vAlign w:val="center"/>
          </w:tcPr>
          <w:p w14:paraId="0AACBFAD" w14:textId="554D59C5" w:rsidR="00E22C0D" w:rsidRPr="005A06D2" w:rsidRDefault="00E22C0D" w:rsidP="00D20A1E">
            <w:pPr>
              <w:widowControl/>
              <w:tabs>
                <w:tab w:val="decimal" w:pos="689"/>
              </w:tabs>
              <w:spacing w:before="60" w:after="60"/>
              <w:rPr>
                <w:rFonts w:cs="Arial"/>
                <w:sz w:val="18"/>
                <w:szCs w:val="18"/>
              </w:rPr>
            </w:pPr>
            <w:r w:rsidRPr="005A06D2">
              <w:rPr>
                <w:rFonts w:cs="Arial"/>
                <w:sz w:val="18"/>
                <w:szCs w:val="18"/>
              </w:rPr>
              <w:t>68</w:t>
            </w:r>
          </w:p>
        </w:tc>
        <w:tc>
          <w:tcPr>
            <w:tcW w:w="1457" w:type="dxa"/>
            <w:tcBorders>
              <w:bottom w:val="dotted" w:sz="4" w:space="0" w:color="auto"/>
            </w:tcBorders>
            <w:vAlign w:val="center"/>
          </w:tcPr>
          <w:p w14:paraId="2042104A" w14:textId="0E627382" w:rsidR="00E22C0D" w:rsidRPr="00F5032F" w:rsidRDefault="00E22C0D" w:rsidP="00D20A1E">
            <w:pPr>
              <w:widowControl/>
              <w:spacing w:before="60" w:after="60"/>
              <w:jc w:val="center"/>
              <w:rPr>
                <w:rFonts w:cs="Arial"/>
                <w:sz w:val="18"/>
                <w:szCs w:val="18"/>
              </w:rPr>
            </w:pPr>
            <w:r>
              <w:rPr>
                <w:rFonts w:cs="Arial"/>
                <w:sz w:val="18"/>
                <w:szCs w:val="18"/>
              </w:rPr>
              <w:t>312</w:t>
            </w:r>
          </w:p>
        </w:tc>
        <w:tc>
          <w:tcPr>
            <w:tcW w:w="1457" w:type="dxa"/>
            <w:tcBorders>
              <w:bottom w:val="dotted" w:sz="4" w:space="0" w:color="auto"/>
            </w:tcBorders>
            <w:vAlign w:val="center"/>
          </w:tcPr>
          <w:p w14:paraId="2177A274" w14:textId="71F5F8B2" w:rsidR="00E22C0D" w:rsidRPr="00F5032F" w:rsidRDefault="00E22C0D" w:rsidP="00D20A1E">
            <w:pPr>
              <w:widowControl/>
              <w:spacing w:before="60" w:after="60"/>
              <w:jc w:val="center"/>
              <w:rPr>
                <w:rFonts w:cs="Arial"/>
                <w:sz w:val="18"/>
                <w:szCs w:val="18"/>
              </w:rPr>
            </w:pPr>
            <w:r>
              <w:rPr>
                <w:rFonts w:cs="Arial"/>
                <w:sz w:val="18"/>
                <w:szCs w:val="18"/>
              </w:rPr>
              <w:t>2.6</w:t>
            </w:r>
          </w:p>
        </w:tc>
        <w:tc>
          <w:tcPr>
            <w:tcW w:w="1457" w:type="dxa"/>
            <w:tcBorders>
              <w:bottom w:val="dotted" w:sz="4" w:space="0" w:color="auto"/>
            </w:tcBorders>
            <w:vAlign w:val="center"/>
          </w:tcPr>
          <w:p w14:paraId="059FFF21" w14:textId="0452C6E5" w:rsidR="00E22C0D" w:rsidRPr="00F5032F" w:rsidRDefault="00E22C0D" w:rsidP="00D20A1E">
            <w:pPr>
              <w:widowControl/>
              <w:tabs>
                <w:tab w:val="decimal" w:pos="670"/>
              </w:tabs>
              <w:spacing w:before="60" w:after="60"/>
              <w:rPr>
                <w:rFonts w:cs="Arial"/>
                <w:sz w:val="18"/>
                <w:szCs w:val="18"/>
              </w:rPr>
            </w:pPr>
            <w:r w:rsidRPr="00675B47">
              <w:rPr>
                <w:rFonts w:cs="Arial"/>
                <w:sz w:val="18"/>
                <w:szCs w:val="18"/>
              </w:rPr>
              <w:t>85</w:t>
            </w:r>
          </w:p>
        </w:tc>
        <w:tc>
          <w:tcPr>
            <w:tcW w:w="1452" w:type="dxa"/>
            <w:tcBorders>
              <w:bottom w:val="dotted" w:sz="4" w:space="0" w:color="auto"/>
            </w:tcBorders>
            <w:vAlign w:val="center"/>
          </w:tcPr>
          <w:p w14:paraId="660B574C" w14:textId="76A4E6D3" w:rsidR="00E22C0D" w:rsidRPr="00F5032F" w:rsidRDefault="00E22C0D" w:rsidP="00D20A1E">
            <w:pPr>
              <w:widowControl/>
              <w:tabs>
                <w:tab w:val="decimal" w:pos="617"/>
              </w:tabs>
              <w:spacing w:before="60" w:after="60"/>
              <w:rPr>
                <w:rFonts w:cs="Arial"/>
                <w:sz w:val="18"/>
                <w:szCs w:val="18"/>
              </w:rPr>
            </w:pPr>
            <w:r w:rsidRPr="00675B47">
              <w:rPr>
                <w:rFonts w:cs="Arial"/>
                <w:sz w:val="18"/>
                <w:szCs w:val="18"/>
              </w:rPr>
              <w:t>0.7</w:t>
            </w:r>
          </w:p>
        </w:tc>
      </w:tr>
      <w:tr w:rsidR="00E22C0D" w:rsidRPr="000428F0" w14:paraId="3D12B22E" w14:textId="77777777" w:rsidTr="0026334B">
        <w:trPr>
          <w:trHeight w:val="144"/>
        </w:trPr>
        <w:tc>
          <w:tcPr>
            <w:tcW w:w="1447" w:type="dxa"/>
            <w:vMerge/>
            <w:tcBorders>
              <w:bottom w:val="nil"/>
            </w:tcBorders>
            <w:vAlign w:val="center"/>
          </w:tcPr>
          <w:p w14:paraId="46CC47C8" w14:textId="6B7F5A59" w:rsidR="00E22C0D" w:rsidRPr="000428F0" w:rsidRDefault="00E22C0D" w:rsidP="00D20A1E">
            <w:pPr>
              <w:widowControl/>
              <w:spacing w:before="60" w:after="60"/>
              <w:rPr>
                <w:rFonts w:cs="Arial"/>
                <w:sz w:val="18"/>
                <w:szCs w:val="18"/>
              </w:rPr>
            </w:pPr>
          </w:p>
        </w:tc>
        <w:tc>
          <w:tcPr>
            <w:tcW w:w="1107" w:type="dxa"/>
            <w:vMerge/>
            <w:vAlign w:val="center"/>
          </w:tcPr>
          <w:p w14:paraId="25EA8CDD" w14:textId="3B9DBE27" w:rsidR="00E22C0D" w:rsidRPr="000428F0" w:rsidRDefault="00E22C0D" w:rsidP="00D20A1E">
            <w:pPr>
              <w:widowControl/>
              <w:spacing w:before="60" w:after="60"/>
              <w:rPr>
                <w:rFonts w:cs="Arial"/>
                <w:sz w:val="18"/>
                <w:szCs w:val="18"/>
              </w:rPr>
            </w:pPr>
          </w:p>
        </w:tc>
        <w:tc>
          <w:tcPr>
            <w:tcW w:w="2752" w:type="dxa"/>
            <w:tcBorders>
              <w:top w:val="dotted" w:sz="4" w:space="0" w:color="auto"/>
              <w:bottom w:val="single" w:sz="4" w:space="0" w:color="000000"/>
            </w:tcBorders>
            <w:vAlign w:val="center"/>
          </w:tcPr>
          <w:p w14:paraId="322ABF85" w14:textId="07166E48" w:rsidR="00E22C0D" w:rsidRPr="000428F0" w:rsidRDefault="00E22C0D" w:rsidP="00D20A1E">
            <w:pPr>
              <w:widowControl/>
              <w:spacing w:before="60" w:after="60"/>
              <w:rPr>
                <w:rFonts w:cs="Arial"/>
                <w:sz w:val="18"/>
                <w:szCs w:val="18"/>
              </w:rPr>
            </w:pPr>
            <w:r w:rsidRPr="000428F0">
              <w:rPr>
                <w:rFonts w:cs="Arial"/>
                <w:sz w:val="18"/>
                <w:szCs w:val="18"/>
              </w:rPr>
              <w:t>Plain</w:t>
            </w:r>
            <w:r>
              <w:rPr>
                <w:rFonts w:cs="Arial"/>
                <w:sz w:val="18"/>
                <w:szCs w:val="18"/>
              </w:rPr>
              <w:t xml:space="preserve"> /</w:t>
            </w:r>
            <w:r w:rsidRPr="000428F0">
              <w:rPr>
                <w:rFonts w:cs="Arial"/>
                <w:sz w:val="18"/>
                <w:szCs w:val="18"/>
              </w:rPr>
              <w:t xml:space="preserve"> flavoured </w:t>
            </w:r>
            <w:r>
              <w:rPr>
                <w:rFonts w:cs="Arial"/>
                <w:sz w:val="18"/>
                <w:szCs w:val="18"/>
              </w:rPr>
              <w:t>/</w:t>
            </w:r>
            <w:r w:rsidRPr="000428F0">
              <w:rPr>
                <w:rFonts w:cs="Arial"/>
                <w:sz w:val="18"/>
                <w:szCs w:val="18"/>
              </w:rPr>
              <w:t xml:space="preserve"> milkshakes</w:t>
            </w:r>
            <w:r>
              <w:rPr>
                <w:rFonts w:cs="Arial"/>
                <w:sz w:val="18"/>
                <w:szCs w:val="18"/>
              </w:rPr>
              <w:t xml:space="preserve"> / milk hot chocolate</w:t>
            </w:r>
          </w:p>
        </w:tc>
        <w:tc>
          <w:tcPr>
            <w:tcW w:w="1454" w:type="dxa"/>
            <w:tcBorders>
              <w:top w:val="dotted" w:sz="4" w:space="0" w:color="auto"/>
              <w:bottom w:val="single" w:sz="4" w:space="0" w:color="000000"/>
            </w:tcBorders>
            <w:vAlign w:val="center"/>
          </w:tcPr>
          <w:p w14:paraId="2D0224DD" w14:textId="3E3D5579" w:rsidR="00E22C0D" w:rsidRPr="00F5032F" w:rsidRDefault="00E22C0D" w:rsidP="00D20A1E">
            <w:pPr>
              <w:widowControl/>
              <w:spacing w:before="60" w:after="60"/>
              <w:jc w:val="center"/>
              <w:rPr>
                <w:rFonts w:cs="Arial"/>
                <w:sz w:val="18"/>
                <w:szCs w:val="18"/>
                <w:highlight w:val="yellow"/>
              </w:rPr>
            </w:pPr>
            <w:r w:rsidRPr="00675B47">
              <w:rPr>
                <w:rFonts w:cs="Arial"/>
                <w:sz w:val="18"/>
                <w:szCs w:val="18"/>
              </w:rPr>
              <w:t>8,556</w:t>
            </w:r>
          </w:p>
        </w:tc>
        <w:tc>
          <w:tcPr>
            <w:tcW w:w="1457" w:type="dxa"/>
            <w:tcBorders>
              <w:top w:val="dotted" w:sz="4" w:space="0" w:color="auto"/>
              <w:bottom w:val="single" w:sz="4" w:space="0" w:color="000000"/>
            </w:tcBorders>
            <w:vAlign w:val="center"/>
          </w:tcPr>
          <w:p w14:paraId="464CFA11" w14:textId="714D5BAC" w:rsidR="00E22C0D" w:rsidRPr="00675B47" w:rsidRDefault="00E22C0D" w:rsidP="00D20A1E">
            <w:pPr>
              <w:widowControl/>
              <w:spacing w:before="60" w:after="60"/>
              <w:jc w:val="center"/>
              <w:rPr>
                <w:rFonts w:cs="Arial"/>
                <w:sz w:val="18"/>
                <w:szCs w:val="18"/>
              </w:rPr>
            </w:pPr>
            <w:r w:rsidRPr="00675B47">
              <w:rPr>
                <w:rFonts w:cs="Arial"/>
                <w:sz w:val="18"/>
                <w:szCs w:val="18"/>
              </w:rPr>
              <w:t>70</w:t>
            </w:r>
          </w:p>
        </w:tc>
        <w:tc>
          <w:tcPr>
            <w:tcW w:w="1457" w:type="dxa"/>
            <w:tcBorders>
              <w:top w:val="dotted" w:sz="4" w:space="0" w:color="auto"/>
              <w:bottom w:val="single" w:sz="4" w:space="0" w:color="000000"/>
            </w:tcBorders>
            <w:vAlign w:val="center"/>
          </w:tcPr>
          <w:p w14:paraId="12223878" w14:textId="6AE8B37C" w:rsidR="00E22C0D" w:rsidRPr="00F5032F" w:rsidRDefault="00E22C0D" w:rsidP="00D20A1E">
            <w:pPr>
              <w:widowControl/>
              <w:tabs>
                <w:tab w:val="decimal" w:pos="777"/>
              </w:tabs>
              <w:spacing w:before="60" w:after="60"/>
              <w:rPr>
                <w:rFonts w:cs="Arial"/>
                <w:sz w:val="18"/>
                <w:szCs w:val="18"/>
                <w:highlight w:val="yellow"/>
              </w:rPr>
            </w:pPr>
            <w:r w:rsidRPr="00675B47">
              <w:rPr>
                <w:rFonts w:cs="Arial"/>
                <w:sz w:val="18"/>
                <w:szCs w:val="18"/>
              </w:rPr>
              <w:t>316</w:t>
            </w:r>
            <w:r w:rsidRPr="00675B47">
              <w:rPr>
                <w:sz w:val="18"/>
                <w:szCs w:val="18"/>
                <w:vertAlign w:val="superscript"/>
              </w:rPr>
              <w:t>^</w:t>
            </w:r>
          </w:p>
        </w:tc>
        <w:tc>
          <w:tcPr>
            <w:tcW w:w="1457" w:type="dxa"/>
            <w:tcBorders>
              <w:top w:val="dotted" w:sz="4" w:space="0" w:color="auto"/>
              <w:bottom w:val="single" w:sz="4" w:space="0" w:color="000000"/>
            </w:tcBorders>
            <w:vAlign w:val="center"/>
          </w:tcPr>
          <w:p w14:paraId="45DD0259" w14:textId="49E50C9C" w:rsidR="00E22C0D" w:rsidRPr="00675B47" w:rsidRDefault="00E22C0D" w:rsidP="00D20A1E">
            <w:pPr>
              <w:widowControl/>
              <w:tabs>
                <w:tab w:val="decimal" w:pos="582"/>
              </w:tabs>
              <w:spacing w:before="60" w:after="60"/>
              <w:rPr>
                <w:rFonts w:cs="Arial"/>
                <w:sz w:val="18"/>
                <w:szCs w:val="18"/>
              </w:rPr>
            </w:pPr>
            <w:r w:rsidRPr="00675B47">
              <w:rPr>
                <w:rFonts w:cs="Arial"/>
                <w:sz w:val="18"/>
                <w:szCs w:val="18"/>
              </w:rPr>
              <w:t>2.6</w:t>
            </w:r>
            <w:r w:rsidRPr="00675B47">
              <w:rPr>
                <w:sz w:val="18"/>
                <w:szCs w:val="18"/>
                <w:vertAlign w:val="superscript"/>
              </w:rPr>
              <w:t>^</w:t>
            </w:r>
          </w:p>
        </w:tc>
        <w:tc>
          <w:tcPr>
            <w:tcW w:w="1457" w:type="dxa"/>
            <w:tcBorders>
              <w:top w:val="dotted" w:sz="4" w:space="0" w:color="auto"/>
              <w:bottom w:val="single" w:sz="4" w:space="0" w:color="000000"/>
            </w:tcBorders>
            <w:vAlign w:val="center"/>
          </w:tcPr>
          <w:p w14:paraId="4AAFF75C" w14:textId="2F38303A" w:rsidR="00E22C0D" w:rsidRPr="00675B47" w:rsidRDefault="00E22C0D" w:rsidP="00D20A1E">
            <w:pPr>
              <w:widowControl/>
              <w:tabs>
                <w:tab w:val="decimal" w:pos="670"/>
              </w:tabs>
              <w:spacing w:before="60" w:after="60"/>
              <w:rPr>
                <w:rFonts w:cs="Arial"/>
                <w:sz w:val="18"/>
                <w:szCs w:val="18"/>
              </w:rPr>
            </w:pPr>
            <w:r w:rsidRPr="00675B47">
              <w:rPr>
                <w:rFonts w:cs="Arial"/>
                <w:sz w:val="18"/>
                <w:szCs w:val="18"/>
              </w:rPr>
              <w:t>85</w:t>
            </w:r>
          </w:p>
        </w:tc>
        <w:tc>
          <w:tcPr>
            <w:tcW w:w="1452" w:type="dxa"/>
            <w:tcBorders>
              <w:top w:val="dotted" w:sz="4" w:space="0" w:color="auto"/>
              <w:bottom w:val="single" w:sz="4" w:space="0" w:color="000000"/>
            </w:tcBorders>
            <w:vAlign w:val="center"/>
          </w:tcPr>
          <w:p w14:paraId="5BB154E5" w14:textId="199EF96A" w:rsidR="00E22C0D" w:rsidRPr="00F5032F" w:rsidRDefault="00E22C0D" w:rsidP="00D20A1E">
            <w:pPr>
              <w:widowControl/>
              <w:tabs>
                <w:tab w:val="decimal" w:pos="617"/>
              </w:tabs>
              <w:spacing w:before="60" w:after="60"/>
              <w:rPr>
                <w:rFonts w:cs="Arial"/>
                <w:sz w:val="18"/>
                <w:szCs w:val="18"/>
                <w:highlight w:val="yellow"/>
              </w:rPr>
            </w:pPr>
            <w:r w:rsidRPr="00675B47">
              <w:rPr>
                <w:rFonts w:cs="Arial"/>
                <w:sz w:val="18"/>
                <w:szCs w:val="18"/>
              </w:rPr>
              <w:t>0.7</w:t>
            </w:r>
          </w:p>
        </w:tc>
      </w:tr>
      <w:tr w:rsidR="00E22C0D" w:rsidRPr="000428F0" w14:paraId="606F51A3" w14:textId="77777777" w:rsidTr="0026334B">
        <w:trPr>
          <w:trHeight w:val="327"/>
        </w:trPr>
        <w:tc>
          <w:tcPr>
            <w:tcW w:w="1447" w:type="dxa"/>
            <w:vMerge w:val="restart"/>
            <w:vAlign w:val="center"/>
          </w:tcPr>
          <w:p w14:paraId="76E10A92" w14:textId="05D9DE52" w:rsidR="00E22C0D" w:rsidRPr="000428F0" w:rsidRDefault="00E22C0D" w:rsidP="00D20A1E">
            <w:pPr>
              <w:widowControl/>
              <w:spacing w:before="60" w:after="60"/>
              <w:rPr>
                <w:rFonts w:cs="Arial"/>
                <w:sz w:val="18"/>
                <w:szCs w:val="18"/>
              </w:rPr>
            </w:pPr>
            <w:r w:rsidRPr="000428F0">
              <w:rPr>
                <w:rFonts w:cs="Arial"/>
                <w:sz w:val="18"/>
                <w:szCs w:val="18"/>
              </w:rPr>
              <w:t>1997 NZNNS</w:t>
            </w:r>
          </w:p>
        </w:tc>
        <w:tc>
          <w:tcPr>
            <w:tcW w:w="1107" w:type="dxa"/>
            <w:vMerge w:val="restart"/>
            <w:vAlign w:val="center"/>
          </w:tcPr>
          <w:p w14:paraId="325F6EA3" w14:textId="37A45253" w:rsidR="00E22C0D" w:rsidRPr="000428F0" w:rsidRDefault="00E22C0D" w:rsidP="00D20A1E">
            <w:pPr>
              <w:widowControl/>
              <w:spacing w:before="60" w:after="60"/>
              <w:rPr>
                <w:rFonts w:cs="Arial"/>
                <w:sz w:val="18"/>
                <w:szCs w:val="18"/>
              </w:rPr>
            </w:pPr>
            <w:r w:rsidRPr="000428F0">
              <w:rPr>
                <w:rFonts w:cs="Arial"/>
                <w:sz w:val="18"/>
                <w:szCs w:val="18"/>
              </w:rPr>
              <w:t>15 years and above</w:t>
            </w:r>
          </w:p>
        </w:tc>
        <w:tc>
          <w:tcPr>
            <w:tcW w:w="2752" w:type="dxa"/>
            <w:tcBorders>
              <w:bottom w:val="dotted" w:sz="4" w:space="0" w:color="auto"/>
            </w:tcBorders>
            <w:vAlign w:val="center"/>
          </w:tcPr>
          <w:p w14:paraId="0C8E1970" w14:textId="2742EC59" w:rsidR="00E22C0D" w:rsidRPr="000428F0" w:rsidRDefault="00E22C0D" w:rsidP="00D20A1E">
            <w:pPr>
              <w:widowControl/>
              <w:spacing w:before="60" w:after="60"/>
              <w:rPr>
                <w:rFonts w:cs="Arial"/>
                <w:sz w:val="18"/>
                <w:szCs w:val="18"/>
              </w:rPr>
            </w:pPr>
            <w:r w:rsidRPr="000428F0">
              <w:rPr>
                <w:rFonts w:cs="Arial"/>
                <w:sz w:val="18"/>
                <w:szCs w:val="18"/>
              </w:rPr>
              <w:t>Plain only</w:t>
            </w:r>
          </w:p>
        </w:tc>
        <w:tc>
          <w:tcPr>
            <w:tcW w:w="1454" w:type="dxa"/>
            <w:tcBorders>
              <w:bottom w:val="dotted" w:sz="4" w:space="0" w:color="auto"/>
            </w:tcBorders>
            <w:vAlign w:val="center"/>
          </w:tcPr>
          <w:p w14:paraId="122436C3" w14:textId="1C3C4028" w:rsidR="00E22C0D" w:rsidRPr="000428F0" w:rsidRDefault="00E22C0D" w:rsidP="00D20A1E">
            <w:pPr>
              <w:widowControl/>
              <w:tabs>
                <w:tab w:val="decimal" w:pos="881"/>
              </w:tabs>
              <w:spacing w:before="60" w:after="60"/>
              <w:rPr>
                <w:rFonts w:cs="Arial"/>
                <w:sz w:val="18"/>
                <w:szCs w:val="18"/>
              </w:rPr>
            </w:pPr>
            <w:r w:rsidRPr="000428F0">
              <w:rPr>
                <w:rFonts w:cs="Arial"/>
                <w:sz w:val="18"/>
                <w:szCs w:val="18"/>
              </w:rPr>
              <w:t>3,978</w:t>
            </w:r>
          </w:p>
        </w:tc>
        <w:tc>
          <w:tcPr>
            <w:tcW w:w="1457" w:type="dxa"/>
            <w:tcBorders>
              <w:bottom w:val="dotted" w:sz="4" w:space="0" w:color="auto"/>
            </w:tcBorders>
            <w:vAlign w:val="center"/>
          </w:tcPr>
          <w:p w14:paraId="12559EA0" w14:textId="61A3F02D" w:rsidR="00E22C0D" w:rsidRPr="000428F0" w:rsidRDefault="00E22C0D" w:rsidP="00D20A1E">
            <w:pPr>
              <w:widowControl/>
              <w:tabs>
                <w:tab w:val="decimal" w:pos="689"/>
              </w:tabs>
              <w:spacing w:before="60" w:after="60"/>
              <w:rPr>
                <w:rFonts w:cs="Arial"/>
                <w:sz w:val="18"/>
                <w:szCs w:val="18"/>
              </w:rPr>
            </w:pPr>
            <w:r w:rsidRPr="000428F0">
              <w:rPr>
                <w:rFonts w:cs="Arial"/>
                <w:sz w:val="18"/>
                <w:szCs w:val="18"/>
              </w:rPr>
              <w:t>86</w:t>
            </w:r>
          </w:p>
        </w:tc>
        <w:tc>
          <w:tcPr>
            <w:tcW w:w="1457" w:type="dxa"/>
            <w:tcBorders>
              <w:bottom w:val="dotted" w:sz="4" w:space="0" w:color="auto"/>
            </w:tcBorders>
            <w:vAlign w:val="center"/>
          </w:tcPr>
          <w:p w14:paraId="79B3140C" w14:textId="0B5B3170" w:rsidR="00E22C0D" w:rsidRPr="000428F0" w:rsidRDefault="00E22C0D" w:rsidP="00D20A1E">
            <w:pPr>
              <w:widowControl/>
              <w:tabs>
                <w:tab w:val="decimal" w:pos="777"/>
              </w:tabs>
              <w:spacing w:before="60" w:after="60"/>
              <w:rPr>
                <w:rFonts w:cs="Arial"/>
                <w:sz w:val="18"/>
                <w:szCs w:val="18"/>
              </w:rPr>
            </w:pPr>
            <w:r w:rsidRPr="000428F0">
              <w:rPr>
                <w:rFonts w:cs="Arial"/>
                <w:sz w:val="18"/>
                <w:szCs w:val="18"/>
              </w:rPr>
              <w:t>27</w:t>
            </w:r>
          </w:p>
        </w:tc>
        <w:tc>
          <w:tcPr>
            <w:tcW w:w="1457" w:type="dxa"/>
            <w:tcBorders>
              <w:bottom w:val="dotted" w:sz="4" w:space="0" w:color="auto"/>
            </w:tcBorders>
            <w:vAlign w:val="center"/>
          </w:tcPr>
          <w:p w14:paraId="66150BD7" w14:textId="210BEC89" w:rsidR="00E22C0D" w:rsidRPr="000428F0" w:rsidRDefault="00E22C0D" w:rsidP="00D20A1E">
            <w:pPr>
              <w:widowControl/>
              <w:tabs>
                <w:tab w:val="decimal" w:pos="582"/>
              </w:tabs>
              <w:spacing w:before="60" w:after="60"/>
              <w:rPr>
                <w:rFonts w:cs="Arial"/>
                <w:sz w:val="18"/>
                <w:szCs w:val="18"/>
              </w:rPr>
            </w:pPr>
            <w:r w:rsidRPr="000428F0">
              <w:rPr>
                <w:rFonts w:cs="Arial"/>
                <w:sz w:val="18"/>
                <w:szCs w:val="18"/>
              </w:rPr>
              <w:t>0.6</w:t>
            </w:r>
          </w:p>
        </w:tc>
        <w:tc>
          <w:tcPr>
            <w:tcW w:w="1457" w:type="dxa"/>
            <w:tcBorders>
              <w:bottom w:val="dotted" w:sz="4" w:space="0" w:color="auto"/>
            </w:tcBorders>
            <w:vAlign w:val="center"/>
          </w:tcPr>
          <w:p w14:paraId="50741E22" w14:textId="617E15D0" w:rsidR="00E22C0D" w:rsidRPr="000428F0" w:rsidRDefault="00E22C0D" w:rsidP="00D20A1E">
            <w:pPr>
              <w:widowControl/>
              <w:spacing w:before="60" w:after="60"/>
              <w:jc w:val="center"/>
              <w:rPr>
                <w:rFonts w:cs="Arial"/>
                <w:sz w:val="18"/>
                <w:szCs w:val="18"/>
                <w:highlight w:val="yellow"/>
              </w:rPr>
            </w:pPr>
            <w:r w:rsidRPr="000428F0">
              <w:rPr>
                <w:rFonts w:cs="Arial"/>
                <w:sz w:val="18"/>
                <w:szCs w:val="18"/>
              </w:rPr>
              <w:t>NC</w:t>
            </w:r>
          </w:p>
        </w:tc>
        <w:tc>
          <w:tcPr>
            <w:tcW w:w="1452" w:type="dxa"/>
            <w:tcBorders>
              <w:bottom w:val="dotted" w:sz="4" w:space="0" w:color="auto"/>
            </w:tcBorders>
            <w:vAlign w:val="center"/>
          </w:tcPr>
          <w:p w14:paraId="11B4CED4" w14:textId="207A108E" w:rsidR="00E22C0D" w:rsidRPr="000428F0" w:rsidRDefault="00E22C0D" w:rsidP="00D20A1E">
            <w:pPr>
              <w:widowControl/>
              <w:spacing w:before="60" w:after="60"/>
              <w:jc w:val="center"/>
              <w:rPr>
                <w:rFonts w:cs="Arial"/>
                <w:sz w:val="18"/>
                <w:szCs w:val="18"/>
                <w:highlight w:val="yellow"/>
              </w:rPr>
            </w:pPr>
            <w:r w:rsidRPr="000428F0">
              <w:rPr>
                <w:rFonts w:cs="Arial"/>
                <w:sz w:val="18"/>
                <w:szCs w:val="18"/>
              </w:rPr>
              <w:t>NC</w:t>
            </w:r>
          </w:p>
        </w:tc>
      </w:tr>
      <w:tr w:rsidR="00E22C0D" w:rsidRPr="000428F0" w14:paraId="21BB695E" w14:textId="77777777" w:rsidTr="0026334B">
        <w:trPr>
          <w:trHeight w:val="144"/>
        </w:trPr>
        <w:tc>
          <w:tcPr>
            <w:tcW w:w="1447" w:type="dxa"/>
            <w:vMerge/>
            <w:vAlign w:val="center"/>
          </w:tcPr>
          <w:p w14:paraId="111C3D31" w14:textId="442F3D7F" w:rsidR="00E22C0D" w:rsidRPr="000428F0" w:rsidRDefault="00E22C0D" w:rsidP="00D20A1E">
            <w:pPr>
              <w:widowControl/>
              <w:spacing w:before="60" w:after="60"/>
              <w:rPr>
                <w:rFonts w:cs="Arial"/>
                <w:sz w:val="18"/>
                <w:szCs w:val="18"/>
              </w:rPr>
            </w:pPr>
          </w:p>
        </w:tc>
        <w:tc>
          <w:tcPr>
            <w:tcW w:w="1107" w:type="dxa"/>
            <w:vMerge/>
            <w:vAlign w:val="center"/>
          </w:tcPr>
          <w:p w14:paraId="03644178" w14:textId="2E806866" w:rsidR="00E22C0D" w:rsidRPr="000428F0" w:rsidRDefault="00E22C0D" w:rsidP="00D20A1E">
            <w:pPr>
              <w:widowControl/>
              <w:spacing w:before="60" w:after="60"/>
              <w:rPr>
                <w:rFonts w:cs="Arial"/>
                <w:sz w:val="18"/>
                <w:szCs w:val="18"/>
              </w:rPr>
            </w:pPr>
          </w:p>
        </w:tc>
        <w:tc>
          <w:tcPr>
            <w:tcW w:w="2752" w:type="dxa"/>
            <w:tcBorders>
              <w:top w:val="dotted" w:sz="4" w:space="0" w:color="auto"/>
              <w:bottom w:val="single" w:sz="4" w:space="0" w:color="000000"/>
            </w:tcBorders>
            <w:vAlign w:val="center"/>
          </w:tcPr>
          <w:p w14:paraId="383042B4" w14:textId="029172E3" w:rsidR="00E22C0D" w:rsidRPr="000428F0" w:rsidRDefault="00E22C0D" w:rsidP="00D20A1E">
            <w:pPr>
              <w:widowControl/>
              <w:spacing w:before="60" w:after="60"/>
              <w:rPr>
                <w:rFonts w:cs="Arial"/>
                <w:sz w:val="18"/>
                <w:szCs w:val="18"/>
              </w:rPr>
            </w:pPr>
            <w:r w:rsidRPr="000428F0">
              <w:rPr>
                <w:rFonts w:cs="Arial"/>
                <w:sz w:val="18"/>
                <w:szCs w:val="18"/>
              </w:rPr>
              <w:t>Plain</w:t>
            </w:r>
            <w:r>
              <w:rPr>
                <w:rFonts w:cs="Arial"/>
                <w:sz w:val="18"/>
                <w:szCs w:val="18"/>
              </w:rPr>
              <w:t xml:space="preserve"> /</w:t>
            </w:r>
            <w:r w:rsidRPr="000428F0">
              <w:rPr>
                <w:rFonts w:cs="Arial"/>
                <w:sz w:val="18"/>
                <w:szCs w:val="18"/>
              </w:rPr>
              <w:t xml:space="preserve"> flavoured </w:t>
            </w:r>
            <w:r>
              <w:rPr>
                <w:rFonts w:cs="Arial"/>
                <w:sz w:val="18"/>
                <w:szCs w:val="18"/>
              </w:rPr>
              <w:t>/</w:t>
            </w:r>
            <w:r w:rsidRPr="000428F0">
              <w:rPr>
                <w:rFonts w:cs="Arial"/>
                <w:sz w:val="18"/>
                <w:szCs w:val="18"/>
              </w:rPr>
              <w:t xml:space="preserve"> milkshakes</w:t>
            </w:r>
            <w:r>
              <w:rPr>
                <w:rFonts w:cs="Arial"/>
                <w:sz w:val="18"/>
                <w:szCs w:val="18"/>
              </w:rPr>
              <w:t xml:space="preserve"> / milk hot chocolate</w:t>
            </w:r>
          </w:p>
        </w:tc>
        <w:tc>
          <w:tcPr>
            <w:tcW w:w="1454" w:type="dxa"/>
            <w:tcBorders>
              <w:top w:val="dotted" w:sz="4" w:space="0" w:color="auto"/>
              <w:bottom w:val="single" w:sz="4" w:space="0" w:color="000000"/>
            </w:tcBorders>
            <w:vAlign w:val="center"/>
          </w:tcPr>
          <w:p w14:paraId="2E7BD061" w14:textId="4AE602BD" w:rsidR="00E22C0D" w:rsidRPr="000428F0" w:rsidRDefault="00E22C0D" w:rsidP="00D20A1E">
            <w:pPr>
              <w:widowControl/>
              <w:tabs>
                <w:tab w:val="decimal" w:pos="881"/>
              </w:tabs>
              <w:spacing w:before="60" w:after="60"/>
              <w:rPr>
                <w:rFonts w:cs="Arial"/>
                <w:sz w:val="18"/>
                <w:szCs w:val="18"/>
              </w:rPr>
            </w:pPr>
            <w:r w:rsidRPr="000428F0">
              <w:rPr>
                <w:rFonts w:cs="Arial"/>
                <w:sz w:val="18"/>
                <w:szCs w:val="18"/>
              </w:rPr>
              <w:t>3,99</w:t>
            </w:r>
            <w:r>
              <w:rPr>
                <w:rFonts w:cs="Arial"/>
                <w:sz w:val="18"/>
                <w:szCs w:val="18"/>
              </w:rPr>
              <w:t>9</w:t>
            </w:r>
          </w:p>
        </w:tc>
        <w:tc>
          <w:tcPr>
            <w:tcW w:w="1457" w:type="dxa"/>
            <w:tcBorders>
              <w:top w:val="dotted" w:sz="4" w:space="0" w:color="auto"/>
              <w:bottom w:val="single" w:sz="4" w:space="0" w:color="000000"/>
            </w:tcBorders>
            <w:vAlign w:val="center"/>
          </w:tcPr>
          <w:p w14:paraId="5EF5DCAC" w14:textId="63BA7FBA" w:rsidR="00E22C0D" w:rsidRPr="000428F0" w:rsidRDefault="00E22C0D" w:rsidP="00D20A1E">
            <w:pPr>
              <w:widowControl/>
              <w:tabs>
                <w:tab w:val="decimal" w:pos="689"/>
              </w:tabs>
              <w:spacing w:before="60" w:after="60"/>
              <w:rPr>
                <w:rFonts w:cs="Arial"/>
                <w:sz w:val="18"/>
                <w:szCs w:val="18"/>
              </w:rPr>
            </w:pPr>
            <w:r w:rsidRPr="000428F0">
              <w:rPr>
                <w:rFonts w:cs="Arial"/>
                <w:sz w:val="18"/>
                <w:szCs w:val="18"/>
              </w:rPr>
              <w:t>86</w:t>
            </w:r>
          </w:p>
        </w:tc>
        <w:tc>
          <w:tcPr>
            <w:tcW w:w="1457" w:type="dxa"/>
            <w:tcBorders>
              <w:top w:val="dotted" w:sz="4" w:space="0" w:color="auto"/>
              <w:bottom w:val="single" w:sz="4" w:space="0" w:color="000000"/>
            </w:tcBorders>
            <w:vAlign w:val="center"/>
          </w:tcPr>
          <w:p w14:paraId="191F9E9C" w14:textId="567D8E41" w:rsidR="00E22C0D" w:rsidRPr="000428F0" w:rsidDel="003D3D36" w:rsidRDefault="00E22C0D" w:rsidP="00D20A1E">
            <w:pPr>
              <w:widowControl/>
              <w:tabs>
                <w:tab w:val="decimal" w:pos="777"/>
              </w:tabs>
              <w:spacing w:before="60" w:after="60"/>
              <w:rPr>
                <w:rFonts w:cs="Arial"/>
                <w:sz w:val="18"/>
                <w:szCs w:val="18"/>
              </w:rPr>
            </w:pPr>
            <w:r w:rsidRPr="000428F0">
              <w:rPr>
                <w:rFonts w:cs="Arial"/>
                <w:sz w:val="18"/>
                <w:szCs w:val="18"/>
              </w:rPr>
              <w:t>29</w:t>
            </w:r>
          </w:p>
        </w:tc>
        <w:tc>
          <w:tcPr>
            <w:tcW w:w="1457" w:type="dxa"/>
            <w:tcBorders>
              <w:top w:val="dotted" w:sz="4" w:space="0" w:color="auto"/>
              <w:bottom w:val="single" w:sz="4" w:space="0" w:color="000000"/>
            </w:tcBorders>
            <w:vAlign w:val="center"/>
          </w:tcPr>
          <w:p w14:paraId="6D147E44" w14:textId="4D9A82B7" w:rsidR="00E22C0D" w:rsidRPr="000428F0" w:rsidRDefault="00E22C0D" w:rsidP="00D20A1E">
            <w:pPr>
              <w:widowControl/>
              <w:tabs>
                <w:tab w:val="decimal" w:pos="582"/>
              </w:tabs>
              <w:spacing w:before="60" w:after="60"/>
              <w:rPr>
                <w:rFonts w:cs="Arial"/>
                <w:sz w:val="18"/>
                <w:szCs w:val="18"/>
              </w:rPr>
            </w:pPr>
            <w:r w:rsidRPr="000428F0">
              <w:rPr>
                <w:rFonts w:cs="Arial"/>
                <w:sz w:val="18"/>
                <w:szCs w:val="18"/>
              </w:rPr>
              <w:t>0.6</w:t>
            </w:r>
          </w:p>
        </w:tc>
        <w:tc>
          <w:tcPr>
            <w:tcW w:w="1457" w:type="dxa"/>
            <w:tcBorders>
              <w:top w:val="dotted" w:sz="4" w:space="0" w:color="auto"/>
              <w:bottom w:val="single" w:sz="4" w:space="0" w:color="000000"/>
            </w:tcBorders>
            <w:vAlign w:val="center"/>
          </w:tcPr>
          <w:p w14:paraId="463CEE5D" w14:textId="0FFB2AE3" w:rsidR="00E22C0D" w:rsidRPr="000428F0" w:rsidRDefault="00E22C0D" w:rsidP="00D20A1E">
            <w:pPr>
              <w:widowControl/>
              <w:tabs>
                <w:tab w:val="decimal" w:pos="670"/>
              </w:tabs>
              <w:spacing w:before="60" w:after="60"/>
              <w:rPr>
                <w:rFonts w:cs="Arial"/>
                <w:sz w:val="18"/>
                <w:szCs w:val="18"/>
              </w:rPr>
            </w:pPr>
            <w:r w:rsidRPr="000428F0">
              <w:rPr>
                <w:rFonts w:cs="Arial"/>
                <w:sz w:val="18"/>
                <w:szCs w:val="18"/>
              </w:rPr>
              <w:t>1</w:t>
            </w:r>
          </w:p>
        </w:tc>
        <w:tc>
          <w:tcPr>
            <w:tcW w:w="1452" w:type="dxa"/>
            <w:tcBorders>
              <w:top w:val="dotted" w:sz="4" w:space="0" w:color="auto"/>
              <w:bottom w:val="single" w:sz="4" w:space="0" w:color="000000"/>
            </w:tcBorders>
            <w:vAlign w:val="center"/>
          </w:tcPr>
          <w:p w14:paraId="2A9142C6" w14:textId="7868630D" w:rsidR="00E22C0D" w:rsidRPr="000428F0" w:rsidRDefault="00E22C0D" w:rsidP="00D20A1E">
            <w:pPr>
              <w:widowControl/>
              <w:tabs>
                <w:tab w:val="decimal" w:pos="617"/>
              </w:tabs>
              <w:spacing w:before="60" w:after="60"/>
              <w:rPr>
                <w:rFonts w:cs="Arial"/>
                <w:sz w:val="18"/>
                <w:szCs w:val="18"/>
              </w:rPr>
            </w:pPr>
            <w:r w:rsidRPr="000428F0">
              <w:rPr>
                <w:rFonts w:cs="Arial"/>
                <w:sz w:val="18"/>
                <w:szCs w:val="18"/>
              </w:rPr>
              <w:t>&lt;0.1</w:t>
            </w:r>
          </w:p>
        </w:tc>
      </w:tr>
      <w:tr w:rsidR="00E22C0D" w:rsidRPr="000428F0" w14:paraId="3CD43607" w14:textId="77777777" w:rsidTr="0026334B">
        <w:trPr>
          <w:trHeight w:val="327"/>
        </w:trPr>
        <w:tc>
          <w:tcPr>
            <w:tcW w:w="1447" w:type="dxa"/>
            <w:vMerge w:val="restart"/>
            <w:vAlign w:val="center"/>
          </w:tcPr>
          <w:p w14:paraId="43E56EDD" w14:textId="1F32BC24" w:rsidR="00E22C0D" w:rsidRPr="000428F0" w:rsidRDefault="00E22C0D" w:rsidP="00D20A1E">
            <w:pPr>
              <w:widowControl/>
              <w:spacing w:before="60" w:after="60"/>
              <w:rPr>
                <w:rFonts w:cs="Arial"/>
                <w:sz w:val="18"/>
                <w:szCs w:val="18"/>
              </w:rPr>
            </w:pPr>
            <w:r w:rsidRPr="000428F0">
              <w:rPr>
                <w:rFonts w:cs="Arial"/>
                <w:sz w:val="18"/>
                <w:szCs w:val="18"/>
              </w:rPr>
              <w:t>2002 NZCNS</w:t>
            </w:r>
          </w:p>
        </w:tc>
        <w:tc>
          <w:tcPr>
            <w:tcW w:w="1107" w:type="dxa"/>
            <w:vMerge w:val="restart"/>
            <w:vAlign w:val="center"/>
          </w:tcPr>
          <w:p w14:paraId="53DAE26F" w14:textId="65C8045B" w:rsidR="00E22C0D" w:rsidRPr="000428F0" w:rsidRDefault="00E22C0D" w:rsidP="00D20A1E">
            <w:pPr>
              <w:widowControl/>
              <w:spacing w:before="60" w:after="60"/>
              <w:rPr>
                <w:rFonts w:cs="Arial"/>
                <w:sz w:val="18"/>
                <w:szCs w:val="18"/>
              </w:rPr>
            </w:pPr>
            <w:r w:rsidRPr="000428F0">
              <w:rPr>
                <w:rFonts w:cs="Arial"/>
                <w:sz w:val="18"/>
                <w:szCs w:val="18"/>
              </w:rPr>
              <w:t>5-14 years</w:t>
            </w:r>
          </w:p>
        </w:tc>
        <w:tc>
          <w:tcPr>
            <w:tcW w:w="2752" w:type="dxa"/>
            <w:tcBorders>
              <w:bottom w:val="dotted" w:sz="4" w:space="0" w:color="auto"/>
            </w:tcBorders>
            <w:vAlign w:val="center"/>
          </w:tcPr>
          <w:p w14:paraId="291A4030" w14:textId="5FBFED85" w:rsidR="00E22C0D" w:rsidRPr="000428F0" w:rsidRDefault="00E22C0D" w:rsidP="00D20A1E">
            <w:pPr>
              <w:widowControl/>
              <w:spacing w:before="60" w:after="60"/>
              <w:rPr>
                <w:rFonts w:cs="Arial"/>
                <w:sz w:val="18"/>
                <w:szCs w:val="18"/>
              </w:rPr>
            </w:pPr>
            <w:r w:rsidRPr="000428F0">
              <w:rPr>
                <w:rFonts w:cs="Arial"/>
                <w:sz w:val="18"/>
                <w:szCs w:val="18"/>
              </w:rPr>
              <w:t>Plain only</w:t>
            </w:r>
          </w:p>
        </w:tc>
        <w:tc>
          <w:tcPr>
            <w:tcW w:w="1454" w:type="dxa"/>
            <w:tcBorders>
              <w:bottom w:val="dotted" w:sz="4" w:space="0" w:color="auto"/>
            </w:tcBorders>
            <w:vAlign w:val="center"/>
          </w:tcPr>
          <w:p w14:paraId="0F2DA77A" w14:textId="6D638946" w:rsidR="00E22C0D" w:rsidRPr="000428F0" w:rsidRDefault="00E22C0D" w:rsidP="00D20A1E">
            <w:pPr>
              <w:widowControl/>
              <w:tabs>
                <w:tab w:val="decimal" w:pos="881"/>
              </w:tabs>
              <w:spacing w:before="60" w:after="60"/>
              <w:rPr>
                <w:rFonts w:cs="Arial"/>
                <w:sz w:val="18"/>
                <w:szCs w:val="18"/>
              </w:rPr>
            </w:pPr>
            <w:r w:rsidRPr="000428F0">
              <w:rPr>
                <w:rFonts w:cs="Arial"/>
                <w:sz w:val="18"/>
                <w:szCs w:val="18"/>
              </w:rPr>
              <w:t>2,266</w:t>
            </w:r>
          </w:p>
        </w:tc>
        <w:tc>
          <w:tcPr>
            <w:tcW w:w="1457" w:type="dxa"/>
            <w:tcBorders>
              <w:bottom w:val="dotted" w:sz="4" w:space="0" w:color="auto"/>
            </w:tcBorders>
            <w:vAlign w:val="center"/>
          </w:tcPr>
          <w:p w14:paraId="657E9D0E" w14:textId="00B02A44" w:rsidR="00E22C0D" w:rsidRPr="000428F0" w:rsidRDefault="00E22C0D" w:rsidP="00D20A1E">
            <w:pPr>
              <w:widowControl/>
              <w:tabs>
                <w:tab w:val="decimal" w:pos="689"/>
              </w:tabs>
              <w:spacing w:before="60" w:after="60"/>
              <w:rPr>
                <w:rFonts w:cs="Arial"/>
                <w:sz w:val="18"/>
                <w:szCs w:val="18"/>
              </w:rPr>
            </w:pPr>
            <w:r w:rsidRPr="000428F0">
              <w:rPr>
                <w:rFonts w:cs="Arial"/>
                <w:sz w:val="18"/>
                <w:szCs w:val="18"/>
              </w:rPr>
              <w:t>69</w:t>
            </w:r>
          </w:p>
        </w:tc>
        <w:tc>
          <w:tcPr>
            <w:tcW w:w="1457" w:type="dxa"/>
            <w:tcBorders>
              <w:bottom w:val="dotted" w:sz="4" w:space="0" w:color="auto"/>
            </w:tcBorders>
            <w:vAlign w:val="center"/>
          </w:tcPr>
          <w:p w14:paraId="455C0298" w14:textId="01523133" w:rsidR="00E22C0D" w:rsidRPr="000428F0" w:rsidRDefault="00E22C0D" w:rsidP="00D20A1E">
            <w:pPr>
              <w:widowControl/>
              <w:tabs>
                <w:tab w:val="decimal" w:pos="777"/>
              </w:tabs>
              <w:spacing w:before="60" w:after="60"/>
              <w:rPr>
                <w:rFonts w:cs="Arial"/>
                <w:sz w:val="18"/>
                <w:szCs w:val="18"/>
              </w:rPr>
            </w:pPr>
            <w:r w:rsidRPr="000428F0">
              <w:rPr>
                <w:rFonts w:cs="Arial"/>
                <w:sz w:val="18"/>
                <w:szCs w:val="18"/>
              </w:rPr>
              <w:t>27</w:t>
            </w:r>
          </w:p>
        </w:tc>
        <w:tc>
          <w:tcPr>
            <w:tcW w:w="1457" w:type="dxa"/>
            <w:tcBorders>
              <w:bottom w:val="dotted" w:sz="4" w:space="0" w:color="auto"/>
            </w:tcBorders>
            <w:vAlign w:val="center"/>
          </w:tcPr>
          <w:p w14:paraId="75DC5942" w14:textId="4936115F" w:rsidR="00E22C0D" w:rsidRPr="000428F0" w:rsidRDefault="00E22C0D" w:rsidP="00D20A1E">
            <w:pPr>
              <w:widowControl/>
              <w:tabs>
                <w:tab w:val="decimal" w:pos="582"/>
              </w:tabs>
              <w:spacing w:before="60" w:after="60"/>
              <w:rPr>
                <w:rFonts w:cs="Arial"/>
                <w:sz w:val="18"/>
                <w:szCs w:val="18"/>
              </w:rPr>
            </w:pPr>
            <w:r w:rsidRPr="000428F0">
              <w:rPr>
                <w:rFonts w:cs="Arial"/>
                <w:sz w:val="18"/>
                <w:szCs w:val="18"/>
              </w:rPr>
              <w:t>0.8</w:t>
            </w:r>
          </w:p>
        </w:tc>
        <w:tc>
          <w:tcPr>
            <w:tcW w:w="1457" w:type="dxa"/>
            <w:tcBorders>
              <w:bottom w:val="dotted" w:sz="4" w:space="0" w:color="auto"/>
            </w:tcBorders>
            <w:vAlign w:val="center"/>
          </w:tcPr>
          <w:p w14:paraId="2159233A" w14:textId="3A45566B" w:rsidR="00E22C0D" w:rsidRPr="000428F0" w:rsidRDefault="00E22C0D" w:rsidP="00D20A1E">
            <w:pPr>
              <w:widowControl/>
              <w:tabs>
                <w:tab w:val="decimal" w:pos="670"/>
              </w:tabs>
              <w:spacing w:before="60" w:after="60"/>
              <w:rPr>
                <w:rFonts w:cs="Arial"/>
                <w:sz w:val="18"/>
                <w:szCs w:val="18"/>
              </w:rPr>
            </w:pPr>
            <w:r w:rsidRPr="000428F0">
              <w:rPr>
                <w:rFonts w:cs="Arial"/>
                <w:sz w:val="18"/>
                <w:szCs w:val="18"/>
              </w:rPr>
              <w:t>4</w:t>
            </w:r>
          </w:p>
        </w:tc>
        <w:tc>
          <w:tcPr>
            <w:tcW w:w="1452" w:type="dxa"/>
            <w:tcBorders>
              <w:bottom w:val="dotted" w:sz="4" w:space="0" w:color="auto"/>
            </w:tcBorders>
            <w:vAlign w:val="center"/>
          </w:tcPr>
          <w:p w14:paraId="73A93146" w14:textId="6EFDF1D0" w:rsidR="00E22C0D" w:rsidRPr="000428F0" w:rsidRDefault="00E22C0D" w:rsidP="00D20A1E">
            <w:pPr>
              <w:widowControl/>
              <w:tabs>
                <w:tab w:val="decimal" w:pos="617"/>
              </w:tabs>
              <w:spacing w:before="60" w:after="60"/>
              <w:rPr>
                <w:rFonts w:cs="Arial"/>
                <w:sz w:val="18"/>
                <w:szCs w:val="18"/>
              </w:rPr>
            </w:pPr>
            <w:r w:rsidRPr="000428F0">
              <w:rPr>
                <w:rFonts w:cs="Arial"/>
                <w:sz w:val="18"/>
                <w:szCs w:val="18"/>
              </w:rPr>
              <w:t>0.1</w:t>
            </w:r>
          </w:p>
        </w:tc>
      </w:tr>
      <w:tr w:rsidR="00E22C0D" w:rsidRPr="000428F0" w14:paraId="7CB567F3" w14:textId="77777777" w:rsidTr="0026334B">
        <w:trPr>
          <w:trHeight w:val="144"/>
        </w:trPr>
        <w:tc>
          <w:tcPr>
            <w:tcW w:w="1447" w:type="dxa"/>
            <w:vMerge/>
            <w:vAlign w:val="center"/>
          </w:tcPr>
          <w:p w14:paraId="773DB2D6" w14:textId="22CD2997" w:rsidR="00E22C0D" w:rsidRPr="000428F0" w:rsidRDefault="00E22C0D" w:rsidP="00D20A1E">
            <w:pPr>
              <w:widowControl/>
              <w:spacing w:before="60" w:after="60"/>
              <w:rPr>
                <w:rFonts w:cs="Arial"/>
                <w:sz w:val="18"/>
                <w:szCs w:val="18"/>
              </w:rPr>
            </w:pPr>
          </w:p>
        </w:tc>
        <w:tc>
          <w:tcPr>
            <w:tcW w:w="1107" w:type="dxa"/>
            <w:vMerge/>
            <w:vAlign w:val="center"/>
          </w:tcPr>
          <w:p w14:paraId="1502B8B9" w14:textId="39A2218B" w:rsidR="00E22C0D" w:rsidRPr="000428F0" w:rsidRDefault="00E22C0D" w:rsidP="00D20A1E">
            <w:pPr>
              <w:widowControl/>
              <w:spacing w:before="60" w:after="60"/>
              <w:rPr>
                <w:rFonts w:cs="Arial"/>
                <w:sz w:val="18"/>
                <w:szCs w:val="18"/>
              </w:rPr>
            </w:pPr>
          </w:p>
        </w:tc>
        <w:tc>
          <w:tcPr>
            <w:tcW w:w="2752" w:type="dxa"/>
            <w:tcBorders>
              <w:top w:val="dotted" w:sz="4" w:space="0" w:color="auto"/>
              <w:bottom w:val="single" w:sz="4" w:space="0" w:color="000000"/>
            </w:tcBorders>
            <w:vAlign w:val="center"/>
          </w:tcPr>
          <w:p w14:paraId="24753C25" w14:textId="7503F28F" w:rsidR="00E22C0D" w:rsidRPr="000428F0" w:rsidRDefault="00E22C0D" w:rsidP="00D20A1E">
            <w:pPr>
              <w:widowControl/>
              <w:spacing w:before="60" w:after="60"/>
              <w:rPr>
                <w:rFonts w:cs="Arial"/>
                <w:sz w:val="18"/>
                <w:szCs w:val="18"/>
              </w:rPr>
            </w:pPr>
            <w:r w:rsidRPr="000428F0">
              <w:rPr>
                <w:rFonts w:cs="Arial"/>
                <w:sz w:val="18"/>
                <w:szCs w:val="18"/>
              </w:rPr>
              <w:t>Plain</w:t>
            </w:r>
            <w:r>
              <w:rPr>
                <w:rFonts w:cs="Arial"/>
                <w:sz w:val="18"/>
                <w:szCs w:val="18"/>
              </w:rPr>
              <w:t xml:space="preserve"> /</w:t>
            </w:r>
            <w:r w:rsidRPr="000428F0">
              <w:rPr>
                <w:rFonts w:cs="Arial"/>
                <w:sz w:val="18"/>
                <w:szCs w:val="18"/>
              </w:rPr>
              <w:t xml:space="preserve"> flavoured </w:t>
            </w:r>
            <w:r>
              <w:rPr>
                <w:rFonts w:cs="Arial"/>
                <w:sz w:val="18"/>
                <w:szCs w:val="18"/>
              </w:rPr>
              <w:t>/</w:t>
            </w:r>
            <w:r w:rsidRPr="000428F0">
              <w:rPr>
                <w:rFonts w:cs="Arial"/>
                <w:sz w:val="18"/>
                <w:szCs w:val="18"/>
              </w:rPr>
              <w:t xml:space="preserve"> milkshakes</w:t>
            </w:r>
            <w:r>
              <w:rPr>
                <w:rFonts w:cs="Arial"/>
                <w:sz w:val="18"/>
                <w:szCs w:val="18"/>
              </w:rPr>
              <w:t xml:space="preserve"> / milk hot chocolate</w:t>
            </w:r>
          </w:p>
        </w:tc>
        <w:tc>
          <w:tcPr>
            <w:tcW w:w="1454" w:type="dxa"/>
            <w:tcBorders>
              <w:top w:val="dotted" w:sz="4" w:space="0" w:color="auto"/>
              <w:bottom w:val="single" w:sz="4" w:space="0" w:color="000000"/>
            </w:tcBorders>
            <w:vAlign w:val="center"/>
          </w:tcPr>
          <w:p w14:paraId="40910DFD" w14:textId="63AED97F" w:rsidR="00E22C0D" w:rsidRPr="000428F0" w:rsidRDefault="00E22C0D" w:rsidP="00D20A1E">
            <w:pPr>
              <w:widowControl/>
              <w:tabs>
                <w:tab w:val="decimal" w:pos="881"/>
              </w:tabs>
              <w:spacing w:before="60" w:after="60"/>
              <w:rPr>
                <w:rFonts w:cs="Arial"/>
                <w:sz w:val="18"/>
                <w:szCs w:val="18"/>
              </w:rPr>
            </w:pPr>
            <w:r w:rsidRPr="000428F0">
              <w:rPr>
                <w:rFonts w:cs="Arial"/>
                <w:sz w:val="18"/>
                <w:szCs w:val="18"/>
              </w:rPr>
              <w:t>2,</w:t>
            </w:r>
            <w:r>
              <w:rPr>
                <w:rFonts w:cs="Arial"/>
                <w:sz w:val="18"/>
                <w:szCs w:val="18"/>
              </w:rPr>
              <w:t>335</w:t>
            </w:r>
          </w:p>
        </w:tc>
        <w:tc>
          <w:tcPr>
            <w:tcW w:w="1457" w:type="dxa"/>
            <w:tcBorders>
              <w:top w:val="dotted" w:sz="4" w:space="0" w:color="auto"/>
              <w:bottom w:val="single" w:sz="4" w:space="0" w:color="000000"/>
            </w:tcBorders>
            <w:vAlign w:val="center"/>
          </w:tcPr>
          <w:p w14:paraId="17D285BE" w14:textId="76A3A8C1" w:rsidR="00E22C0D" w:rsidRPr="000428F0" w:rsidRDefault="00E22C0D" w:rsidP="00D20A1E">
            <w:pPr>
              <w:widowControl/>
              <w:tabs>
                <w:tab w:val="decimal" w:pos="689"/>
              </w:tabs>
              <w:spacing w:before="60" w:after="60"/>
              <w:rPr>
                <w:rFonts w:cs="Arial"/>
                <w:sz w:val="18"/>
                <w:szCs w:val="18"/>
              </w:rPr>
            </w:pPr>
            <w:r w:rsidRPr="000428F0">
              <w:rPr>
                <w:rFonts w:cs="Arial"/>
                <w:sz w:val="18"/>
                <w:szCs w:val="18"/>
              </w:rPr>
              <w:t>71</w:t>
            </w:r>
          </w:p>
        </w:tc>
        <w:tc>
          <w:tcPr>
            <w:tcW w:w="1457" w:type="dxa"/>
            <w:tcBorders>
              <w:top w:val="dotted" w:sz="4" w:space="0" w:color="auto"/>
              <w:bottom w:val="single" w:sz="4" w:space="0" w:color="000000"/>
            </w:tcBorders>
            <w:vAlign w:val="center"/>
          </w:tcPr>
          <w:p w14:paraId="026193E8" w14:textId="2CBCB7D5" w:rsidR="00E22C0D" w:rsidRPr="000428F0" w:rsidRDefault="00E22C0D" w:rsidP="00D20A1E">
            <w:pPr>
              <w:widowControl/>
              <w:tabs>
                <w:tab w:val="decimal" w:pos="777"/>
              </w:tabs>
              <w:spacing w:before="60" w:after="60"/>
              <w:rPr>
                <w:rFonts w:cs="Arial"/>
                <w:sz w:val="18"/>
                <w:szCs w:val="18"/>
              </w:rPr>
            </w:pPr>
            <w:r w:rsidRPr="000428F0">
              <w:rPr>
                <w:rFonts w:cs="Arial"/>
                <w:sz w:val="18"/>
                <w:szCs w:val="18"/>
              </w:rPr>
              <w:t>29</w:t>
            </w:r>
          </w:p>
        </w:tc>
        <w:tc>
          <w:tcPr>
            <w:tcW w:w="1457" w:type="dxa"/>
            <w:tcBorders>
              <w:top w:val="dotted" w:sz="4" w:space="0" w:color="auto"/>
              <w:bottom w:val="single" w:sz="4" w:space="0" w:color="000000"/>
            </w:tcBorders>
            <w:vAlign w:val="center"/>
          </w:tcPr>
          <w:p w14:paraId="7473E280" w14:textId="0AAB9843" w:rsidR="00E22C0D" w:rsidRPr="000428F0" w:rsidRDefault="00E22C0D" w:rsidP="00D20A1E">
            <w:pPr>
              <w:widowControl/>
              <w:tabs>
                <w:tab w:val="decimal" w:pos="582"/>
              </w:tabs>
              <w:spacing w:before="60" w:after="60"/>
              <w:rPr>
                <w:rFonts w:cs="Arial"/>
                <w:sz w:val="18"/>
                <w:szCs w:val="18"/>
              </w:rPr>
            </w:pPr>
            <w:r w:rsidRPr="000428F0">
              <w:rPr>
                <w:rFonts w:cs="Arial"/>
                <w:sz w:val="18"/>
                <w:szCs w:val="18"/>
              </w:rPr>
              <w:t>0.9</w:t>
            </w:r>
          </w:p>
        </w:tc>
        <w:tc>
          <w:tcPr>
            <w:tcW w:w="1457" w:type="dxa"/>
            <w:tcBorders>
              <w:top w:val="dotted" w:sz="4" w:space="0" w:color="auto"/>
              <w:bottom w:val="single" w:sz="4" w:space="0" w:color="000000"/>
            </w:tcBorders>
            <w:vAlign w:val="center"/>
          </w:tcPr>
          <w:p w14:paraId="1CC543B0" w14:textId="7DA0B1C7" w:rsidR="00E22C0D" w:rsidRPr="000428F0" w:rsidRDefault="00E22C0D" w:rsidP="00D20A1E">
            <w:pPr>
              <w:widowControl/>
              <w:tabs>
                <w:tab w:val="decimal" w:pos="670"/>
              </w:tabs>
              <w:spacing w:before="60" w:after="60"/>
              <w:rPr>
                <w:rFonts w:cs="Arial"/>
                <w:sz w:val="18"/>
                <w:szCs w:val="18"/>
              </w:rPr>
            </w:pPr>
            <w:r w:rsidRPr="000428F0">
              <w:rPr>
                <w:rFonts w:cs="Arial"/>
                <w:sz w:val="18"/>
                <w:szCs w:val="18"/>
              </w:rPr>
              <w:t>6</w:t>
            </w:r>
          </w:p>
        </w:tc>
        <w:tc>
          <w:tcPr>
            <w:tcW w:w="1452" w:type="dxa"/>
            <w:tcBorders>
              <w:top w:val="dotted" w:sz="4" w:space="0" w:color="auto"/>
              <w:bottom w:val="single" w:sz="4" w:space="0" w:color="000000"/>
            </w:tcBorders>
            <w:vAlign w:val="center"/>
          </w:tcPr>
          <w:p w14:paraId="56C272A7" w14:textId="32DF6648" w:rsidR="00E22C0D" w:rsidRPr="000428F0" w:rsidRDefault="00E22C0D" w:rsidP="00D20A1E">
            <w:pPr>
              <w:widowControl/>
              <w:tabs>
                <w:tab w:val="decimal" w:pos="617"/>
              </w:tabs>
              <w:spacing w:before="60" w:after="60"/>
              <w:rPr>
                <w:rFonts w:cs="Arial"/>
                <w:sz w:val="18"/>
                <w:szCs w:val="18"/>
              </w:rPr>
            </w:pPr>
            <w:r w:rsidRPr="000428F0">
              <w:rPr>
                <w:rFonts w:cs="Arial"/>
                <w:sz w:val="18"/>
                <w:szCs w:val="18"/>
              </w:rPr>
              <w:t>0.2</w:t>
            </w:r>
          </w:p>
        </w:tc>
      </w:tr>
      <w:tr w:rsidR="00E22C0D" w:rsidRPr="000428F0" w14:paraId="29704F0B" w14:textId="77777777" w:rsidTr="0026334B">
        <w:trPr>
          <w:trHeight w:val="327"/>
        </w:trPr>
        <w:tc>
          <w:tcPr>
            <w:tcW w:w="1447" w:type="dxa"/>
            <w:vMerge w:val="restart"/>
            <w:vAlign w:val="center"/>
          </w:tcPr>
          <w:p w14:paraId="34297E17" w14:textId="5056F41A" w:rsidR="00E22C0D" w:rsidRPr="000428F0" w:rsidRDefault="00E22C0D" w:rsidP="00D20A1E">
            <w:pPr>
              <w:widowControl/>
              <w:spacing w:before="60" w:after="60"/>
              <w:rPr>
                <w:rFonts w:cs="Arial"/>
                <w:sz w:val="18"/>
                <w:szCs w:val="18"/>
              </w:rPr>
            </w:pPr>
            <w:r w:rsidRPr="000428F0">
              <w:rPr>
                <w:rFonts w:cs="Arial"/>
                <w:sz w:val="18"/>
                <w:szCs w:val="18"/>
              </w:rPr>
              <w:t>2008 NZANS</w:t>
            </w:r>
          </w:p>
        </w:tc>
        <w:tc>
          <w:tcPr>
            <w:tcW w:w="1107" w:type="dxa"/>
            <w:vMerge w:val="restart"/>
            <w:vAlign w:val="center"/>
          </w:tcPr>
          <w:p w14:paraId="36D70023" w14:textId="3029483D" w:rsidR="00E22C0D" w:rsidRPr="000428F0" w:rsidRDefault="00E22C0D" w:rsidP="00D20A1E">
            <w:pPr>
              <w:widowControl/>
              <w:spacing w:before="60" w:after="60"/>
              <w:rPr>
                <w:rFonts w:cs="Arial"/>
                <w:sz w:val="18"/>
                <w:szCs w:val="18"/>
              </w:rPr>
            </w:pPr>
            <w:r w:rsidRPr="000428F0">
              <w:rPr>
                <w:rFonts w:cs="Arial"/>
                <w:sz w:val="18"/>
                <w:szCs w:val="18"/>
              </w:rPr>
              <w:t>15 years &amp; above</w:t>
            </w:r>
          </w:p>
        </w:tc>
        <w:tc>
          <w:tcPr>
            <w:tcW w:w="2752" w:type="dxa"/>
            <w:tcBorders>
              <w:bottom w:val="dotted" w:sz="4" w:space="0" w:color="auto"/>
            </w:tcBorders>
            <w:vAlign w:val="center"/>
          </w:tcPr>
          <w:p w14:paraId="0AF08143" w14:textId="6C8EB854" w:rsidR="00E22C0D" w:rsidRPr="000428F0" w:rsidRDefault="00E22C0D" w:rsidP="00D20A1E">
            <w:pPr>
              <w:widowControl/>
              <w:spacing w:before="60" w:after="60"/>
              <w:rPr>
                <w:rFonts w:cs="Arial"/>
                <w:sz w:val="18"/>
                <w:szCs w:val="18"/>
              </w:rPr>
            </w:pPr>
            <w:r w:rsidRPr="000428F0">
              <w:rPr>
                <w:rFonts w:cs="Arial"/>
                <w:sz w:val="18"/>
                <w:szCs w:val="18"/>
              </w:rPr>
              <w:t>Plain only</w:t>
            </w:r>
          </w:p>
        </w:tc>
        <w:tc>
          <w:tcPr>
            <w:tcW w:w="1454" w:type="dxa"/>
            <w:tcBorders>
              <w:bottom w:val="dotted" w:sz="4" w:space="0" w:color="auto"/>
            </w:tcBorders>
            <w:vAlign w:val="center"/>
          </w:tcPr>
          <w:p w14:paraId="712D1900" w14:textId="0F3D1F30" w:rsidR="00E22C0D" w:rsidRPr="000428F0" w:rsidRDefault="00E22C0D" w:rsidP="00D20A1E">
            <w:pPr>
              <w:widowControl/>
              <w:tabs>
                <w:tab w:val="decimal" w:pos="881"/>
              </w:tabs>
              <w:spacing w:before="60" w:after="60"/>
              <w:rPr>
                <w:rFonts w:cs="Arial"/>
                <w:sz w:val="18"/>
                <w:szCs w:val="18"/>
              </w:rPr>
            </w:pPr>
            <w:r w:rsidRPr="000428F0">
              <w:rPr>
                <w:rFonts w:cs="Arial"/>
                <w:sz w:val="18"/>
                <w:szCs w:val="18"/>
              </w:rPr>
              <w:t>3,574</w:t>
            </w:r>
          </w:p>
        </w:tc>
        <w:tc>
          <w:tcPr>
            <w:tcW w:w="1457" w:type="dxa"/>
            <w:tcBorders>
              <w:bottom w:val="dotted" w:sz="4" w:space="0" w:color="auto"/>
            </w:tcBorders>
            <w:vAlign w:val="center"/>
          </w:tcPr>
          <w:p w14:paraId="6A25107B" w14:textId="36E22B70" w:rsidR="00E22C0D" w:rsidRPr="000428F0" w:rsidRDefault="00E22C0D" w:rsidP="00D20A1E">
            <w:pPr>
              <w:widowControl/>
              <w:tabs>
                <w:tab w:val="decimal" w:pos="689"/>
              </w:tabs>
              <w:spacing w:before="60" w:after="60"/>
              <w:rPr>
                <w:rFonts w:cs="Arial"/>
                <w:sz w:val="18"/>
                <w:szCs w:val="18"/>
              </w:rPr>
            </w:pPr>
            <w:r w:rsidRPr="000428F0">
              <w:rPr>
                <w:rFonts w:cs="Arial"/>
                <w:sz w:val="18"/>
                <w:szCs w:val="18"/>
              </w:rPr>
              <w:t>75</w:t>
            </w:r>
          </w:p>
        </w:tc>
        <w:tc>
          <w:tcPr>
            <w:tcW w:w="1457" w:type="dxa"/>
            <w:tcBorders>
              <w:bottom w:val="dotted" w:sz="4" w:space="0" w:color="auto"/>
            </w:tcBorders>
            <w:vAlign w:val="center"/>
          </w:tcPr>
          <w:p w14:paraId="2AF625B6" w14:textId="7D611675" w:rsidR="00E22C0D" w:rsidRPr="000428F0" w:rsidRDefault="00E22C0D" w:rsidP="00D20A1E">
            <w:pPr>
              <w:widowControl/>
              <w:tabs>
                <w:tab w:val="decimal" w:pos="777"/>
              </w:tabs>
              <w:spacing w:before="60" w:after="60"/>
              <w:rPr>
                <w:rFonts w:cs="Arial"/>
                <w:sz w:val="18"/>
                <w:szCs w:val="18"/>
              </w:rPr>
            </w:pPr>
            <w:r w:rsidRPr="000428F0">
              <w:rPr>
                <w:rFonts w:cs="Arial"/>
                <w:sz w:val="18"/>
                <w:szCs w:val="18"/>
              </w:rPr>
              <w:t>109</w:t>
            </w:r>
          </w:p>
        </w:tc>
        <w:tc>
          <w:tcPr>
            <w:tcW w:w="1457" w:type="dxa"/>
            <w:tcBorders>
              <w:bottom w:val="dotted" w:sz="4" w:space="0" w:color="auto"/>
            </w:tcBorders>
            <w:vAlign w:val="center"/>
          </w:tcPr>
          <w:p w14:paraId="40118797" w14:textId="10A78CB4" w:rsidR="00E22C0D" w:rsidRPr="000428F0" w:rsidRDefault="00E22C0D" w:rsidP="00D20A1E">
            <w:pPr>
              <w:widowControl/>
              <w:tabs>
                <w:tab w:val="decimal" w:pos="582"/>
              </w:tabs>
              <w:spacing w:before="60" w:after="60"/>
              <w:rPr>
                <w:rFonts w:cs="Arial"/>
                <w:sz w:val="18"/>
                <w:szCs w:val="18"/>
              </w:rPr>
            </w:pPr>
            <w:r w:rsidRPr="000428F0">
              <w:rPr>
                <w:rFonts w:cs="Arial"/>
                <w:sz w:val="18"/>
                <w:szCs w:val="18"/>
              </w:rPr>
              <w:t>2.3</w:t>
            </w:r>
          </w:p>
        </w:tc>
        <w:tc>
          <w:tcPr>
            <w:tcW w:w="1457" w:type="dxa"/>
            <w:tcBorders>
              <w:bottom w:val="dotted" w:sz="4" w:space="0" w:color="auto"/>
            </w:tcBorders>
            <w:vAlign w:val="center"/>
          </w:tcPr>
          <w:p w14:paraId="7B8B88D7" w14:textId="06CD9529" w:rsidR="00E22C0D" w:rsidRPr="000428F0" w:rsidRDefault="00E22C0D" w:rsidP="00D20A1E">
            <w:pPr>
              <w:widowControl/>
              <w:tabs>
                <w:tab w:val="decimal" w:pos="670"/>
              </w:tabs>
              <w:spacing w:before="60" w:after="60"/>
              <w:rPr>
                <w:rFonts w:cs="Arial"/>
                <w:sz w:val="18"/>
                <w:szCs w:val="18"/>
              </w:rPr>
            </w:pPr>
            <w:r w:rsidRPr="000428F0">
              <w:rPr>
                <w:rFonts w:cs="Arial"/>
                <w:sz w:val="18"/>
                <w:szCs w:val="18"/>
              </w:rPr>
              <w:t>13</w:t>
            </w:r>
          </w:p>
        </w:tc>
        <w:tc>
          <w:tcPr>
            <w:tcW w:w="1452" w:type="dxa"/>
            <w:tcBorders>
              <w:bottom w:val="dotted" w:sz="4" w:space="0" w:color="auto"/>
            </w:tcBorders>
            <w:vAlign w:val="center"/>
          </w:tcPr>
          <w:p w14:paraId="330D89E8" w14:textId="3DE33437" w:rsidR="00E22C0D" w:rsidRPr="000428F0" w:rsidRDefault="00E22C0D" w:rsidP="00D20A1E">
            <w:pPr>
              <w:widowControl/>
              <w:tabs>
                <w:tab w:val="decimal" w:pos="617"/>
              </w:tabs>
              <w:spacing w:before="60" w:after="60"/>
              <w:rPr>
                <w:rFonts w:cs="Arial"/>
                <w:sz w:val="18"/>
                <w:szCs w:val="18"/>
              </w:rPr>
            </w:pPr>
            <w:r w:rsidRPr="000428F0">
              <w:rPr>
                <w:rFonts w:cs="Arial"/>
                <w:sz w:val="18"/>
                <w:szCs w:val="18"/>
              </w:rPr>
              <w:t>0.3</w:t>
            </w:r>
          </w:p>
        </w:tc>
      </w:tr>
      <w:tr w:rsidR="00E22C0D" w:rsidRPr="000428F0" w14:paraId="1621858E" w14:textId="77777777" w:rsidTr="0026334B">
        <w:trPr>
          <w:trHeight w:val="144"/>
        </w:trPr>
        <w:tc>
          <w:tcPr>
            <w:tcW w:w="1447" w:type="dxa"/>
            <w:vMerge/>
            <w:vAlign w:val="center"/>
          </w:tcPr>
          <w:p w14:paraId="59F90BCE" w14:textId="7DF90D74" w:rsidR="00E22C0D" w:rsidRPr="000428F0" w:rsidRDefault="00E22C0D" w:rsidP="00D20A1E">
            <w:pPr>
              <w:widowControl/>
              <w:spacing w:before="60" w:after="60"/>
              <w:rPr>
                <w:rFonts w:cs="Arial"/>
                <w:sz w:val="18"/>
                <w:szCs w:val="18"/>
              </w:rPr>
            </w:pPr>
          </w:p>
        </w:tc>
        <w:tc>
          <w:tcPr>
            <w:tcW w:w="1107" w:type="dxa"/>
            <w:vMerge/>
            <w:vAlign w:val="center"/>
          </w:tcPr>
          <w:p w14:paraId="4246CEE7" w14:textId="02C01942" w:rsidR="00E22C0D" w:rsidRPr="000428F0" w:rsidRDefault="00E22C0D" w:rsidP="00D20A1E">
            <w:pPr>
              <w:widowControl/>
              <w:spacing w:before="60" w:after="60"/>
              <w:rPr>
                <w:rFonts w:cs="Arial"/>
                <w:sz w:val="18"/>
                <w:szCs w:val="18"/>
              </w:rPr>
            </w:pPr>
          </w:p>
        </w:tc>
        <w:tc>
          <w:tcPr>
            <w:tcW w:w="2752" w:type="dxa"/>
            <w:tcBorders>
              <w:top w:val="dotted" w:sz="4" w:space="0" w:color="auto"/>
            </w:tcBorders>
            <w:vAlign w:val="center"/>
          </w:tcPr>
          <w:p w14:paraId="317C516E" w14:textId="45DABDA5" w:rsidR="00E22C0D" w:rsidRPr="000428F0" w:rsidRDefault="00E22C0D" w:rsidP="00D20A1E">
            <w:pPr>
              <w:widowControl/>
              <w:spacing w:before="60" w:after="60"/>
              <w:rPr>
                <w:rFonts w:cs="Arial"/>
                <w:sz w:val="18"/>
                <w:szCs w:val="18"/>
              </w:rPr>
            </w:pPr>
            <w:r w:rsidRPr="000428F0">
              <w:rPr>
                <w:rFonts w:cs="Arial"/>
                <w:sz w:val="18"/>
                <w:szCs w:val="18"/>
              </w:rPr>
              <w:t>Plain</w:t>
            </w:r>
            <w:r>
              <w:rPr>
                <w:rFonts w:cs="Arial"/>
                <w:sz w:val="18"/>
                <w:szCs w:val="18"/>
              </w:rPr>
              <w:t xml:space="preserve"> /</w:t>
            </w:r>
            <w:r w:rsidRPr="000428F0">
              <w:rPr>
                <w:rFonts w:cs="Arial"/>
                <w:sz w:val="18"/>
                <w:szCs w:val="18"/>
              </w:rPr>
              <w:t xml:space="preserve"> flavoured </w:t>
            </w:r>
            <w:r>
              <w:rPr>
                <w:rFonts w:cs="Arial"/>
                <w:sz w:val="18"/>
                <w:szCs w:val="18"/>
              </w:rPr>
              <w:t>/</w:t>
            </w:r>
            <w:r w:rsidRPr="000428F0">
              <w:rPr>
                <w:rFonts w:cs="Arial"/>
                <w:sz w:val="18"/>
                <w:szCs w:val="18"/>
              </w:rPr>
              <w:t xml:space="preserve"> milkshakes</w:t>
            </w:r>
            <w:r>
              <w:rPr>
                <w:rFonts w:cs="Arial"/>
                <w:sz w:val="18"/>
                <w:szCs w:val="18"/>
              </w:rPr>
              <w:t xml:space="preserve"> / milk hot chocolate</w:t>
            </w:r>
          </w:p>
        </w:tc>
        <w:tc>
          <w:tcPr>
            <w:tcW w:w="1454" w:type="dxa"/>
            <w:tcBorders>
              <w:top w:val="dotted" w:sz="4" w:space="0" w:color="auto"/>
            </w:tcBorders>
            <w:vAlign w:val="center"/>
          </w:tcPr>
          <w:p w14:paraId="094CB6D1" w14:textId="3FFC0088" w:rsidR="00E22C0D" w:rsidRPr="000428F0" w:rsidRDefault="00E22C0D" w:rsidP="00D20A1E">
            <w:pPr>
              <w:widowControl/>
              <w:tabs>
                <w:tab w:val="decimal" w:pos="881"/>
              </w:tabs>
              <w:spacing w:before="60" w:after="60"/>
              <w:rPr>
                <w:rFonts w:cs="Arial"/>
                <w:sz w:val="18"/>
                <w:szCs w:val="18"/>
              </w:rPr>
            </w:pPr>
            <w:r w:rsidRPr="000428F0">
              <w:rPr>
                <w:rFonts w:cs="Arial"/>
                <w:sz w:val="18"/>
                <w:szCs w:val="18"/>
              </w:rPr>
              <w:t>3,6</w:t>
            </w:r>
            <w:r>
              <w:rPr>
                <w:rFonts w:cs="Arial"/>
                <w:sz w:val="18"/>
                <w:szCs w:val="18"/>
              </w:rPr>
              <w:t>35</w:t>
            </w:r>
          </w:p>
        </w:tc>
        <w:tc>
          <w:tcPr>
            <w:tcW w:w="1457" w:type="dxa"/>
            <w:tcBorders>
              <w:top w:val="dotted" w:sz="4" w:space="0" w:color="auto"/>
            </w:tcBorders>
            <w:vAlign w:val="center"/>
          </w:tcPr>
          <w:p w14:paraId="5F0E18D6" w14:textId="4B08C3E8" w:rsidR="00E22C0D" w:rsidRPr="000428F0" w:rsidRDefault="00E22C0D" w:rsidP="00D20A1E">
            <w:pPr>
              <w:widowControl/>
              <w:tabs>
                <w:tab w:val="decimal" w:pos="689"/>
              </w:tabs>
              <w:spacing w:before="60" w:after="60"/>
              <w:rPr>
                <w:rFonts w:cs="Arial"/>
                <w:sz w:val="18"/>
                <w:szCs w:val="18"/>
              </w:rPr>
            </w:pPr>
            <w:r w:rsidRPr="000428F0">
              <w:rPr>
                <w:rFonts w:cs="Arial"/>
                <w:sz w:val="18"/>
                <w:szCs w:val="18"/>
              </w:rPr>
              <w:t>7</w:t>
            </w:r>
            <w:r>
              <w:rPr>
                <w:rFonts w:cs="Arial"/>
                <w:sz w:val="18"/>
                <w:szCs w:val="18"/>
              </w:rPr>
              <w:t>7</w:t>
            </w:r>
          </w:p>
        </w:tc>
        <w:tc>
          <w:tcPr>
            <w:tcW w:w="1457" w:type="dxa"/>
            <w:tcBorders>
              <w:top w:val="dotted" w:sz="4" w:space="0" w:color="auto"/>
            </w:tcBorders>
            <w:vAlign w:val="center"/>
          </w:tcPr>
          <w:p w14:paraId="3ADBAA53" w14:textId="34C09F34" w:rsidR="00E22C0D" w:rsidRPr="000428F0" w:rsidRDefault="00E22C0D" w:rsidP="00D20A1E">
            <w:pPr>
              <w:widowControl/>
              <w:tabs>
                <w:tab w:val="decimal" w:pos="777"/>
              </w:tabs>
              <w:spacing w:before="60" w:after="60"/>
              <w:rPr>
                <w:rFonts w:cs="Arial"/>
                <w:sz w:val="18"/>
                <w:szCs w:val="18"/>
              </w:rPr>
            </w:pPr>
            <w:r w:rsidRPr="000428F0">
              <w:rPr>
                <w:rFonts w:cs="Arial"/>
                <w:sz w:val="18"/>
                <w:szCs w:val="18"/>
              </w:rPr>
              <w:t>110</w:t>
            </w:r>
          </w:p>
        </w:tc>
        <w:tc>
          <w:tcPr>
            <w:tcW w:w="1457" w:type="dxa"/>
            <w:tcBorders>
              <w:top w:val="dotted" w:sz="4" w:space="0" w:color="auto"/>
            </w:tcBorders>
            <w:vAlign w:val="center"/>
          </w:tcPr>
          <w:p w14:paraId="1822112A" w14:textId="553A1CDC" w:rsidR="00E22C0D" w:rsidRPr="000428F0" w:rsidRDefault="00E22C0D" w:rsidP="00D20A1E">
            <w:pPr>
              <w:widowControl/>
              <w:tabs>
                <w:tab w:val="decimal" w:pos="582"/>
              </w:tabs>
              <w:spacing w:before="60" w:after="60"/>
              <w:rPr>
                <w:rFonts w:cs="Arial"/>
                <w:sz w:val="18"/>
                <w:szCs w:val="18"/>
              </w:rPr>
            </w:pPr>
            <w:r w:rsidRPr="000428F0">
              <w:rPr>
                <w:rFonts w:cs="Arial"/>
                <w:sz w:val="18"/>
                <w:szCs w:val="18"/>
              </w:rPr>
              <w:t>2.3</w:t>
            </w:r>
          </w:p>
        </w:tc>
        <w:tc>
          <w:tcPr>
            <w:tcW w:w="1457" w:type="dxa"/>
            <w:tcBorders>
              <w:top w:val="dotted" w:sz="4" w:space="0" w:color="auto"/>
            </w:tcBorders>
            <w:vAlign w:val="center"/>
          </w:tcPr>
          <w:p w14:paraId="6DF93805" w14:textId="093B65EB" w:rsidR="00E22C0D" w:rsidRPr="000428F0" w:rsidRDefault="00E22C0D" w:rsidP="00D20A1E">
            <w:pPr>
              <w:widowControl/>
              <w:tabs>
                <w:tab w:val="decimal" w:pos="670"/>
              </w:tabs>
              <w:spacing w:before="60" w:after="60"/>
              <w:rPr>
                <w:rFonts w:cs="Arial"/>
                <w:sz w:val="18"/>
                <w:szCs w:val="18"/>
              </w:rPr>
            </w:pPr>
            <w:r w:rsidRPr="000428F0">
              <w:rPr>
                <w:rFonts w:cs="Arial"/>
                <w:sz w:val="18"/>
                <w:szCs w:val="18"/>
              </w:rPr>
              <w:t>21</w:t>
            </w:r>
          </w:p>
        </w:tc>
        <w:tc>
          <w:tcPr>
            <w:tcW w:w="1452" w:type="dxa"/>
            <w:tcBorders>
              <w:top w:val="dotted" w:sz="4" w:space="0" w:color="auto"/>
            </w:tcBorders>
            <w:vAlign w:val="center"/>
          </w:tcPr>
          <w:p w14:paraId="0CE707C3" w14:textId="45400823" w:rsidR="00E22C0D" w:rsidRPr="000428F0" w:rsidRDefault="00E22C0D" w:rsidP="00D20A1E">
            <w:pPr>
              <w:widowControl/>
              <w:tabs>
                <w:tab w:val="decimal" w:pos="617"/>
              </w:tabs>
              <w:spacing w:before="60" w:after="60"/>
              <w:rPr>
                <w:rFonts w:cs="Arial"/>
                <w:sz w:val="18"/>
                <w:szCs w:val="18"/>
              </w:rPr>
            </w:pPr>
            <w:r w:rsidRPr="000428F0">
              <w:rPr>
                <w:rFonts w:cs="Arial"/>
                <w:sz w:val="18"/>
                <w:szCs w:val="18"/>
              </w:rPr>
              <w:t>0.4</w:t>
            </w:r>
          </w:p>
        </w:tc>
      </w:tr>
    </w:tbl>
    <w:p w14:paraId="54951098" w14:textId="290CC2CE" w:rsidR="006B2784" w:rsidRPr="000221A2" w:rsidRDefault="00D24122" w:rsidP="00D20A1E">
      <w:pPr>
        <w:widowControl/>
        <w:spacing w:before="20" w:after="20"/>
        <w:rPr>
          <w:sz w:val="16"/>
          <w:szCs w:val="16"/>
        </w:rPr>
      </w:pPr>
      <w:r w:rsidRPr="000221A2">
        <w:rPr>
          <w:sz w:val="16"/>
          <w:szCs w:val="16"/>
          <w:vertAlign w:val="superscript"/>
        </w:rPr>
        <w:t>☼</w:t>
      </w:r>
      <w:r w:rsidR="005126AF" w:rsidRPr="000221A2">
        <w:rPr>
          <w:sz w:val="16"/>
          <w:szCs w:val="16"/>
        </w:rPr>
        <w:tab/>
      </w:r>
      <w:r w:rsidR="00606E10" w:rsidRPr="000221A2">
        <w:rPr>
          <w:sz w:val="16"/>
          <w:szCs w:val="16"/>
        </w:rPr>
        <w:t>B</w:t>
      </w:r>
      <w:r w:rsidR="006B2784" w:rsidRPr="000221A2">
        <w:rPr>
          <w:sz w:val="16"/>
          <w:szCs w:val="16"/>
        </w:rPr>
        <w:t>ased on consumption from Day 1 only</w:t>
      </w:r>
    </w:p>
    <w:p w14:paraId="370BFD5C" w14:textId="4230ABA8" w:rsidR="00B8382C" w:rsidRPr="000221A2" w:rsidRDefault="00D24122" w:rsidP="00D20A1E">
      <w:pPr>
        <w:widowControl/>
        <w:spacing w:before="20" w:after="20"/>
        <w:rPr>
          <w:sz w:val="16"/>
          <w:szCs w:val="16"/>
          <w:vertAlign w:val="superscript"/>
        </w:rPr>
      </w:pPr>
      <w:r w:rsidRPr="000221A2">
        <w:rPr>
          <w:sz w:val="16"/>
          <w:szCs w:val="16"/>
          <w:vertAlign w:val="superscript"/>
        </w:rPr>
        <w:t>☼☼</w:t>
      </w:r>
      <w:r w:rsidR="005126AF" w:rsidRPr="000221A2">
        <w:rPr>
          <w:sz w:val="16"/>
          <w:szCs w:val="16"/>
          <w:vertAlign w:val="superscript"/>
        </w:rPr>
        <w:tab/>
      </w:r>
      <w:r w:rsidR="00675B47">
        <w:rPr>
          <w:sz w:val="16"/>
          <w:szCs w:val="16"/>
        </w:rPr>
        <w:t>D</w:t>
      </w:r>
      <w:r w:rsidR="0018296F" w:rsidRPr="000221A2">
        <w:rPr>
          <w:sz w:val="16"/>
          <w:szCs w:val="16"/>
        </w:rPr>
        <w:t>erived from CURF raw data (ABS, 2014</w:t>
      </w:r>
      <w:r w:rsidR="00934B60" w:rsidRPr="000221A2">
        <w:rPr>
          <w:sz w:val="16"/>
          <w:szCs w:val="16"/>
        </w:rPr>
        <w:t>a</w:t>
      </w:r>
      <w:r w:rsidR="0018296F" w:rsidRPr="000221A2">
        <w:rPr>
          <w:sz w:val="16"/>
          <w:szCs w:val="16"/>
        </w:rPr>
        <w:t>)</w:t>
      </w:r>
      <w:r w:rsidR="00B8382C" w:rsidRPr="000221A2">
        <w:rPr>
          <w:sz w:val="16"/>
          <w:szCs w:val="16"/>
        </w:rPr>
        <w:t>)</w:t>
      </w:r>
    </w:p>
    <w:p w14:paraId="25786CDE" w14:textId="1F105E8F" w:rsidR="006B2784" w:rsidRDefault="006B2784" w:rsidP="00D20A1E">
      <w:pPr>
        <w:widowControl/>
      </w:pPr>
    </w:p>
    <w:p w14:paraId="17F53D1E" w14:textId="13B0476E" w:rsidR="006B2784" w:rsidRDefault="006B2784" w:rsidP="00D20A1E">
      <w:pPr>
        <w:pStyle w:val="FSTableTitle"/>
        <w:keepNext/>
        <w:keepLines/>
        <w:widowControl/>
        <w:rPr>
          <w:b w:val="0"/>
          <w:vertAlign w:val="superscript"/>
        </w:rPr>
      </w:pPr>
      <w:bookmarkStart w:id="198" w:name="_Ref417649018"/>
      <w:r w:rsidRPr="00FE3234">
        <w:t>Table A1.</w:t>
      </w:r>
      <w:fldSimple w:instr=" SEQ Table_A1. \* ARABIC ">
        <w:r w:rsidR="00047581">
          <w:rPr>
            <w:noProof/>
          </w:rPr>
          <w:t>3</w:t>
        </w:r>
      </w:fldSimple>
      <w:bookmarkEnd w:id="198"/>
      <w:r w:rsidRPr="00FE3234">
        <w:t>:</w:t>
      </w:r>
      <w:r w:rsidR="00F6296A">
        <w:t xml:space="preserve"> </w:t>
      </w:r>
      <w:r w:rsidRPr="00FE3234">
        <w:t xml:space="preserve">Consumer consumption of milk and </w:t>
      </w:r>
      <w:r w:rsidR="003D608F">
        <w:t>plant-based milk substitute</w:t>
      </w:r>
      <w:r w:rsidRPr="00FE3234">
        <w:t xml:space="preserve">s in Australian and New Zealand national nutrition </w:t>
      </w:r>
      <w:r w:rsidRPr="00D24122">
        <w:t>surveys</w:t>
      </w:r>
      <w:r w:rsidR="00D24122" w:rsidRPr="00D24122">
        <w:rPr>
          <w:b w:val="0"/>
          <w:vertAlign w:val="superscript"/>
        </w:rPr>
        <w:t>☼</w:t>
      </w:r>
    </w:p>
    <w:p w14:paraId="457C597D" w14:textId="77777777" w:rsidR="0023423F" w:rsidRPr="0023423F" w:rsidRDefault="0023423F" w:rsidP="0023423F"/>
    <w:tbl>
      <w:tblPr>
        <w:tblStyle w:val="TableGrid"/>
        <w:tblW w:w="0" w:type="auto"/>
        <w:tblLayout w:type="fixed"/>
        <w:tblLook w:val="04A0" w:firstRow="1" w:lastRow="0" w:firstColumn="1" w:lastColumn="0" w:noHBand="0" w:noVBand="1"/>
      </w:tblPr>
      <w:tblGrid>
        <w:gridCol w:w="995"/>
        <w:gridCol w:w="1183"/>
        <w:gridCol w:w="1048"/>
        <w:gridCol w:w="2693"/>
        <w:gridCol w:w="1375"/>
        <w:gridCol w:w="1376"/>
        <w:gridCol w:w="1376"/>
        <w:gridCol w:w="1376"/>
        <w:gridCol w:w="1376"/>
        <w:gridCol w:w="1376"/>
      </w:tblGrid>
      <w:tr w:rsidR="009D0BA0" w:rsidRPr="0073640D" w14:paraId="06E1B11B" w14:textId="77777777" w:rsidTr="00501719">
        <w:tc>
          <w:tcPr>
            <w:tcW w:w="995" w:type="dxa"/>
            <w:vMerge w:val="restart"/>
            <w:shd w:val="clear" w:color="auto" w:fill="B8CCE4" w:themeFill="accent1" w:themeFillTint="66"/>
          </w:tcPr>
          <w:p w14:paraId="5C5EABA9" w14:textId="32799E4B" w:rsidR="009D0BA0" w:rsidRPr="00CC72F8" w:rsidRDefault="009D0BA0" w:rsidP="00D20A1E">
            <w:pPr>
              <w:keepNext/>
              <w:keepLines/>
              <w:widowControl/>
              <w:spacing w:before="40" w:after="40"/>
              <w:rPr>
                <w:rFonts w:cs="Arial"/>
                <w:b/>
                <w:sz w:val="20"/>
                <w:szCs w:val="20"/>
              </w:rPr>
            </w:pPr>
            <w:r>
              <w:rPr>
                <w:rFonts w:cs="Arial"/>
                <w:b/>
                <w:sz w:val="20"/>
                <w:szCs w:val="20"/>
              </w:rPr>
              <w:lastRenderedPageBreak/>
              <w:t>Country</w:t>
            </w:r>
          </w:p>
        </w:tc>
        <w:tc>
          <w:tcPr>
            <w:tcW w:w="1183" w:type="dxa"/>
            <w:vMerge w:val="restart"/>
            <w:shd w:val="clear" w:color="auto" w:fill="B8CCE4" w:themeFill="accent1" w:themeFillTint="66"/>
          </w:tcPr>
          <w:p w14:paraId="363671C7" w14:textId="12623382" w:rsidR="009D0BA0" w:rsidRPr="00CC72F8" w:rsidRDefault="009D0BA0" w:rsidP="00D20A1E">
            <w:pPr>
              <w:keepNext/>
              <w:keepLines/>
              <w:widowControl/>
              <w:spacing w:before="40" w:after="40"/>
              <w:rPr>
                <w:rFonts w:cs="Arial"/>
                <w:b/>
                <w:sz w:val="20"/>
                <w:szCs w:val="20"/>
              </w:rPr>
            </w:pPr>
            <w:r w:rsidRPr="00CC72F8">
              <w:rPr>
                <w:rFonts w:cs="Arial"/>
                <w:b/>
                <w:sz w:val="20"/>
                <w:szCs w:val="20"/>
              </w:rPr>
              <w:t>Nutrition Survey</w:t>
            </w:r>
          </w:p>
        </w:tc>
        <w:tc>
          <w:tcPr>
            <w:tcW w:w="1048" w:type="dxa"/>
            <w:vMerge w:val="restart"/>
            <w:shd w:val="clear" w:color="auto" w:fill="B8CCE4" w:themeFill="accent1" w:themeFillTint="66"/>
          </w:tcPr>
          <w:p w14:paraId="61B7BCE0" w14:textId="77777777" w:rsidR="009D0BA0" w:rsidRPr="00CC72F8" w:rsidRDefault="009D0BA0" w:rsidP="00D20A1E">
            <w:pPr>
              <w:keepNext/>
              <w:keepLines/>
              <w:widowControl/>
              <w:spacing w:before="40" w:after="40"/>
              <w:rPr>
                <w:rFonts w:cs="Arial"/>
                <w:b/>
                <w:sz w:val="20"/>
                <w:szCs w:val="20"/>
              </w:rPr>
            </w:pPr>
            <w:r w:rsidRPr="00CC72F8">
              <w:rPr>
                <w:rFonts w:cs="Arial"/>
                <w:b/>
                <w:sz w:val="20"/>
                <w:szCs w:val="20"/>
              </w:rPr>
              <w:t>Age</w:t>
            </w:r>
          </w:p>
        </w:tc>
        <w:tc>
          <w:tcPr>
            <w:tcW w:w="2693" w:type="dxa"/>
            <w:vMerge w:val="restart"/>
            <w:shd w:val="clear" w:color="auto" w:fill="B8CCE4" w:themeFill="accent1" w:themeFillTint="66"/>
          </w:tcPr>
          <w:p w14:paraId="388E1200" w14:textId="5D130975" w:rsidR="009D0BA0" w:rsidRPr="00CC72F8" w:rsidRDefault="009D0BA0" w:rsidP="00D20A1E">
            <w:pPr>
              <w:keepNext/>
              <w:keepLines/>
              <w:widowControl/>
              <w:spacing w:before="40" w:after="40"/>
              <w:rPr>
                <w:rFonts w:cs="Arial"/>
                <w:b/>
                <w:sz w:val="20"/>
                <w:szCs w:val="20"/>
              </w:rPr>
            </w:pPr>
            <w:r>
              <w:rPr>
                <w:rFonts w:cs="Arial"/>
                <w:b/>
                <w:sz w:val="20"/>
                <w:szCs w:val="20"/>
              </w:rPr>
              <w:t>Plain or flavoured</w:t>
            </w:r>
          </w:p>
        </w:tc>
        <w:tc>
          <w:tcPr>
            <w:tcW w:w="8255" w:type="dxa"/>
            <w:gridSpan w:val="6"/>
            <w:shd w:val="clear" w:color="auto" w:fill="B8CCE4" w:themeFill="accent1" w:themeFillTint="66"/>
          </w:tcPr>
          <w:p w14:paraId="60D5D88E" w14:textId="3FEB14E9" w:rsidR="009D0BA0" w:rsidRPr="00CC72F8" w:rsidRDefault="009D0BA0" w:rsidP="00D20A1E">
            <w:pPr>
              <w:keepNext/>
              <w:keepLines/>
              <w:widowControl/>
              <w:spacing w:before="40" w:after="40"/>
              <w:jc w:val="center"/>
              <w:rPr>
                <w:rFonts w:cs="Arial"/>
                <w:b/>
                <w:sz w:val="20"/>
                <w:szCs w:val="20"/>
              </w:rPr>
            </w:pPr>
            <w:r w:rsidRPr="00CC72F8">
              <w:rPr>
                <w:rFonts w:cs="Arial"/>
                <w:b/>
                <w:sz w:val="20"/>
                <w:szCs w:val="20"/>
              </w:rPr>
              <w:t>C</w:t>
            </w:r>
            <w:r>
              <w:rPr>
                <w:rFonts w:cs="Arial"/>
                <w:b/>
                <w:sz w:val="20"/>
                <w:szCs w:val="20"/>
              </w:rPr>
              <w:t>onsumer c</w:t>
            </w:r>
            <w:r w:rsidRPr="00CC72F8">
              <w:rPr>
                <w:rFonts w:cs="Arial"/>
                <w:b/>
                <w:sz w:val="20"/>
                <w:szCs w:val="20"/>
              </w:rPr>
              <w:t>onsumption (grams per day)</w:t>
            </w:r>
          </w:p>
        </w:tc>
      </w:tr>
      <w:tr w:rsidR="009D0BA0" w:rsidRPr="0073640D" w14:paraId="23C1C4B3" w14:textId="77777777" w:rsidTr="00501719">
        <w:tc>
          <w:tcPr>
            <w:tcW w:w="995" w:type="dxa"/>
            <w:vMerge/>
            <w:shd w:val="clear" w:color="auto" w:fill="B8CCE4" w:themeFill="accent1" w:themeFillTint="66"/>
          </w:tcPr>
          <w:p w14:paraId="1D115735" w14:textId="602854E4" w:rsidR="009D0BA0" w:rsidRPr="00CC72F8" w:rsidRDefault="009D0BA0" w:rsidP="00D20A1E">
            <w:pPr>
              <w:keepNext/>
              <w:keepLines/>
              <w:widowControl/>
              <w:spacing w:before="40" w:after="40"/>
              <w:rPr>
                <w:rFonts w:cs="Arial"/>
                <w:b/>
                <w:sz w:val="20"/>
                <w:szCs w:val="20"/>
              </w:rPr>
            </w:pPr>
          </w:p>
        </w:tc>
        <w:tc>
          <w:tcPr>
            <w:tcW w:w="1183" w:type="dxa"/>
            <w:vMerge/>
            <w:shd w:val="clear" w:color="auto" w:fill="B8CCE4" w:themeFill="accent1" w:themeFillTint="66"/>
          </w:tcPr>
          <w:p w14:paraId="1B541368" w14:textId="1B656CF3" w:rsidR="009D0BA0" w:rsidRPr="00CC72F8" w:rsidRDefault="009D0BA0" w:rsidP="00D20A1E">
            <w:pPr>
              <w:keepNext/>
              <w:keepLines/>
              <w:widowControl/>
              <w:spacing w:before="40" w:after="40"/>
              <w:rPr>
                <w:rFonts w:cs="Arial"/>
                <w:b/>
                <w:sz w:val="20"/>
                <w:szCs w:val="20"/>
              </w:rPr>
            </w:pPr>
          </w:p>
        </w:tc>
        <w:tc>
          <w:tcPr>
            <w:tcW w:w="1048" w:type="dxa"/>
            <w:vMerge/>
            <w:shd w:val="clear" w:color="auto" w:fill="B8CCE4" w:themeFill="accent1" w:themeFillTint="66"/>
          </w:tcPr>
          <w:p w14:paraId="037931E9" w14:textId="77777777" w:rsidR="009D0BA0" w:rsidRPr="00CC72F8" w:rsidRDefault="009D0BA0" w:rsidP="00D20A1E">
            <w:pPr>
              <w:keepNext/>
              <w:keepLines/>
              <w:widowControl/>
              <w:spacing w:before="40" w:after="40"/>
              <w:rPr>
                <w:rFonts w:cs="Arial"/>
                <w:b/>
                <w:sz w:val="20"/>
                <w:szCs w:val="20"/>
              </w:rPr>
            </w:pPr>
          </w:p>
        </w:tc>
        <w:tc>
          <w:tcPr>
            <w:tcW w:w="2693" w:type="dxa"/>
            <w:vMerge/>
            <w:shd w:val="clear" w:color="auto" w:fill="B8CCE4" w:themeFill="accent1" w:themeFillTint="66"/>
          </w:tcPr>
          <w:p w14:paraId="28FDF7CC" w14:textId="77777777" w:rsidR="009D0BA0" w:rsidRDefault="009D0BA0" w:rsidP="00D20A1E">
            <w:pPr>
              <w:keepNext/>
              <w:keepLines/>
              <w:widowControl/>
              <w:spacing w:before="40" w:after="40"/>
              <w:jc w:val="center"/>
              <w:rPr>
                <w:rFonts w:cs="Arial"/>
                <w:b/>
                <w:sz w:val="20"/>
                <w:szCs w:val="20"/>
              </w:rPr>
            </w:pPr>
          </w:p>
        </w:tc>
        <w:tc>
          <w:tcPr>
            <w:tcW w:w="2751" w:type="dxa"/>
            <w:gridSpan w:val="2"/>
            <w:shd w:val="clear" w:color="auto" w:fill="B8CCE4" w:themeFill="accent1" w:themeFillTint="66"/>
            <w:vAlign w:val="center"/>
          </w:tcPr>
          <w:p w14:paraId="5B7C62CD" w14:textId="58A40FC6" w:rsidR="009D0BA0" w:rsidRPr="00CC72F8" w:rsidRDefault="009D0BA0" w:rsidP="00D20A1E">
            <w:pPr>
              <w:keepNext/>
              <w:keepLines/>
              <w:widowControl/>
              <w:spacing w:before="40" w:after="40"/>
              <w:jc w:val="center"/>
              <w:rPr>
                <w:rFonts w:cs="Arial"/>
                <w:b/>
                <w:sz w:val="20"/>
                <w:szCs w:val="20"/>
              </w:rPr>
            </w:pPr>
            <w:r>
              <w:rPr>
                <w:rFonts w:cs="Arial"/>
                <w:b/>
                <w:sz w:val="20"/>
                <w:szCs w:val="20"/>
              </w:rPr>
              <w:t>M</w:t>
            </w:r>
            <w:r w:rsidRPr="00CC72F8">
              <w:rPr>
                <w:rFonts w:cs="Arial"/>
                <w:b/>
                <w:sz w:val="20"/>
                <w:szCs w:val="20"/>
              </w:rPr>
              <w:t>ilk</w:t>
            </w:r>
          </w:p>
        </w:tc>
        <w:tc>
          <w:tcPr>
            <w:tcW w:w="2752" w:type="dxa"/>
            <w:gridSpan w:val="2"/>
            <w:shd w:val="clear" w:color="auto" w:fill="B8CCE4" w:themeFill="accent1" w:themeFillTint="66"/>
            <w:vAlign w:val="center"/>
          </w:tcPr>
          <w:p w14:paraId="4DE7444A" w14:textId="77777777" w:rsidR="009D0BA0" w:rsidRPr="00CC72F8" w:rsidRDefault="009D0BA0" w:rsidP="00D20A1E">
            <w:pPr>
              <w:keepNext/>
              <w:keepLines/>
              <w:widowControl/>
              <w:spacing w:before="40" w:after="40"/>
              <w:jc w:val="center"/>
              <w:rPr>
                <w:rFonts w:cs="Arial"/>
                <w:b/>
                <w:sz w:val="20"/>
                <w:szCs w:val="20"/>
              </w:rPr>
            </w:pPr>
            <w:r w:rsidRPr="00CC72F8">
              <w:rPr>
                <w:rFonts w:cs="Arial"/>
                <w:b/>
                <w:sz w:val="20"/>
                <w:szCs w:val="20"/>
              </w:rPr>
              <w:t>Soy</w:t>
            </w:r>
            <w:r>
              <w:rPr>
                <w:rFonts w:cs="Arial"/>
                <w:b/>
                <w:sz w:val="20"/>
                <w:szCs w:val="20"/>
              </w:rPr>
              <w:t>-based</w:t>
            </w:r>
            <w:r w:rsidRPr="00CC72F8">
              <w:rPr>
                <w:rFonts w:cs="Arial"/>
                <w:b/>
                <w:sz w:val="20"/>
                <w:szCs w:val="20"/>
              </w:rPr>
              <w:t xml:space="preserve"> </w:t>
            </w:r>
            <w:r>
              <w:rPr>
                <w:rFonts w:cs="Arial"/>
                <w:b/>
                <w:sz w:val="20"/>
                <w:szCs w:val="20"/>
              </w:rPr>
              <w:t>beverage</w:t>
            </w:r>
            <w:r w:rsidRPr="00CC72F8">
              <w:rPr>
                <w:rFonts w:cs="Arial"/>
                <w:b/>
                <w:sz w:val="20"/>
                <w:szCs w:val="20"/>
              </w:rPr>
              <w:t>s</w:t>
            </w:r>
          </w:p>
        </w:tc>
        <w:tc>
          <w:tcPr>
            <w:tcW w:w="2752" w:type="dxa"/>
            <w:gridSpan w:val="2"/>
            <w:shd w:val="clear" w:color="auto" w:fill="B8CCE4" w:themeFill="accent1" w:themeFillTint="66"/>
            <w:vAlign w:val="center"/>
          </w:tcPr>
          <w:p w14:paraId="3C33A15A" w14:textId="58EDA129" w:rsidR="009D0BA0" w:rsidRPr="00CC72F8" w:rsidRDefault="009D0BA0" w:rsidP="00D20A1E">
            <w:pPr>
              <w:keepNext/>
              <w:keepLines/>
              <w:widowControl/>
              <w:spacing w:before="40" w:after="40"/>
              <w:jc w:val="center"/>
              <w:rPr>
                <w:rFonts w:cs="Arial"/>
                <w:b/>
                <w:sz w:val="20"/>
                <w:szCs w:val="20"/>
              </w:rPr>
            </w:pPr>
            <w:r w:rsidRPr="00CC72F8">
              <w:rPr>
                <w:rFonts w:cs="Arial"/>
                <w:b/>
                <w:sz w:val="20"/>
                <w:szCs w:val="20"/>
              </w:rPr>
              <w:t xml:space="preserve">Other </w:t>
            </w:r>
            <w:r>
              <w:rPr>
                <w:rFonts w:cs="Arial"/>
                <w:b/>
                <w:sz w:val="20"/>
                <w:szCs w:val="20"/>
              </w:rPr>
              <w:t>plant-based milk substitute</w:t>
            </w:r>
            <w:r w:rsidRPr="00CC72F8">
              <w:rPr>
                <w:rFonts w:cs="Arial"/>
                <w:b/>
                <w:sz w:val="20"/>
                <w:szCs w:val="20"/>
              </w:rPr>
              <w:t>s</w:t>
            </w:r>
          </w:p>
        </w:tc>
      </w:tr>
      <w:tr w:rsidR="009D0BA0" w:rsidRPr="0073640D" w14:paraId="3BFED071" w14:textId="77777777" w:rsidTr="00501719">
        <w:tc>
          <w:tcPr>
            <w:tcW w:w="995" w:type="dxa"/>
            <w:vMerge/>
            <w:shd w:val="clear" w:color="auto" w:fill="B8CCE4" w:themeFill="accent1" w:themeFillTint="66"/>
          </w:tcPr>
          <w:p w14:paraId="25DEA1B8" w14:textId="489D294A" w:rsidR="009D0BA0" w:rsidRPr="00CC72F8" w:rsidRDefault="009D0BA0" w:rsidP="00D20A1E">
            <w:pPr>
              <w:keepNext/>
              <w:keepLines/>
              <w:widowControl/>
              <w:spacing w:before="40" w:after="40"/>
              <w:rPr>
                <w:rFonts w:cs="Arial"/>
                <w:b/>
                <w:sz w:val="20"/>
                <w:szCs w:val="20"/>
              </w:rPr>
            </w:pPr>
          </w:p>
        </w:tc>
        <w:tc>
          <w:tcPr>
            <w:tcW w:w="1183" w:type="dxa"/>
            <w:vMerge/>
            <w:shd w:val="clear" w:color="auto" w:fill="B8CCE4" w:themeFill="accent1" w:themeFillTint="66"/>
          </w:tcPr>
          <w:p w14:paraId="5BA3DA0C" w14:textId="0B931D7B" w:rsidR="009D0BA0" w:rsidRPr="00CC72F8" w:rsidRDefault="009D0BA0" w:rsidP="00D20A1E">
            <w:pPr>
              <w:keepNext/>
              <w:keepLines/>
              <w:widowControl/>
              <w:spacing w:before="40" w:after="40"/>
              <w:rPr>
                <w:rFonts w:cs="Arial"/>
                <w:b/>
                <w:sz w:val="20"/>
                <w:szCs w:val="20"/>
              </w:rPr>
            </w:pPr>
          </w:p>
        </w:tc>
        <w:tc>
          <w:tcPr>
            <w:tcW w:w="1048" w:type="dxa"/>
            <w:vMerge/>
            <w:shd w:val="clear" w:color="auto" w:fill="B8CCE4" w:themeFill="accent1" w:themeFillTint="66"/>
          </w:tcPr>
          <w:p w14:paraId="37F0E217" w14:textId="77777777" w:rsidR="009D0BA0" w:rsidRPr="00CC72F8" w:rsidRDefault="009D0BA0" w:rsidP="00D20A1E">
            <w:pPr>
              <w:keepNext/>
              <w:keepLines/>
              <w:widowControl/>
              <w:spacing w:before="40" w:after="40"/>
              <w:rPr>
                <w:rFonts w:cs="Arial"/>
                <w:b/>
                <w:sz w:val="20"/>
                <w:szCs w:val="20"/>
              </w:rPr>
            </w:pPr>
          </w:p>
        </w:tc>
        <w:tc>
          <w:tcPr>
            <w:tcW w:w="2693" w:type="dxa"/>
            <w:vMerge/>
            <w:shd w:val="clear" w:color="auto" w:fill="B8CCE4" w:themeFill="accent1" w:themeFillTint="66"/>
          </w:tcPr>
          <w:p w14:paraId="63B8BABB" w14:textId="77777777" w:rsidR="009D0BA0" w:rsidRDefault="009D0BA0" w:rsidP="00D20A1E">
            <w:pPr>
              <w:keepNext/>
              <w:keepLines/>
              <w:widowControl/>
              <w:spacing w:before="40" w:after="40"/>
              <w:jc w:val="center"/>
              <w:rPr>
                <w:rFonts w:cs="Arial"/>
                <w:b/>
                <w:color w:val="000000"/>
                <w:sz w:val="20"/>
                <w:szCs w:val="20"/>
              </w:rPr>
            </w:pPr>
          </w:p>
        </w:tc>
        <w:tc>
          <w:tcPr>
            <w:tcW w:w="1375" w:type="dxa"/>
            <w:shd w:val="clear" w:color="auto" w:fill="B8CCE4" w:themeFill="accent1" w:themeFillTint="66"/>
          </w:tcPr>
          <w:p w14:paraId="2F1E5D21" w14:textId="28FBECD0" w:rsidR="009D0BA0" w:rsidRPr="00CC72F8" w:rsidRDefault="009D0BA0" w:rsidP="00D20A1E">
            <w:pPr>
              <w:keepNext/>
              <w:keepLines/>
              <w:widowControl/>
              <w:spacing w:before="40" w:after="40"/>
              <w:jc w:val="center"/>
              <w:rPr>
                <w:rFonts w:cs="Arial"/>
                <w:b/>
                <w:color w:val="000000"/>
                <w:sz w:val="20"/>
                <w:szCs w:val="20"/>
              </w:rPr>
            </w:pPr>
            <w:r>
              <w:rPr>
                <w:rFonts w:cs="Arial"/>
                <w:b/>
                <w:color w:val="000000"/>
                <w:sz w:val="20"/>
                <w:szCs w:val="20"/>
              </w:rPr>
              <w:t>M</w:t>
            </w:r>
            <w:r w:rsidRPr="00CC72F8">
              <w:rPr>
                <w:rFonts w:cs="Arial"/>
                <w:b/>
                <w:color w:val="000000"/>
                <w:sz w:val="20"/>
                <w:szCs w:val="20"/>
              </w:rPr>
              <w:t>edian</w:t>
            </w:r>
          </w:p>
        </w:tc>
        <w:tc>
          <w:tcPr>
            <w:tcW w:w="1376" w:type="dxa"/>
            <w:shd w:val="clear" w:color="auto" w:fill="B8CCE4" w:themeFill="accent1" w:themeFillTint="66"/>
          </w:tcPr>
          <w:p w14:paraId="3AE78D7C" w14:textId="77777777" w:rsidR="009D0BA0" w:rsidRPr="00CC72F8" w:rsidRDefault="009D0BA0" w:rsidP="00D20A1E">
            <w:pPr>
              <w:keepNext/>
              <w:keepLines/>
              <w:widowControl/>
              <w:spacing w:before="40" w:after="40"/>
              <w:jc w:val="center"/>
              <w:rPr>
                <w:rFonts w:cs="Arial"/>
                <w:b/>
                <w:color w:val="000000"/>
                <w:sz w:val="20"/>
                <w:szCs w:val="20"/>
              </w:rPr>
            </w:pPr>
            <w:r>
              <w:rPr>
                <w:rFonts w:cs="Arial"/>
                <w:b/>
                <w:color w:val="000000"/>
                <w:sz w:val="20"/>
                <w:szCs w:val="20"/>
              </w:rPr>
              <w:t>M</w:t>
            </w:r>
            <w:r w:rsidRPr="00CC72F8">
              <w:rPr>
                <w:rFonts w:cs="Arial"/>
                <w:b/>
                <w:color w:val="000000"/>
                <w:sz w:val="20"/>
                <w:szCs w:val="20"/>
              </w:rPr>
              <w:t>ean</w:t>
            </w:r>
          </w:p>
        </w:tc>
        <w:tc>
          <w:tcPr>
            <w:tcW w:w="1376" w:type="dxa"/>
            <w:shd w:val="clear" w:color="auto" w:fill="B8CCE4" w:themeFill="accent1" w:themeFillTint="66"/>
          </w:tcPr>
          <w:p w14:paraId="602BA75C" w14:textId="77777777" w:rsidR="009D0BA0" w:rsidRPr="00CC72F8" w:rsidRDefault="009D0BA0" w:rsidP="00D20A1E">
            <w:pPr>
              <w:keepNext/>
              <w:keepLines/>
              <w:widowControl/>
              <w:spacing w:before="40" w:after="40"/>
              <w:jc w:val="center"/>
              <w:rPr>
                <w:rFonts w:cs="Arial"/>
                <w:b/>
                <w:color w:val="000000"/>
                <w:sz w:val="20"/>
                <w:szCs w:val="20"/>
              </w:rPr>
            </w:pPr>
            <w:r>
              <w:rPr>
                <w:rFonts w:cs="Arial"/>
                <w:b/>
                <w:color w:val="000000"/>
                <w:sz w:val="20"/>
                <w:szCs w:val="20"/>
              </w:rPr>
              <w:t>M</w:t>
            </w:r>
            <w:r w:rsidRPr="00CC72F8">
              <w:rPr>
                <w:rFonts w:cs="Arial"/>
                <w:b/>
                <w:color w:val="000000"/>
                <w:sz w:val="20"/>
                <w:szCs w:val="20"/>
              </w:rPr>
              <w:t>edian</w:t>
            </w:r>
          </w:p>
        </w:tc>
        <w:tc>
          <w:tcPr>
            <w:tcW w:w="1376" w:type="dxa"/>
            <w:shd w:val="clear" w:color="auto" w:fill="B8CCE4" w:themeFill="accent1" w:themeFillTint="66"/>
          </w:tcPr>
          <w:p w14:paraId="05C0620C" w14:textId="77777777" w:rsidR="009D0BA0" w:rsidRPr="00CC72F8" w:rsidRDefault="009D0BA0" w:rsidP="00D20A1E">
            <w:pPr>
              <w:keepNext/>
              <w:keepLines/>
              <w:widowControl/>
              <w:spacing w:before="40" w:after="40"/>
              <w:jc w:val="center"/>
              <w:rPr>
                <w:rFonts w:cs="Arial"/>
                <w:b/>
                <w:color w:val="000000"/>
                <w:sz w:val="20"/>
                <w:szCs w:val="20"/>
              </w:rPr>
            </w:pPr>
            <w:r>
              <w:rPr>
                <w:rFonts w:cs="Arial"/>
                <w:b/>
                <w:color w:val="000000"/>
                <w:sz w:val="20"/>
                <w:szCs w:val="20"/>
              </w:rPr>
              <w:t>M</w:t>
            </w:r>
            <w:r w:rsidRPr="00CC72F8">
              <w:rPr>
                <w:rFonts w:cs="Arial"/>
                <w:b/>
                <w:color w:val="000000"/>
                <w:sz w:val="20"/>
                <w:szCs w:val="20"/>
              </w:rPr>
              <w:t>ean</w:t>
            </w:r>
          </w:p>
        </w:tc>
        <w:tc>
          <w:tcPr>
            <w:tcW w:w="1376" w:type="dxa"/>
            <w:shd w:val="clear" w:color="auto" w:fill="B8CCE4" w:themeFill="accent1" w:themeFillTint="66"/>
          </w:tcPr>
          <w:p w14:paraId="407E0FDF" w14:textId="77777777" w:rsidR="009D0BA0" w:rsidRPr="00CC72F8" w:rsidRDefault="009D0BA0" w:rsidP="00D20A1E">
            <w:pPr>
              <w:keepNext/>
              <w:keepLines/>
              <w:widowControl/>
              <w:spacing w:before="40" w:after="40"/>
              <w:jc w:val="center"/>
              <w:rPr>
                <w:rFonts w:cs="Arial"/>
                <w:b/>
                <w:color w:val="000000"/>
                <w:sz w:val="20"/>
                <w:szCs w:val="20"/>
              </w:rPr>
            </w:pPr>
            <w:r>
              <w:rPr>
                <w:rFonts w:cs="Arial"/>
                <w:b/>
                <w:color w:val="000000"/>
                <w:sz w:val="20"/>
                <w:szCs w:val="20"/>
              </w:rPr>
              <w:t>M</w:t>
            </w:r>
            <w:r w:rsidRPr="00CC72F8">
              <w:rPr>
                <w:rFonts w:cs="Arial"/>
                <w:b/>
                <w:color w:val="000000"/>
                <w:sz w:val="20"/>
                <w:szCs w:val="20"/>
              </w:rPr>
              <w:t>edian</w:t>
            </w:r>
          </w:p>
        </w:tc>
        <w:tc>
          <w:tcPr>
            <w:tcW w:w="1376" w:type="dxa"/>
            <w:shd w:val="clear" w:color="auto" w:fill="B8CCE4" w:themeFill="accent1" w:themeFillTint="66"/>
          </w:tcPr>
          <w:p w14:paraId="3F33A99D" w14:textId="77777777" w:rsidR="009D0BA0" w:rsidRPr="00CC72F8" w:rsidRDefault="009D0BA0" w:rsidP="00D20A1E">
            <w:pPr>
              <w:keepNext/>
              <w:keepLines/>
              <w:widowControl/>
              <w:spacing w:before="40" w:after="40"/>
              <w:jc w:val="center"/>
              <w:rPr>
                <w:rFonts w:cs="Arial"/>
                <w:b/>
                <w:color w:val="000000"/>
                <w:sz w:val="20"/>
                <w:szCs w:val="20"/>
              </w:rPr>
            </w:pPr>
            <w:r>
              <w:rPr>
                <w:rFonts w:cs="Arial"/>
                <w:b/>
                <w:color w:val="000000"/>
                <w:sz w:val="20"/>
                <w:szCs w:val="20"/>
              </w:rPr>
              <w:t>M</w:t>
            </w:r>
            <w:r w:rsidRPr="00CC72F8">
              <w:rPr>
                <w:rFonts w:cs="Arial"/>
                <w:b/>
                <w:color w:val="000000"/>
                <w:sz w:val="20"/>
                <w:szCs w:val="20"/>
              </w:rPr>
              <w:t xml:space="preserve">ean </w:t>
            </w:r>
          </w:p>
        </w:tc>
      </w:tr>
      <w:tr w:rsidR="00501719" w:rsidRPr="002152F5" w14:paraId="4AFDE249" w14:textId="77777777" w:rsidTr="001F2E0C">
        <w:tc>
          <w:tcPr>
            <w:tcW w:w="995" w:type="dxa"/>
            <w:vMerge w:val="restart"/>
          </w:tcPr>
          <w:p w14:paraId="307189AE" w14:textId="4227C769" w:rsidR="00501719" w:rsidRPr="00CC72F8" w:rsidRDefault="00501719" w:rsidP="00D20A1E">
            <w:pPr>
              <w:keepNext/>
              <w:keepLines/>
              <w:widowControl/>
              <w:spacing w:before="60" w:after="60"/>
              <w:rPr>
                <w:rFonts w:cs="Arial"/>
                <w:sz w:val="20"/>
                <w:szCs w:val="20"/>
              </w:rPr>
            </w:pPr>
            <w:r>
              <w:rPr>
                <w:rFonts w:cs="Arial"/>
                <w:sz w:val="20"/>
                <w:szCs w:val="20"/>
              </w:rPr>
              <w:t>Australia</w:t>
            </w:r>
          </w:p>
        </w:tc>
        <w:tc>
          <w:tcPr>
            <w:tcW w:w="1183" w:type="dxa"/>
            <w:vMerge w:val="restart"/>
            <w:vAlign w:val="center"/>
          </w:tcPr>
          <w:p w14:paraId="398F41D0" w14:textId="003C9C98" w:rsidR="00501719" w:rsidRPr="00CC72F8" w:rsidRDefault="00501719" w:rsidP="00D20A1E">
            <w:pPr>
              <w:keepNext/>
              <w:keepLines/>
              <w:widowControl/>
              <w:spacing w:before="60" w:after="60"/>
              <w:rPr>
                <w:rFonts w:cs="Arial"/>
                <w:sz w:val="20"/>
                <w:szCs w:val="20"/>
              </w:rPr>
            </w:pPr>
            <w:r w:rsidRPr="00CC72F8">
              <w:rPr>
                <w:rFonts w:cs="Arial"/>
                <w:sz w:val="20"/>
                <w:szCs w:val="20"/>
              </w:rPr>
              <w:t>1995 AusNNS</w:t>
            </w:r>
          </w:p>
        </w:tc>
        <w:tc>
          <w:tcPr>
            <w:tcW w:w="1048" w:type="dxa"/>
            <w:vMerge w:val="restart"/>
            <w:vAlign w:val="center"/>
          </w:tcPr>
          <w:p w14:paraId="47DC9C55" w14:textId="55E9CA27" w:rsidR="00501719" w:rsidRPr="00CC72F8" w:rsidRDefault="00501719" w:rsidP="00D20A1E">
            <w:pPr>
              <w:keepNext/>
              <w:keepLines/>
              <w:widowControl/>
              <w:spacing w:before="60" w:after="60"/>
              <w:rPr>
                <w:rFonts w:cs="Arial"/>
                <w:sz w:val="20"/>
                <w:szCs w:val="20"/>
              </w:rPr>
            </w:pPr>
            <w:r w:rsidRPr="00CC72F8">
              <w:rPr>
                <w:rFonts w:cs="Arial"/>
                <w:sz w:val="20"/>
                <w:szCs w:val="20"/>
              </w:rPr>
              <w:t>17 years &amp; above</w:t>
            </w:r>
          </w:p>
        </w:tc>
        <w:tc>
          <w:tcPr>
            <w:tcW w:w="2693" w:type="dxa"/>
            <w:vAlign w:val="center"/>
          </w:tcPr>
          <w:p w14:paraId="1A6FC4F3" w14:textId="211D0FA8" w:rsidR="00501719" w:rsidRPr="00CC72F8" w:rsidRDefault="00501719" w:rsidP="00D20A1E">
            <w:pPr>
              <w:keepNext/>
              <w:keepLines/>
              <w:widowControl/>
              <w:spacing w:before="60" w:after="60"/>
              <w:rPr>
                <w:rFonts w:cs="Arial"/>
                <w:color w:val="000000"/>
                <w:sz w:val="20"/>
                <w:szCs w:val="20"/>
              </w:rPr>
            </w:pPr>
            <w:r w:rsidRPr="000428F0">
              <w:rPr>
                <w:rFonts w:cs="Arial"/>
                <w:sz w:val="18"/>
                <w:szCs w:val="18"/>
              </w:rPr>
              <w:t>Plain only</w:t>
            </w:r>
          </w:p>
        </w:tc>
        <w:tc>
          <w:tcPr>
            <w:tcW w:w="1375" w:type="dxa"/>
            <w:vAlign w:val="center"/>
          </w:tcPr>
          <w:p w14:paraId="75664590" w14:textId="177285DE" w:rsidR="00501719" w:rsidRPr="009661B8" w:rsidRDefault="00501719" w:rsidP="00D20A1E">
            <w:pPr>
              <w:keepNext/>
              <w:keepLines/>
              <w:widowControl/>
              <w:tabs>
                <w:tab w:val="decimal" w:pos="744"/>
              </w:tabs>
              <w:spacing w:before="60" w:after="60"/>
              <w:rPr>
                <w:rFonts w:cs="Arial"/>
                <w:color w:val="000000"/>
                <w:sz w:val="20"/>
                <w:szCs w:val="20"/>
              </w:rPr>
            </w:pPr>
            <w:r w:rsidRPr="009661B8">
              <w:rPr>
                <w:rFonts w:cs="Arial"/>
                <w:color w:val="000000"/>
                <w:sz w:val="20"/>
                <w:szCs w:val="20"/>
              </w:rPr>
              <w:t>208</w:t>
            </w:r>
          </w:p>
        </w:tc>
        <w:tc>
          <w:tcPr>
            <w:tcW w:w="1376" w:type="dxa"/>
            <w:vAlign w:val="center"/>
          </w:tcPr>
          <w:p w14:paraId="6F879999" w14:textId="1F864501" w:rsidR="00501719" w:rsidRPr="009661B8" w:rsidRDefault="00501719" w:rsidP="00D20A1E">
            <w:pPr>
              <w:keepNext/>
              <w:keepLines/>
              <w:widowControl/>
              <w:tabs>
                <w:tab w:val="decimal" w:pos="786"/>
              </w:tabs>
              <w:spacing w:before="60" w:after="60"/>
              <w:rPr>
                <w:rFonts w:cs="Arial"/>
                <w:color w:val="000000"/>
                <w:sz w:val="20"/>
                <w:szCs w:val="20"/>
              </w:rPr>
            </w:pPr>
            <w:r w:rsidRPr="009661B8">
              <w:rPr>
                <w:rFonts w:cs="Arial"/>
                <w:color w:val="000000"/>
                <w:sz w:val="20"/>
                <w:szCs w:val="20"/>
              </w:rPr>
              <w:t>270</w:t>
            </w:r>
          </w:p>
        </w:tc>
        <w:tc>
          <w:tcPr>
            <w:tcW w:w="1376" w:type="dxa"/>
            <w:vAlign w:val="center"/>
          </w:tcPr>
          <w:p w14:paraId="401C7F30" w14:textId="7D120968" w:rsidR="00501719" w:rsidRPr="00D950A6" w:rsidRDefault="00501719" w:rsidP="00D20A1E">
            <w:pPr>
              <w:keepNext/>
              <w:keepLines/>
              <w:widowControl/>
              <w:tabs>
                <w:tab w:val="decimal" w:pos="828"/>
              </w:tabs>
              <w:spacing w:before="60" w:after="60"/>
              <w:rPr>
                <w:rFonts w:cs="Arial"/>
                <w:color w:val="000000"/>
                <w:sz w:val="20"/>
                <w:szCs w:val="20"/>
                <w:highlight w:val="yellow"/>
              </w:rPr>
            </w:pPr>
            <w:r>
              <w:rPr>
                <w:rFonts w:cs="Arial"/>
                <w:color w:val="000000"/>
                <w:sz w:val="20"/>
                <w:szCs w:val="20"/>
              </w:rPr>
              <w:t>19</w:t>
            </w:r>
            <w:r w:rsidRPr="009D0BA0">
              <w:rPr>
                <w:rFonts w:cs="Arial"/>
                <w:color w:val="000000"/>
                <w:sz w:val="20"/>
                <w:szCs w:val="20"/>
              </w:rPr>
              <w:t>9</w:t>
            </w:r>
          </w:p>
        </w:tc>
        <w:tc>
          <w:tcPr>
            <w:tcW w:w="1376" w:type="dxa"/>
            <w:vAlign w:val="center"/>
          </w:tcPr>
          <w:p w14:paraId="204830FA" w14:textId="2BD39C88" w:rsidR="00501719" w:rsidRPr="009D0BA0" w:rsidRDefault="00501719" w:rsidP="00D20A1E">
            <w:pPr>
              <w:keepNext/>
              <w:keepLines/>
              <w:widowControl/>
              <w:spacing w:before="60" w:after="60"/>
              <w:jc w:val="center"/>
              <w:rPr>
                <w:rFonts w:cs="Arial"/>
                <w:color w:val="000000"/>
                <w:sz w:val="20"/>
                <w:szCs w:val="20"/>
              </w:rPr>
            </w:pPr>
            <w:r w:rsidRPr="009D0BA0">
              <w:rPr>
                <w:rFonts w:cs="Arial"/>
                <w:color w:val="000000"/>
                <w:sz w:val="20"/>
                <w:szCs w:val="20"/>
              </w:rPr>
              <w:t>225</w:t>
            </w:r>
          </w:p>
        </w:tc>
        <w:tc>
          <w:tcPr>
            <w:tcW w:w="1376" w:type="dxa"/>
            <w:vAlign w:val="center"/>
          </w:tcPr>
          <w:p w14:paraId="0C8BA6D0" w14:textId="77777777" w:rsidR="00501719" w:rsidRPr="009D0BA0" w:rsidRDefault="00501719" w:rsidP="00D20A1E">
            <w:pPr>
              <w:keepNext/>
              <w:keepLines/>
              <w:widowControl/>
              <w:spacing w:before="60" w:after="60"/>
              <w:jc w:val="center"/>
              <w:rPr>
                <w:rFonts w:cs="Arial"/>
                <w:color w:val="000000"/>
                <w:sz w:val="20"/>
                <w:szCs w:val="20"/>
              </w:rPr>
            </w:pPr>
            <w:r w:rsidRPr="009D0BA0">
              <w:rPr>
                <w:rFonts w:cs="Arial"/>
                <w:color w:val="000000"/>
                <w:sz w:val="20"/>
                <w:szCs w:val="20"/>
              </w:rPr>
              <w:t>NC</w:t>
            </w:r>
          </w:p>
        </w:tc>
        <w:tc>
          <w:tcPr>
            <w:tcW w:w="1376" w:type="dxa"/>
            <w:vAlign w:val="center"/>
          </w:tcPr>
          <w:p w14:paraId="648B31AF" w14:textId="77777777" w:rsidR="00501719" w:rsidRPr="009D0BA0" w:rsidRDefault="00501719" w:rsidP="00D20A1E">
            <w:pPr>
              <w:keepNext/>
              <w:keepLines/>
              <w:widowControl/>
              <w:spacing w:before="60" w:after="60"/>
              <w:jc w:val="center"/>
              <w:rPr>
                <w:rFonts w:cs="Arial"/>
                <w:color w:val="000000"/>
                <w:sz w:val="20"/>
                <w:szCs w:val="20"/>
              </w:rPr>
            </w:pPr>
            <w:r w:rsidRPr="009D0BA0">
              <w:rPr>
                <w:rFonts w:cs="Arial"/>
                <w:color w:val="000000"/>
                <w:sz w:val="20"/>
                <w:szCs w:val="20"/>
              </w:rPr>
              <w:t>NC</w:t>
            </w:r>
          </w:p>
        </w:tc>
      </w:tr>
      <w:tr w:rsidR="00501719" w:rsidRPr="002152F5" w14:paraId="0E357414" w14:textId="77777777" w:rsidTr="001F2E0C">
        <w:tc>
          <w:tcPr>
            <w:tcW w:w="995" w:type="dxa"/>
            <w:vMerge/>
          </w:tcPr>
          <w:p w14:paraId="6F261A9E" w14:textId="7566974F" w:rsidR="00501719" w:rsidRDefault="00501719" w:rsidP="00D20A1E">
            <w:pPr>
              <w:keepNext/>
              <w:keepLines/>
              <w:widowControl/>
              <w:spacing w:before="60" w:after="60"/>
              <w:rPr>
                <w:rFonts w:cs="Arial"/>
                <w:sz w:val="20"/>
                <w:szCs w:val="20"/>
              </w:rPr>
            </w:pPr>
          </w:p>
        </w:tc>
        <w:tc>
          <w:tcPr>
            <w:tcW w:w="1183" w:type="dxa"/>
            <w:vMerge/>
            <w:vAlign w:val="center"/>
          </w:tcPr>
          <w:p w14:paraId="23D7FF9C" w14:textId="105A26C2" w:rsidR="00501719" w:rsidRPr="00CC72F8" w:rsidRDefault="00501719" w:rsidP="00D20A1E">
            <w:pPr>
              <w:keepNext/>
              <w:keepLines/>
              <w:widowControl/>
              <w:spacing w:before="60" w:after="60"/>
              <w:rPr>
                <w:rFonts w:cs="Arial"/>
                <w:sz w:val="20"/>
                <w:szCs w:val="20"/>
              </w:rPr>
            </w:pPr>
          </w:p>
        </w:tc>
        <w:tc>
          <w:tcPr>
            <w:tcW w:w="1048" w:type="dxa"/>
            <w:vMerge/>
            <w:vAlign w:val="center"/>
          </w:tcPr>
          <w:p w14:paraId="3075BFD7" w14:textId="31015D91" w:rsidR="00501719" w:rsidRPr="00CC72F8" w:rsidRDefault="00501719" w:rsidP="00D20A1E">
            <w:pPr>
              <w:keepNext/>
              <w:keepLines/>
              <w:widowControl/>
              <w:spacing w:before="60" w:after="60"/>
              <w:rPr>
                <w:rFonts w:cs="Arial"/>
                <w:sz w:val="20"/>
                <w:szCs w:val="20"/>
              </w:rPr>
            </w:pPr>
          </w:p>
        </w:tc>
        <w:tc>
          <w:tcPr>
            <w:tcW w:w="2693" w:type="dxa"/>
            <w:vAlign w:val="center"/>
          </w:tcPr>
          <w:p w14:paraId="304D6F7A" w14:textId="59E6F44A" w:rsidR="00501719" w:rsidRDefault="00D33726" w:rsidP="00D20A1E">
            <w:pPr>
              <w:keepNext/>
              <w:keepLines/>
              <w:widowControl/>
              <w:spacing w:before="60" w:after="60"/>
              <w:rPr>
                <w:rFonts w:cs="Arial"/>
                <w:color w:val="000000"/>
                <w:sz w:val="20"/>
                <w:szCs w:val="20"/>
              </w:rPr>
            </w:pPr>
            <w:r w:rsidRPr="000428F0">
              <w:rPr>
                <w:rFonts w:cs="Arial"/>
                <w:sz w:val="18"/>
                <w:szCs w:val="18"/>
              </w:rPr>
              <w:t>Plain</w:t>
            </w:r>
            <w:r>
              <w:rPr>
                <w:rFonts w:cs="Arial"/>
                <w:sz w:val="18"/>
                <w:szCs w:val="18"/>
              </w:rPr>
              <w:t xml:space="preserve"> /</w:t>
            </w:r>
            <w:r w:rsidRPr="000428F0">
              <w:rPr>
                <w:rFonts w:cs="Arial"/>
                <w:sz w:val="18"/>
                <w:szCs w:val="18"/>
              </w:rPr>
              <w:t xml:space="preserve"> flavoured </w:t>
            </w:r>
            <w:r>
              <w:rPr>
                <w:rFonts w:cs="Arial"/>
                <w:sz w:val="18"/>
                <w:szCs w:val="18"/>
              </w:rPr>
              <w:t>/</w:t>
            </w:r>
            <w:r w:rsidRPr="000428F0">
              <w:rPr>
                <w:rFonts w:cs="Arial"/>
                <w:sz w:val="18"/>
                <w:szCs w:val="18"/>
              </w:rPr>
              <w:t xml:space="preserve"> milkshakes</w:t>
            </w:r>
            <w:r>
              <w:rPr>
                <w:rFonts w:cs="Arial"/>
                <w:sz w:val="18"/>
                <w:szCs w:val="18"/>
              </w:rPr>
              <w:t xml:space="preserve"> / milk hot chocolate</w:t>
            </w:r>
          </w:p>
        </w:tc>
        <w:tc>
          <w:tcPr>
            <w:tcW w:w="1375" w:type="dxa"/>
            <w:vAlign w:val="center"/>
          </w:tcPr>
          <w:p w14:paraId="25BA6307" w14:textId="7026E642" w:rsidR="00501719" w:rsidRPr="009661B8" w:rsidRDefault="00501719" w:rsidP="00D20A1E">
            <w:pPr>
              <w:keepNext/>
              <w:keepLines/>
              <w:widowControl/>
              <w:tabs>
                <w:tab w:val="decimal" w:pos="744"/>
              </w:tabs>
              <w:spacing w:before="60" w:after="60"/>
              <w:rPr>
                <w:rFonts w:cs="Arial"/>
                <w:color w:val="000000"/>
                <w:sz w:val="20"/>
                <w:szCs w:val="20"/>
              </w:rPr>
            </w:pPr>
            <w:r w:rsidRPr="009661B8">
              <w:rPr>
                <w:rFonts w:cs="Arial"/>
                <w:color w:val="000000"/>
                <w:sz w:val="20"/>
                <w:szCs w:val="20"/>
              </w:rPr>
              <w:t>232</w:t>
            </w:r>
          </w:p>
        </w:tc>
        <w:tc>
          <w:tcPr>
            <w:tcW w:w="1376" w:type="dxa"/>
            <w:vAlign w:val="center"/>
          </w:tcPr>
          <w:p w14:paraId="7A75D6DC" w14:textId="1F5C62AC" w:rsidR="00501719" w:rsidRPr="009661B8" w:rsidRDefault="00501719" w:rsidP="00D20A1E">
            <w:pPr>
              <w:keepNext/>
              <w:keepLines/>
              <w:widowControl/>
              <w:tabs>
                <w:tab w:val="decimal" w:pos="786"/>
              </w:tabs>
              <w:spacing w:before="60" w:after="60"/>
              <w:rPr>
                <w:rFonts w:cs="Arial"/>
                <w:color w:val="000000"/>
                <w:sz w:val="20"/>
                <w:szCs w:val="20"/>
              </w:rPr>
            </w:pPr>
            <w:r w:rsidRPr="009661B8">
              <w:rPr>
                <w:rFonts w:cs="Arial"/>
                <w:color w:val="000000"/>
                <w:sz w:val="20"/>
                <w:szCs w:val="20"/>
              </w:rPr>
              <w:t>292</w:t>
            </w:r>
          </w:p>
        </w:tc>
        <w:tc>
          <w:tcPr>
            <w:tcW w:w="1376" w:type="dxa"/>
            <w:vAlign w:val="center"/>
          </w:tcPr>
          <w:p w14:paraId="15C0B587" w14:textId="36421B27" w:rsidR="00501719" w:rsidRPr="00897B8C" w:rsidRDefault="00501719" w:rsidP="00D20A1E">
            <w:pPr>
              <w:keepNext/>
              <w:keepLines/>
              <w:widowControl/>
              <w:tabs>
                <w:tab w:val="decimal" w:pos="828"/>
              </w:tabs>
              <w:spacing w:before="60" w:after="60"/>
              <w:rPr>
                <w:rFonts w:cs="Arial"/>
                <w:color w:val="000000"/>
                <w:sz w:val="20"/>
                <w:szCs w:val="20"/>
              </w:rPr>
            </w:pPr>
            <w:r w:rsidRPr="00897B8C">
              <w:rPr>
                <w:rFonts w:cs="Arial"/>
                <w:color w:val="000000"/>
                <w:sz w:val="20"/>
                <w:szCs w:val="20"/>
              </w:rPr>
              <w:t>199</w:t>
            </w:r>
          </w:p>
        </w:tc>
        <w:tc>
          <w:tcPr>
            <w:tcW w:w="1376" w:type="dxa"/>
            <w:vAlign w:val="center"/>
          </w:tcPr>
          <w:p w14:paraId="1D00BC69" w14:textId="3D6FE2DF" w:rsidR="00501719" w:rsidRPr="00897B8C" w:rsidRDefault="00501719" w:rsidP="00D20A1E">
            <w:pPr>
              <w:keepNext/>
              <w:keepLines/>
              <w:widowControl/>
              <w:spacing w:before="60" w:after="60"/>
              <w:jc w:val="center"/>
              <w:rPr>
                <w:rFonts w:cs="Arial"/>
                <w:color w:val="000000"/>
                <w:sz w:val="20"/>
                <w:szCs w:val="20"/>
              </w:rPr>
            </w:pPr>
            <w:r w:rsidRPr="00897B8C">
              <w:rPr>
                <w:rFonts w:cs="Arial"/>
                <w:color w:val="000000"/>
                <w:sz w:val="20"/>
                <w:szCs w:val="20"/>
              </w:rPr>
              <w:t>230</w:t>
            </w:r>
          </w:p>
        </w:tc>
        <w:tc>
          <w:tcPr>
            <w:tcW w:w="1376" w:type="dxa"/>
            <w:vAlign w:val="center"/>
          </w:tcPr>
          <w:p w14:paraId="4048BCBF" w14:textId="12E631FB" w:rsidR="00501719" w:rsidRPr="009D0BA0" w:rsidRDefault="00501719" w:rsidP="00D20A1E">
            <w:pPr>
              <w:keepNext/>
              <w:keepLines/>
              <w:widowControl/>
              <w:spacing w:before="60" w:after="60"/>
              <w:jc w:val="center"/>
              <w:rPr>
                <w:rFonts w:cs="Arial"/>
                <w:color w:val="000000"/>
                <w:sz w:val="20"/>
                <w:szCs w:val="20"/>
              </w:rPr>
            </w:pPr>
            <w:r w:rsidRPr="009D0BA0">
              <w:rPr>
                <w:rFonts w:cs="Arial"/>
                <w:color w:val="000000"/>
                <w:sz w:val="20"/>
                <w:szCs w:val="20"/>
              </w:rPr>
              <w:t>NC</w:t>
            </w:r>
          </w:p>
        </w:tc>
        <w:tc>
          <w:tcPr>
            <w:tcW w:w="1376" w:type="dxa"/>
            <w:vAlign w:val="center"/>
          </w:tcPr>
          <w:p w14:paraId="417DB27E" w14:textId="774EDCC5" w:rsidR="00501719" w:rsidRPr="009D0BA0" w:rsidRDefault="00501719" w:rsidP="00D20A1E">
            <w:pPr>
              <w:keepNext/>
              <w:keepLines/>
              <w:widowControl/>
              <w:spacing w:before="60" w:after="60"/>
              <w:jc w:val="center"/>
              <w:rPr>
                <w:rFonts w:cs="Arial"/>
                <w:color w:val="000000"/>
                <w:sz w:val="20"/>
                <w:szCs w:val="20"/>
              </w:rPr>
            </w:pPr>
            <w:r w:rsidRPr="009D0BA0">
              <w:rPr>
                <w:rFonts w:cs="Arial"/>
                <w:color w:val="000000"/>
                <w:sz w:val="20"/>
                <w:szCs w:val="20"/>
              </w:rPr>
              <w:t>NC</w:t>
            </w:r>
          </w:p>
        </w:tc>
      </w:tr>
      <w:tr w:rsidR="00501719" w:rsidRPr="002152F5" w14:paraId="603F1339" w14:textId="77777777" w:rsidTr="001F2E0C">
        <w:tc>
          <w:tcPr>
            <w:tcW w:w="995" w:type="dxa"/>
            <w:vMerge/>
          </w:tcPr>
          <w:p w14:paraId="1A06E6B0" w14:textId="015F3AE9" w:rsidR="00501719" w:rsidRPr="00CC72F8" w:rsidRDefault="00501719" w:rsidP="00D20A1E">
            <w:pPr>
              <w:keepNext/>
              <w:keepLines/>
              <w:widowControl/>
              <w:spacing w:before="60" w:after="60"/>
              <w:rPr>
                <w:rFonts w:cs="Arial"/>
                <w:sz w:val="20"/>
                <w:szCs w:val="20"/>
              </w:rPr>
            </w:pPr>
          </w:p>
        </w:tc>
        <w:tc>
          <w:tcPr>
            <w:tcW w:w="1183" w:type="dxa"/>
            <w:vMerge w:val="restart"/>
            <w:vAlign w:val="center"/>
          </w:tcPr>
          <w:p w14:paraId="08DEF0F3" w14:textId="7EBDBF5F" w:rsidR="00501719" w:rsidRPr="00CC72F8" w:rsidRDefault="00501719" w:rsidP="00D20A1E">
            <w:pPr>
              <w:keepNext/>
              <w:keepLines/>
              <w:widowControl/>
              <w:spacing w:before="60" w:after="60"/>
              <w:rPr>
                <w:rFonts w:cs="Arial"/>
                <w:sz w:val="20"/>
                <w:szCs w:val="20"/>
              </w:rPr>
            </w:pPr>
            <w:r w:rsidRPr="00CC72F8">
              <w:rPr>
                <w:rFonts w:cs="Arial"/>
                <w:sz w:val="20"/>
                <w:szCs w:val="20"/>
              </w:rPr>
              <w:t>2007 ANCNPAS</w:t>
            </w:r>
          </w:p>
        </w:tc>
        <w:tc>
          <w:tcPr>
            <w:tcW w:w="1048" w:type="dxa"/>
            <w:vMerge w:val="restart"/>
            <w:vAlign w:val="center"/>
          </w:tcPr>
          <w:p w14:paraId="6BCE595D" w14:textId="77777777" w:rsidR="00501719" w:rsidRPr="00CC72F8" w:rsidRDefault="00501719" w:rsidP="00D20A1E">
            <w:pPr>
              <w:keepNext/>
              <w:keepLines/>
              <w:widowControl/>
              <w:spacing w:before="60" w:after="60"/>
              <w:rPr>
                <w:rFonts w:cs="Arial"/>
                <w:sz w:val="20"/>
                <w:szCs w:val="20"/>
              </w:rPr>
            </w:pPr>
            <w:r w:rsidRPr="00CC72F8">
              <w:rPr>
                <w:rFonts w:cs="Arial"/>
                <w:sz w:val="20"/>
                <w:szCs w:val="20"/>
              </w:rPr>
              <w:t>2-16 years</w:t>
            </w:r>
          </w:p>
        </w:tc>
        <w:tc>
          <w:tcPr>
            <w:tcW w:w="2693" w:type="dxa"/>
            <w:vAlign w:val="center"/>
          </w:tcPr>
          <w:p w14:paraId="3E8A5938" w14:textId="2A328A6D" w:rsidR="00501719" w:rsidRPr="00CC72F8" w:rsidRDefault="00501719" w:rsidP="00D20A1E">
            <w:pPr>
              <w:keepNext/>
              <w:keepLines/>
              <w:widowControl/>
              <w:spacing w:before="60" w:after="60"/>
              <w:rPr>
                <w:rFonts w:cs="Arial"/>
                <w:color w:val="000000"/>
                <w:sz w:val="20"/>
                <w:szCs w:val="20"/>
              </w:rPr>
            </w:pPr>
            <w:r w:rsidRPr="000428F0">
              <w:rPr>
                <w:rFonts w:cs="Arial"/>
                <w:sz w:val="18"/>
                <w:szCs w:val="18"/>
              </w:rPr>
              <w:t>Plain only</w:t>
            </w:r>
          </w:p>
        </w:tc>
        <w:tc>
          <w:tcPr>
            <w:tcW w:w="1375" w:type="dxa"/>
            <w:vAlign w:val="center"/>
          </w:tcPr>
          <w:p w14:paraId="664742BD" w14:textId="421BAFA4" w:rsidR="00501719" w:rsidRPr="00EA780F" w:rsidRDefault="00EA780F" w:rsidP="00D20A1E">
            <w:pPr>
              <w:keepNext/>
              <w:keepLines/>
              <w:widowControl/>
              <w:tabs>
                <w:tab w:val="decimal" w:pos="744"/>
              </w:tabs>
              <w:spacing w:before="60" w:after="60"/>
              <w:rPr>
                <w:rFonts w:cs="Arial"/>
                <w:color w:val="000000"/>
                <w:sz w:val="20"/>
                <w:szCs w:val="20"/>
              </w:rPr>
            </w:pPr>
            <w:r w:rsidRPr="00EA780F">
              <w:rPr>
                <w:rFonts w:cs="Arial"/>
                <w:color w:val="000000"/>
                <w:sz w:val="20"/>
                <w:szCs w:val="20"/>
              </w:rPr>
              <w:t>258</w:t>
            </w:r>
          </w:p>
        </w:tc>
        <w:tc>
          <w:tcPr>
            <w:tcW w:w="1376" w:type="dxa"/>
            <w:vAlign w:val="center"/>
          </w:tcPr>
          <w:p w14:paraId="56D83389" w14:textId="3B2E0D28" w:rsidR="00501719" w:rsidRPr="00EA780F" w:rsidRDefault="00501719" w:rsidP="00D20A1E">
            <w:pPr>
              <w:keepNext/>
              <w:keepLines/>
              <w:widowControl/>
              <w:tabs>
                <w:tab w:val="decimal" w:pos="786"/>
              </w:tabs>
              <w:spacing w:before="60" w:after="60"/>
              <w:rPr>
                <w:rFonts w:cs="Arial"/>
                <w:color w:val="000000"/>
                <w:sz w:val="20"/>
                <w:szCs w:val="20"/>
              </w:rPr>
            </w:pPr>
            <w:r w:rsidRPr="00EA780F">
              <w:rPr>
                <w:rFonts w:cs="Arial"/>
                <w:color w:val="000000"/>
                <w:sz w:val="20"/>
                <w:szCs w:val="20"/>
              </w:rPr>
              <w:t>349</w:t>
            </w:r>
          </w:p>
        </w:tc>
        <w:tc>
          <w:tcPr>
            <w:tcW w:w="1376" w:type="dxa"/>
            <w:vAlign w:val="center"/>
          </w:tcPr>
          <w:p w14:paraId="3F3DF7AB" w14:textId="254F0AC0" w:rsidR="00501719" w:rsidRPr="00EA780F" w:rsidRDefault="00EA780F" w:rsidP="00D20A1E">
            <w:pPr>
              <w:keepNext/>
              <w:keepLines/>
              <w:widowControl/>
              <w:tabs>
                <w:tab w:val="decimal" w:pos="828"/>
              </w:tabs>
              <w:spacing w:before="60" w:after="60"/>
              <w:rPr>
                <w:rFonts w:cs="Arial"/>
                <w:color w:val="000000"/>
                <w:sz w:val="20"/>
                <w:szCs w:val="20"/>
              </w:rPr>
            </w:pPr>
            <w:r w:rsidRPr="00EA780F">
              <w:rPr>
                <w:rFonts w:cs="Arial"/>
                <w:color w:val="000000"/>
                <w:sz w:val="20"/>
                <w:szCs w:val="20"/>
              </w:rPr>
              <w:t>232</w:t>
            </w:r>
          </w:p>
        </w:tc>
        <w:tc>
          <w:tcPr>
            <w:tcW w:w="1376" w:type="dxa"/>
            <w:vAlign w:val="center"/>
          </w:tcPr>
          <w:p w14:paraId="47534059" w14:textId="645C3F7D" w:rsidR="00501719" w:rsidRPr="00EA780F" w:rsidRDefault="00EA780F" w:rsidP="00D20A1E">
            <w:pPr>
              <w:keepNext/>
              <w:keepLines/>
              <w:widowControl/>
              <w:spacing w:before="60" w:after="60"/>
              <w:jc w:val="center"/>
              <w:rPr>
                <w:rFonts w:cs="Arial"/>
                <w:color w:val="000000"/>
                <w:sz w:val="20"/>
                <w:szCs w:val="20"/>
              </w:rPr>
            </w:pPr>
            <w:r w:rsidRPr="00EA780F">
              <w:rPr>
                <w:rFonts w:cs="Arial"/>
                <w:color w:val="000000"/>
                <w:sz w:val="20"/>
                <w:szCs w:val="20"/>
              </w:rPr>
              <w:t>294</w:t>
            </w:r>
          </w:p>
        </w:tc>
        <w:tc>
          <w:tcPr>
            <w:tcW w:w="1376" w:type="dxa"/>
            <w:vAlign w:val="center"/>
          </w:tcPr>
          <w:p w14:paraId="5FD87F61" w14:textId="77777777" w:rsidR="00501719" w:rsidRPr="00D950A6" w:rsidRDefault="00501719" w:rsidP="00D20A1E">
            <w:pPr>
              <w:keepNext/>
              <w:keepLines/>
              <w:widowControl/>
              <w:spacing w:before="60" w:after="60"/>
              <w:jc w:val="center"/>
              <w:rPr>
                <w:rFonts w:cs="Arial"/>
                <w:color w:val="000000"/>
                <w:sz w:val="20"/>
                <w:szCs w:val="20"/>
                <w:highlight w:val="yellow"/>
              </w:rPr>
            </w:pPr>
            <w:r w:rsidRPr="001A391C">
              <w:rPr>
                <w:rFonts w:cs="Arial"/>
                <w:color w:val="000000"/>
                <w:sz w:val="20"/>
                <w:szCs w:val="20"/>
              </w:rPr>
              <w:t>258</w:t>
            </w:r>
          </w:p>
        </w:tc>
        <w:tc>
          <w:tcPr>
            <w:tcW w:w="1376" w:type="dxa"/>
            <w:vAlign w:val="center"/>
          </w:tcPr>
          <w:p w14:paraId="0F9B9F68" w14:textId="77777777" w:rsidR="00501719" w:rsidRPr="00D950A6" w:rsidRDefault="00501719" w:rsidP="00D20A1E">
            <w:pPr>
              <w:keepNext/>
              <w:keepLines/>
              <w:widowControl/>
              <w:spacing w:before="60" w:after="60"/>
              <w:jc w:val="center"/>
              <w:rPr>
                <w:rFonts w:cs="Arial"/>
                <w:color w:val="000000"/>
                <w:sz w:val="20"/>
                <w:szCs w:val="20"/>
                <w:highlight w:val="yellow"/>
              </w:rPr>
            </w:pPr>
            <w:r w:rsidRPr="001A391C">
              <w:rPr>
                <w:rFonts w:cs="Arial"/>
                <w:color w:val="000000"/>
                <w:sz w:val="20"/>
                <w:szCs w:val="20"/>
              </w:rPr>
              <w:t>298</w:t>
            </w:r>
          </w:p>
        </w:tc>
      </w:tr>
      <w:tr w:rsidR="00501719" w:rsidRPr="002152F5" w14:paraId="18157CB3" w14:textId="77777777" w:rsidTr="001F2E0C">
        <w:tc>
          <w:tcPr>
            <w:tcW w:w="995" w:type="dxa"/>
            <w:vMerge/>
          </w:tcPr>
          <w:p w14:paraId="1ADB9551" w14:textId="7FDA94BA" w:rsidR="00501719" w:rsidRPr="00CC72F8" w:rsidRDefault="00501719" w:rsidP="00D20A1E">
            <w:pPr>
              <w:keepNext/>
              <w:keepLines/>
              <w:widowControl/>
              <w:spacing w:before="60" w:after="60"/>
              <w:rPr>
                <w:rFonts w:cs="Arial"/>
                <w:sz w:val="20"/>
                <w:szCs w:val="20"/>
              </w:rPr>
            </w:pPr>
          </w:p>
        </w:tc>
        <w:tc>
          <w:tcPr>
            <w:tcW w:w="1183" w:type="dxa"/>
            <w:vMerge/>
            <w:tcBorders>
              <w:bottom w:val="single" w:sz="4" w:space="0" w:color="000000"/>
            </w:tcBorders>
            <w:vAlign w:val="center"/>
          </w:tcPr>
          <w:p w14:paraId="74FC066F" w14:textId="2552E2AF" w:rsidR="00501719" w:rsidRPr="00CC72F8" w:rsidRDefault="00501719" w:rsidP="00D20A1E">
            <w:pPr>
              <w:keepNext/>
              <w:keepLines/>
              <w:widowControl/>
              <w:spacing w:before="60" w:after="60"/>
              <w:rPr>
                <w:rFonts w:cs="Arial"/>
                <w:sz w:val="20"/>
                <w:szCs w:val="20"/>
              </w:rPr>
            </w:pPr>
          </w:p>
        </w:tc>
        <w:tc>
          <w:tcPr>
            <w:tcW w:w="1048" w:type="dxa"/>
            <w:vMerge/>
            <w:vAlign w:val="center"/>
          </w:tcPr>
          <w:p w14:paraId="038FD181" w14:textId="77777777" w:rsidR="00501719" w:rsidRPr="00CC72F8" w:rsidRDefault="00501719" w:rsidP="00D20A1E">
            <w:pPr>
              <w:keepNext/>
              <w:keepLines/>
              <w:widowControl/>
              <w:spacing w:before="60" w:after="60"/>
              <w:rPr>
                <w:rFonts w:cs="Arial"/>
                <w:sz w:val="20"/>
                <w:szCs w:val="20"/>
              </w:rPr>
            </w:pPr>
          </w:p>
        </w:tc>
        <w:tc>
          <w:tcPr>
            <w:tcW w:w="2693" w:type="dxa"/>
            <w:vAlign w:val="center"/>
          </w:tcPr>
          <w:p w14:paraId="3F64FB09" w14:textId="0C369194" w:rsidR="00501719" w:rsidRPr="00CC72F8" w:rsidRDefault="00D33726" w:rsidP="00D20A1E">
            <w:pPr>
              <w:keepNext/>
              <w:keepLines/>
              <w:widowControl/>
              <w:spacing w:before="60" w:after="60"/>
              <w:rPr>
                <w:rFonts w:cs="Arial"/>
                <w:color w:val="000000"/>
                <w:sz w:val="20"/>
                <w:szCs w:val="20"/>
              </w:rPr>
            </w:pPr>
            <w:r w:rsidRPr="000428F0">
              <w:rPr>
                <w:rFonts w:cs="Arial"/>
                <w:sz w:val="18"/>
                <w:szCs w:val="18"/>
              </w:rPr>
              <w:t>Plain</w:t>
            </w:r>
            <w:r>
              <w:rPr>
                <w:rFonts w:cs="Arial"/>
                <w:sz w:val="18"/>
                <w:szCs w:val="18"/>
              </w:rPr>
              <w:t xml:space="preserve"> /</w:t>
            </w:r>
            <w:r w:rsidRPr="000428F0">
              <w:rPr>
                <w:rFonts w:cs="Arial"/>
                <w:sz w:val="18"/>
                <w:szCs w:val="18"/>
              </w:rPr>
              <w:t xml:space="preserve"> flavoured </w:t>
            </w:r>
            <w:r>
              <w:rPr>
                <w:rFonts w:cs="Arial"/>
                <w:sz w:val="18"/>
                <w:szCs w:val="18"/>
              </w:rPr>
              <w:t>/</w:t>
            </w:r>
            <w:r w:rsidRPr="000428F0">
              <w:rPr>
                <w:rFonts w:cs="Arial"/>
                <w:sz w:val="18"/>
                <w:szCs w:val="18"/>
              </w:rPr>
              <w:t xml:space="preserve"> milkshakes</w:t>
            </w:r>
            <w:r>
              <w:rPr>
                <w:rFonts w:cs="Arial"/>
                <w:sz w:val="18"/>
                <w:szCs w:val="18"/>
              </w:rPr>
              <w:t xml:space="preserve"> / milk hot chocolate</w:t>
            </w:r>
          </w:p>
        </w:tc>
        <w:tc>
          <w:tcPr>
            <w:tcW w:w="1375" w:type="dxa"/>
            <w:vAlign w:val="center"/>
          </w:tcPr>
          <w:p w14:paraId="1FFF5273" w14:textId="5075FDCD" w:rsidR="00501719" w:rsidRPr="00D950A6" w:rsidRDefault="004D53D9" w:rsidP="00D20A1E">
            <w:pPr>
              <w:keepNext/>
              <w:keepLines/>
              <w:widowControl/>
              <w:tabs>
                <w:tab w:val="decimal" w:pos="744"/>
              </w:tabs>
              <w:spacing w:before="60" w:after="60"/>
              <w:rPr>
                <w:rFonts w:cs="Arial"/>
                <w:color w:val="000000"/>
                <w:sz w:val="20"/>
                <w:szCs w:val="20"/>
                <w:highlight w:val="yellow"/>
              </w:rPr>
            </w:pPr>
            <w:r>
              <w:rPr>
                <w:rFonts w:cs="Arial"/>
                <w:color w:val="000000"/>
                <w:sz w:val="20"/>
                <w:szCs w:val="20"/>
              </w:rPr>
              <w:t>304</w:t>
            </w:r>
          </w:p>
        </w:tc>
        <w:tc>
          <w:tcPr>
            <w:tcW w:w="1376" w:type="dxa"/>
            <w:vAlign w:val="center"/>
          </w:tcPr>
          <w:p w14:paraId="210AD8E0" w14:textId="7F78218A" w:rsidR="00501719" w:rsidRPr="00D950A6" w:rsidRDefault="004D53D9" w:rsidP="00D20A1E">
            <w:pPr>
              <w:keepNext/>
              <w:keepLines/>
              <w:widowControl/>
              <w:tabs>
                <w:tab w:val="decimal" w:pos="786"/>
              </w:tabs>
              <w:spacing w:before="60" w:after="60"/>
              <w:rPr>
                <w:rFonts w:cs="Arial"/>
                <w:color w:val="000000"/>
                <w:sz w:val="20"/>
                <w:szCs w:val="20"/>
                <w:highlight w:val="yellow"/>
              </w:rPr>
            </w:pPr>
            <w:r>
              <w:rPr>
                <w:rFonts w:cs="Arial"/>
                <w:color w:val="000000"/>
                <w:sz w:val="20"/>
                <w:szCs w:val="20"/>
              </w:rPr>
              <w:t>379</w:t>
            </w:r>
          </w:p>
        </w:tc>
        <w:tc>
          <w:tcPr>
            <w:tcW w:w="1376" w:type="dxa"/>
            <w:vAlign w:val="center"/>
          </w:tcPr>
          <w:p w14:paraId="382ECDB6" w14:textId="5B7501B4" w:rsidR="00501719" w:rsidRPr="00EA780F" w:rsidRDefault="00501719" w:rsidP="00D20A1E">
            <w:pPr>
              <w:keepNext/>
              <w:keepLines/>
              <w:widowControl/>
              <w:tabs>
                <w:tab w:val="decimal" w:pos="828"/>
              </w:tabs>
              <w:spacing w:before="60" w:after="60"/>
              <w:rPr>
                <w:rFonts w:cs="Arial"/>
                <w:color w:val="000000"/>
                <w:sz w:val="20"/>
                <w:szCs w:val="20"/>
              </w:rPr>
            </w:pPr>
            <w:r w:rsidRPr="00EA780F">
              <w:rPr>
                <w:rFonts w:cs="Arial"/>
                <w:color w:val="000000"/>
                <w:sz w:val="20"/>
                <w:szCs w:val="20"/>
              </w:rPr>
              <w:t>258</w:t>
            </w:r>
          </w:p>
        </w:tc>
        <w:tc>
          <w:tcPr>
            <w:tcW w:w="1376" w:type="dxa"/>
            <w:vAlign w:val="center"/>
          </w:tcPr>
          <w:p w14:paraId="76968BC4" w14:textId="5F1237DD" w:rsidR="00501719" w:rsidRPr="00EA780F" w:rsidRDefault="00EA780F" w:rsidP="00D20A1E">
            <w:pPr>
              <w:keepNext/>
              <w:keepLines/>
              <w:widowControl/>
              <w:spacing w:before="60" w:after="60"/>
              <w:jc w:val="center"/>
              <w:rPr>
                <w:rFonts w:cs="Arial"/>
                <w:color w:val="000000"/>
                <w:sz w:val="20"/>
                <w:szCs w:val="20"/>
              </w:rPr>
            </w:pPr>
            <w:r>
              <w:rPr>
                <w:rFonts w:cs="Arial"/>
                <w:color w:val="000000"/>
                <w:sz w:val="20"/>
                <w:szCs w:val="20"/>
              </w:rPr>
              <w:t>306</w:t>
            </w:r>
          </w:p>
        </w:tc>
        <w:tc>
          <w:tcPr>
            <w:tcW w:w="1376" w:type="dxa"/>
            <w:vAlign w:val="center"/>
          </w:tcPr>
          <w:p w14:paraId="087CD771" w14:textId="51129DC3" w:rsidR="00501719" w:rsidRPr="001A391C" w:rsidRDefault="00501719" w:rsidP="00D20A1E">
            <w:pPr>
              <w:keepNext/>
              <w:keepLines/>
              <w:widowControl/>
              <w:spacing w:before="60" w:after="60"/>
              <w:jc w:val="center"/>
              <w:rPr>
                <w:rFonts w:cs="Arial"/>
                <w:color w:val="000000"/>
                <w:sz w:val="20"/>
                <w:szCs w:val="20"/>
              </w:rPr>
            </w:pPr>
            <w:r w:rsidRPr="001A391C">
              <w:rPr>
                <w:rFonts w:cs="Arial"/>
                <w:color w:val="000000"/>
                <w:sz w:val="20"/>
                <w:szCs w:val="20"/>
              </w:rPr>
              <w:t>258</w:t>
            </w:r>
          </w:p>
        </w:tc>
        <w:tc>
          <w:tcPr>
            <w:tcW w:w="1376" w:type="dxa"/>
            <w:vAlign w:val="center"/>
          </w:tcPr>
          <w:p w14:paraId="3861B97B" w14:textId="46CB5C4D" w:rsidR="00501719" w:rsidRPr="001A391C" w:rsidRDefault="00501719" w:rsidP="00D20A1E">
            <w:pPr>
              <w:keepNext/>
              <w:keepLines/>
              <w:widowControl/>
              <w:spacing w:before="60" w:after="60"/>
              <w:jc w:val="center"/>
              <w:rPr>
                <w:rFonts w:cs="Arial"/>
                <w:color w:val="000000"/>
                <w:sz w:val="20"/>
                <w:szCs w:val="20"/>
              </w:rPr>
            </w:pPr>
            <w:r w:rsidRPr="001A391C">
              <w:rPr>
                <w:rFonts w:cs="Arial"/>
                <w:color w:val="000000"/>
                <w:sz w:val="20"/>
                <w:szCs w:val="20"/>
              </w:rPr>
              <w:t>298</w:t>
            </w:r>
          </w:p>
        </w:tc>
      </w:tr>
      <w:tr w:rsidR="00EC3C74" w:rsidRPr="002152F5" w14:paraId="55C40C05" w14:textId="77777777" w:rsidTr="00675B47">
        <w:tc>
          <w:tcPr>
            <w:tcW w:w="995" w:type="dxa"/>
            <w:vMerge/>
          </w:tcPr>
          <w:p w14:paraId="2C49B377" w14:textId="04417B38" w:rsidR="00EC3C74" w:rsidRPr="00CC72F8" w:rsidRDefault="00EC3C74" w:rsidP="00D20A1E">
            <w:pPr>
              <w:keepNext/>
              <w:keepLines/>
              <w:widowControl/>
              <w:spacing w:before="60" w:after="60"/>
              <w:rPr>
                <w:rFonts w:cs="Arial"/>
                <w:sz w:val="20"/>
                <w:szCs w:val="20"/>
              </w:rPr>
            </w:pPr>
          </w:p>
        </w:tc>
        <w:tc>
          <w:tcPr>
            <w:tcW w:w="1183" w:type="dxa"/>
            <w:vMerge w:val="restart"/>
            <w:vAlign w:val="center"/>
          </w:tcPr>
          <w:p w14:paraId="6ED1659E" w14:textId="6E32C86F" w:rsidR="00EC3C74" w:rsidRPr="00CC72F8" w:rsidRDefault="00EC3C74" w:rsidP="00D20A1E">
            <w:pPr>
              <w:keepNext/>
              <w:keepLines/>
              <w:widowControl/>
              <w:spacing w:before="60" w:after="60"/>
              <w:rPr>
                <w:rFonts w:cs="Arial"/>
                <w:sz w:val="20"/>
                <w:szCs w:val="20"/>
              </w:rPr>
            </w:pPr>
            <w:r w:rsidRPr="00CC72F8">
              <w:rPr>
                <w:rFonts w:cs="Arial"/>
                <w:sz w:val="20"/>
                <w:szCs w:val="20"/>
              </w:rPr>
              <w:t>2011-</w:t>
            </w:r>
            <w:r w:rsidRPr="00675B47">
              <w:rPr>
                <w:rFonts w:cs="Arial"/>
                <w:sz w:val="20"/>
                <w:szCs w:val="20"/>
              </w:rPr>
              <w:t>12 NNPAS</w:t>
            </w:r>
            <w:r w:rsidRPr="00675B47">
              <w:rPr>
                <w:sz w:val="20"/>
                <w:szCs w:val="20"/>
                <w:vertAlign w:val="superscript"/>
              </w:rPr>
              <w:t>☼☼</w:t>
            </w:r>
          </w:p>
        </w:tc>
        <w:tc>
          <w:tcPr>
            <w:tcW w:w="1048" w:type="dxa"/>
            <w:vMerge w:val="restart"/>
            <w:vAlign w:val="center"/>
          </w:tcPr>
          <w:p w14:paraId="72345E86" w14:textId="2C87A4D7" w:rsidR="00EC3C74" w:rsidRPr="00CC72F8" w:rsidRDefault="00EC3C74" w:rsidP="00D20A1E">
            <w:pPr>
              <w:keepNext/>
              <w:keepLines/>
              <w:widowControl/>
              <w:spacing w:before="60" w:after="60"/>
              <w:rPr>
                <w:rFonts w:cs="Arial"/>
                <w:sz w:val="20"/>
                <w:szCs w:val="20"/>
              </w:rPr>
            </w:pPr>
            <w:r w:rsidRPr="00CC72F8">
              <w:rPr>
                <w:rFonts w:cs="Arial"/>
                <w:sz w:val="20"/>
                <w:szCs w:val="20"/>
              </w:rPr>
              <w:t>2</w:t>
            </w:r>
            <w:r>
              <w:rPr>
                <w:rFonts w:cs="Arial"/>
                <w:sz w:val="20"/>
                <w:szCs w:val="20"/>
              </w:rPr>
              <w:t xml:space="preserve"> </w:t>
            </w:r>
            <w:r w:rsidRPr="00CC72F8">
              <w:rPr>
                <w:rFonts w:cs="Arial"/>
                <w:sz w:val="20"/>
                <w:szCs w:val="20"/>
              </w:rPr>
              <w:t xml:space="preserve">years </w:t>
            </w:r>
            <w:r>
              <w:rPr>
                <w:rFonts w:cs="Arial"/>
                <w:sz w:val="20"/>
                <w:szCs w:val="20"/>
              </w:rPr>
              <w:t>&amp; above</w:t>
            </w:r>
          </w:p>
        </w:tc>
        <w:tc>
          <w:tcPr>
            <w:tcW w:w="2693" w:type="dxa"/>
            <w:vAlign w:val="center"/>
          </w:tcPr>
          <w:p w14:paraId="38857318" w14:textId="1C8C1DD4" w:rsidR="00EC3C74" w:rsidRDefault="00EC3C74" w:rsidP="00D20A1E">
            <w:pPr>
              <w:keepNext/>
              <w:keepLines/>
              <w:widowControl/>
              <w:spacing w:before="60" w:after="60"/>
              <w:rPr>
                <w:rFonts w:cs="Arial"/>
                <w:color w:val="000000"/>
                <w:sz w:val="20"/>
                <w:szCs w:val="20"/>
              </w:rPr>
            </w:pPr>
            <w:r w:rsidRPr="000428F0">
              <w:rPr>
                <w:rFonts w:cs="Arial"/>
                <w:sz w:val="18"/>
                <w:szCs w:val="18"/>
              </w:rPr>
              <w:t>Plain only</w:t>
            </w:r>
          </w:p>
        </w:tc>
        <w:tc>
          <w:tcPr>
            <w:tcW w:w="1375" w:type="dxa"/>
            <w:vAlign w:val="center"/>
          </w:tcPr>
          <w:p w14:paraId="5E1B2BBF" w14:textId="0EA8D880" w:rsidR="00EC3C74" w:rsidRPr="00675B47" w:rsidRDefault="00EC3C74" w:rsidP="00D20A1E">
            <w:pPr>
              <w:keepNext/>
              <w:keepLines/>
              <w:widowControl/>
              <w:tabs>
                <w:tab w:val="decimal" w:pos="744"/>
              </w:tabs>
              <w:spacing w:before="60" w:after="60"/>
              <w:rPr>
                <w:rFonts w:cs="Arial"/>
                <w:color w:val="000000"/>
                <w:sz w:val="20"/>
                <w:szCs w:val="20"/>
              </w:rPr>
            </w:pPr>
            <w:r w:rsidRPr="00675B47">
              <w:rPr>
                <w:rFonts w:cs="Arial"/>
                <w:color w:val="000000"/>
                <w:sz w:val="20"/>
                <w:szCs w:val="20"/>
              </w:rPr>
              <w:t>156</w:t>
            </w:r>
          </w:p>
        </w:tc>
        <w:tc>
          <w:tcPr>
            <w:tcW w:w="1376" w:type="dxa"/>
            <w:vAlign w:val="center"/>
          </w:tcPr>
          <w:p w14:paraId="536A1BF9" w14:textId="7AD824D0" w:rsidR="00EC3C74" w:rsidRPr="00675B47" w:rsidRDefault="00EC3C74" w:rsidP="00D20A1E">
            <w:pPr>
              <w:keepNext/>
              <w:keepLines/>
              <w:widowControl/>
              <w:tabs>
                <w:tab w:val="decimal" w:pos="786"/>
              </w:tabs>
              <w:spacing w:before="60" w:after="60"/>
              <w:rPr>
                <w:rFonts w:cs="Arial"/>
                <w:color w:val="000000"/>
                <w:sz w:val="20"/>
                <w:szCs w:val="20"/>
              </w:rPr>
            </w:pPr>
            <w:r w:rsidRPr="00675B47">
              <w:rPr>
                <w:rFonts w:cs="Arial"/>
                <w:color w:val="000000"/>
                <w:sz w:val="20"/>
                <w:szCs w:val="20"/>
              </w:rPr>
              <w:t>222</w:t>
            </w:r>
          </w:p>
        </w:tc>
        <w:tc>
          <w:tcPr>
            <w:tcW w:w="1376" w:type="dxa"/>
            <w:vAlign w:val="center"/>
          </w:tcPr>
          <w:p w14:paraId="28BFF447" w14:textId="09824B4C" w:rsidR="00EC3C74" w:rsidRPr="00F5032F" w:rsidRDefault="00EC3C74" w:rsidP="00D20A1E">
            <w:pPr>
              <w:keepNext/>
              <w:keepLines/>
              <w:widowControl/>
              <w:tabs>
                <w:tab w:val="decimal" w:pos="828"/>
              </w:tabs>
              <w:spacing w:before="60" w:after="60"/>
              <w:rPr>
                <w:rFonts w:cs="Arial"/>
                <w:color w:val="000000"/>
                <w:sz w:val="20"/>
                <w:szCs w:val="20"/>
              </w:rPr>
            </w:pPr>
            <w:r>
              <w:rPr>
                <w:rFonts w:cs="Arial"/>
                <w:sz w:val="18"/>
                <w:szCs w:val="18"/>
              </w:rPr>
              <w:t>193</w:t>
            </w:r>
          </w:p>
        </w:tc>
        <w:tc>
          <w:tcPr>
            <w:tcW w:w="1376" w:type="dxa"/>
            <w:vAlign w:val="center"/>
          </w:tcPr>
          <w:p w14:paraId="670B12F2" w14:textId="668F4A78" w:rsidR="00EC3C74" w:rsidRPr="00F5032F" w:rsidRDefault="00EC3C74" w:rsidP="00D20A1E">
            <w:pPr>
              <w:keepNext/>
              <w:keepLines/>
              <w:widowControl/>
              <w:spacing w:before="60" w:after="60"/>
              <w:jc w:val="center"/>
              <w:rPr>
                <w:rFonts w:cs="Arial"/>
                <w:color w:val="000000"/>
                <w:sz w:val="20"/>
                <w:szCs w:val="20"/>
              </w:rPr>
            </w:pPr>
            <w:r>
              <w:rPr>
                <w:rFonts w:cs="Arial"/>
                <w:sz w:val="18"/>
                <w:szCs w:val="18"/>
              </w:rPr>
              <w:t>214</w:t>
            </w:r>
          </w:p>
        </w:tc>
        <w:tc>
          <w:tcPr>
            <w:tcW w:w="1376" w:type="dxa"/>
            <w:vAlign w:val="center"/>
          </w:tcPr>
          <w:p w14:paraId="2EE2AEDF" w14:textId="2228CFB6" w:rsidR="00EC3C74" w:rsidRPr="00F5032F" w:rsidRDefault="00EC3C74" w:rsidP="00D20A1E">
            <w:pPr>
              <w:keepNext/>
              <w:keepLines/>
              <w:widowControl/>
              <w:spacing w:before="60" w:after="60"/>
              <w:jc w:val="center"/>
              <w:rPr>
                <w:rFonts w:cs="Arial"/>
                <w:color w:val="000000"/>
                <w:sz w:val="20"/>
                <w:szCs w:val="20"/>
              </w:rPr>
            </w:pPr>
            <w:r w:rsidRPr="00675B47">
              <w:rPr>
                <w:rFonts w:cs="Arial"/>
                <w:color w:val="000000"/>
                <w:sz w:val="20"/>
                <w:szCs w:val="20"/>
              </w:rPr>
              <w:t>158</w:t>
            </w:r>
          </w:p>
        </w:tc>
        <w:tc>
          <w:tcPr>
            <w:tcW w:w="1376" w:type="dxa"/>
            <w:vAlign w:val="center"/>
          </w:tcPr>
          <w:p w14:paraId="495B7C80" w14:textId="12B54519" w:rsidR="00EC3C74" w:rsidRPr="00F5032F" w:rsidRDefault="00EC3C74" w:rsidP="00D20A1E">
            <w:pPr>
              <w:keepNext/>
              <w:keepLines/>
              <w:widowControl/>
              <w:spacing w:before="60" w:after="60"/>
              <w:jc w:val="center"/>
              <w:rPr>
                <w:rFonts w:cs="Arial"/>
                <w:color w:val="000000"/>
                <w:sz w:val="20"/>
                <w:szCs w:val="20"/>
              </w:rPr>
            </w:pPr>
            <w:r w:rsidRPr="00675B47">
              <w:rPr>
                <w:rFonts w:cs="Arial"/>
                <w:sz w:val="20"/>
                <w:szCs w:val="20"/>
              </w:rPr>
              <w:t>181</w:t>
            </w:r>
          </w:p>
        </w:tc>
      </w:tr>
      <w:tr w:rsidR="00F5032F" w:rsidRPr="00F5032F" w14:paraId="0187A1C2" w14:textId="77777777" w:rsidTr="00675B47">
        <w:tc>
          <w:tcPr>
            <w:tcW w:w="995" w:type="dxa"/>
            <w:vMerge/>
            <w:tcBorders>
              <w:bottom w:val="nil"/>
            </w:tcBorders>
          </w:tcPr>
          <w:p w14:paraId="37B0415C" w14:textId="57FF92F3" w:rsidR="00F5032F" w:rsidRPr="00CC72F8" w:rsidRDefault="00F5032F" w:rsidP="00D20A1E">
            <w:pPr>
              <w:keepNext/>
              <w:keepLines/>
              <w:widowControl/>
              <w:spacing w:before="60" w:after="60"/>
              <w:rPr>
                <w:rFonts w:cs="Arial"/>
                <w:sz w:val="20"/>
                <w:szCs w:val="20"/>
              </w:rPr>
            </w:pPr>
          </w:p>
        </w:tc>
        <w:tc>
          <w:tcPr>
            <w:tcW w:w="1183" w:type="dxa"/>
            <w:vMerge/>
            <w:tcBorders>
              <w:bottom w:val="nil"/>
            </w:tcBorders>
            <w:vAlign w:val="center"/>
          </w:tcPr>
          <w:p w14:paraId="7FC82882" w14:textId="77777777" w:rsidR="00F5032F" w:rsidRDefault="00F5032F" w:rsidP="00D20A1E">
            <w:pPr>
              <w:keepNext/>
              <w:keepLines/>
              <w:widowControl/>
              <w:spacing w:before="60" w:after="60"/>
              <w:rPr>
                <w:rFonts w:cs="Arial"/>
                <w:sz w:val="20"/>
                <w:szCs w:val="20"/>
              </w:rPr>
            </w:pPr>
          </w:p>
        </w:tc>
        <w:tc>
          <w:tcPr>
            <w:tcW w:w="1048" w:type="dxa"/>
            <w:vMerge/>
            <w:vAlign w:val="center"/>
          </w:tcPr>
          <w:p w14:paraId="3CC6F079" w14:textId="2E85CB3C" w:rsidR="00F5032F" w:rsidRPr="00CC72F8" w:rsidRDefault="00F5032F" w:rsidP="00D20A1E">
            <w:pPr>
              <w:keepNext/>
              <w:keepLines/>
              <w:widowControl/>
              <w:spacing w:before="60" w:after="60"/>
              <w:rPr>
                <w:rFonts w:cs="Arial"/>
                <w:sz w:val="20"/>
                <w:szCs w:val="20"/>
              </w:rPr>
            </w:pPr>
          </w:p>
        </w:tc>
        <w:tc>
          <w:tcPr>
            <w:tcW w:w="2693" w:type="dxa"/>
            <w:vAlign w:val="center"/>
          </w:tcPr>
          <w:p w14:paraId="3704255A" w14:textId="247B9450" w:rsidR="00F5032F" w:rsidRDefault="00D33726" w:rsidP="00D20A1E">
            <w:pPr>
              <w:keepNext/>
              <w:keepLines/>
              <w:widowControl/>
              <w:spacing w:before="60" w:after="60"/>
              <w:rPr>
                <w:rFonts w:cs="Arial"/>
                <w:color w:val="000000"/>
                <w:sz w:val="20"/>
                <w:szCs w:val="20"/>
              </w:rPr>
            </w:pPr>
            <w:r w:rsidRPr="000428F0">
              <w:rPr>
                <w:rFonts w:cs="Arial"/>
                <w:sz w:val="18"/>
                <w:szCs w:val="18"/>
              </w:rPr>
              <w:t>Plain</w:t>
            </w:r>
            <w:r>
              <w:rPr>
                <w:rFonts w:cs="Arial"/>
                <w:sz w:val="18"/>
                <w:szCs w:val="18"/>
              </w:rPr>
              <w:t xml:space="preserve"> /</w:t>
            </w:r>
            <w:r w:rsidRPr="000428F0">
              <w:rPr>
                <w:rFonts w:cs="Arial"/>
                <w:sz w:val="18"/>
                <w:szCs w:val="18"/>
              </w:rPr>
              <w:t xml:space="preserve"> flavoured </w:t>
            </w:r>
            <w:r>
              <w:rPr>
                <w:rFonts w:cs="Arial"/>
                <w:sz w:val="18"/>
                <w:szCs w:val="18"/>
              </w:rPr>
              <w:t>/</w:t>
            </w:r>
            <w:r w:rsidRPr="000428F0">
              <w:rPr>
                <w:rFonts w:cs="Arial"/>
                <w:sz w:val="18"/>
                <w:szCs w:val="18"/>
              </w:rPr>
              <w:t xml:space="preserve"> milkshakes</w:t>
            </w:r>
            <w:r>
              <w:rPr>
                <w:rFonts w:cs="Arial"/>
                <w:sz w:val="18"/>
                <w:szCs w:val="18"/>
              </w:rPr>
              <w:t xml:space="preserve"> / milk hot chocolate</w:t>
            </w:r>
          </w:p>
        </w:tc>
        <w:tc>
          <w:tcPr>
            <w:tcW w:w="1375" w:type="dxa"/>
            <w:vAlign w:val="center"/>
          </w:tcPr>
          <w:p w14:paraId="3519CDE7" w14:textId="5750AF4A" w:rsidR="00F5032F" w:rsidRPr="005A06D2" w:rsidRDefault="005A06D2" w:rsidP="00D20A1E">
            <w:pPr>
              <w:keepNext/>
              <w:keepLines/>
              <w:widowControl/>
              <w:tabs>
                <w:tab w:val="decimal" w:pos="744"/>
              </w:tabs>
              <w:spacing w:before="60" w:after="60"/>
              <w:rPr>
                <w:rFonts w:cs="Arial"/>
                <w:color w:val="000000"/>
                <w:sz w:val="20"/>
                <w:szCs w:val="20"/>
              </w:rPr>
            </w:pPr>
            <w:r w:rsidRPr="005A06D2">
              <w:rPr>
                <w:rFonts w:cs="Arial"/>
                <w:color w:val="000000"/>
                <w:sz w:val="20"/>
                <w:szCs w:val="20"/>
              </w:rPr>
              <w:t>185</w:t>
            </w:r>
          </w:p>
        </w:tc>
        <w:tc>
          <w:tcPr>
            <w:tcW w:w="1376" w:type="dxa"/>
            <w:vAlign w:val="center"/>
          </w:tcPr>
          <w:p w14:paraId="39FCF973" w14:textId="3C9A6268" w:rsidR="00F5032F" w:rsidRPr="005A06D2" w:rsidRDefault="005A06D2" w:rsidP="00D20A1E">
            <w:pPr>
              <w:keepNext/>
              <w:keepLines/>
              <w:widowControl/>
              <w:tabs>
                <w:tab w:val="decimal" w:pos="786"/>
              </w:tabs>
              <w:spacing w:before="60" w:after="60"/>
              <w:rPr>
                <w:rFonts w:cs="Arial"/>
                <w:color w:val="000000"/>
                <w:sz w:val="20"/>
                <w:szCs w:val="20"/>
              </w:rPr>
            </w:pPr>
            <w:r w:rsidRPr="005A06D2">
              <w:rPr>
                <w:rFonts w:cs="Arial"/>
                <w:color w:val="000000"/>
                <w:sz w:val="20"/>
                <w:szCs w:val="20"/>
              </w:rPr>
              <w:t>250</w:t>
            </w:r>
          </w:p>
        </w:tc>
        <w:tc>
          <w:tcPr>
            <w:tcW w:w="1376" w:type="dxa"/>
            <w:vAlign w:val="center"/>
          </w:tcPr>
          <w:p w14:paraId="38FA8526" w14:textId="3F0F59CF" w:rsidR="00F5032F" w:rsidRPr="00675B47" w:rsidRDefault="00675B47" w:rsidP="00D20A1E">
            <w:pPr>
              <w:keepNext/>
              <w:keepLines/>
              <w:widowControl/>
              <w:tabs>
                <w:tab w:val="decimal" w:pos="828"/>
              </w:tabs>
              <w:spacing w:before="60" w:after="60"/>
              <w:rPr>
                <w:rFonts w:cs="Arial"/>
                <w:color w:val="000000"/>
                <w:sz w:val="20"/>
                <w:szCs w:val="20"/>
              </w:rPr>
            </w:pPr>
            <w:r w:rsidRPr="00675B47">
              <w:rPr>
                <w:rFonts w:cs="Arial"/>
                <w:color w:val="000000"/>
                <w:sz w:val="20"/>
                <w:szCs w:val="20"/>
              </w:rPr>
              <w:t>196</w:t>
            </w:r>
          </w:p>
        </w:tc>
        <w:tc>
          <w:tcPr>
            <w:tcW w:w="1376" w:type="dxa"/>
            <w:vAlign w:val="center"/>
          </w:tcPr>
          <w:p w14:paraId="7DD2CA82" w14:textId="4AF52102" w:rsidR="00F5032F" w:rsidRPr="00675B47" w:rsidRDefault="00675B47" w:rsidP="00D20A1E">
            <w:pPr>
              <w:keepNext/>
              <w:keepLines/>
              <w:widowControl/>
              <w:spacing w:before="60" w:after="60"/>
              <w:jc w:val="center"/>
              <w:rPr>
                <w:rFonts w:cs="Arial"/>
                <w:color w:val="000000"/>
                <w:sz w:val="20"/>
                <w:szCs w:val="20"/>
              </w:rPr>
            </w:pPr>
            <w:r>
              <w:rPr>
                <w:rFonts w:cs="Arial"/>
                <w:color w:val="000000"/>
                <w:sz w:val="20"/>
                <w:szCs w:val="20"/>
              </w:rPr>
              <w:t>215</w:t>
            </w:r>
          </w:p>
        </w:tc>
        <w:tc>
          <w:tcPr>
            <w:tcW w:w="1376" w:type="dxa"/>
            <w:vAlign w:val="center"/>
          </w:tcPr>
          <w:p w14:paraId="1AAFD6EA" w14:textId="39001627" w:rsidR="00F5032F" w:rsidRPr="00675B47" w:rsidRDefault="00F5032F" w:rsidP="00D20A1E">
            <w:pPr>
              <w:keepNext/>
              <w:keepLines/>
              <w:widowControl/>
              <w:spacing w:before="60" w:after="60"/>
              <w:jc w:val="center"/>
              <w:rPr>
                <w:rFonts w:cs="Arial"/>
                <w:color w:val="000000"/>
                <w:sz w:val="20"/>
                <w:szCs w:val="20"/>
              </w:rPr>
            </w:pPr>
            <w:r w:rsidRPr="00675B47">
              <w:rPr>
                <w:rFonts w:cs="Arial"/>
                <w:color w:val="000000"/>
                <w:sz w:val="20"/>
                <w:szCs w:val="20"/>
              </w:rPr>
              <w:t>158</w:t>
            </w:r>
          </w:p>
        </w:tc>
        <w:tc>
          <w:tcPr>
            <w:tcW w:w="1376" w:type="dxa"/>
            <w:vAlign w:val="center"/>
          </w:tcPr>
          <w:p w14:paraId="66D481E2" w14:textId="535EBA7F" w:rsidR="00F5032F" w:rsidRPr="00675B47" w:rsidRDefault="00F5032F" w:rsidP="00D20A1E">
            <w:pPr>
              <w:keepNext/>
              <w:keepLines/>
              <w:widowControl/>
              <w:spacing w:before="60" w:after="60"/>
              <w:jc w:val="center"/>
              <w:rPr>
                <w:rFonts w:cs="Arial"/>
                <w:sz w:val="20"/>
                <w:szCs w:val="20"/>
              </w:rPr>
            </w:pPr>
            <w:r w:rsidRPr="00675B47">
              <w:rPr>
                <w:rFonts w:cs="Arial"/>
                <w:sz w:val="20"/>
                <w:szCs w:val="20"/>
              </w:rPr>
              <w:t>181</w:t>
            </w:r>
          </w:p>
        </w:tc>
      </w:tr>
      <w:tr w:rsidR="00F5032F" w:rsidRPr="002152F5" w14:paraId="078A40FB" w14:textId="77777777" w:rsidTr="001F2E0C">
        <w:tc>
          <w:tcPr>
            <w:tcW w:w="995" w:type="dxa"/>
            <w:vMerge w:val="restart"/>
          </w:tcPr>
          <w:p w14:paraId="7AF177DD" w14:textId="1C985795" w:rsidR="00F5032F" w:rsidRDefault="00F5032F" w:rsidP="00D20A1E">
            <w:pPr>
              <w:keepNext/>
              <w:keepLines/>
              <w:widowControl/>
              <w:spacing w:before="60" w:after="60"/>
              <w:rPr>
                <w:rFonts w:cs="Arial"/>
                <w:sz w:val="20"/>
                <w:szCs w:val="20"/>
              </w:rPr>
            </w:pPr>
            <w:r>
              <w:rPr>
                <w:rFonts w:cs="Arial"/>
                <w:sz w:val="20"/>
                <w:szCs w:val="20"/>
              </w:rPr>
              <w:t>New Zealand</w:t>
            </w:r>
          </w:p>
        </w:tc>
        <w:tc>
          <w:tcPr>
            <w:tcW w:w="1183" w:type="dxa"/>
            <w:vMerge w:val="restart"/>
            <w:vAlign w:val="center"/>
          </w:tcPr>
          <w:p w14:paraId="44E8FC56" w14:textId="69B30C1E" w:rsidR="00F5032F" w:rsidRPr="00CC72F8" w:rsidRDefault="00F5032F" w:rsidP="00D20A1E">
            <w:pPr>
              <w:keepNext/>
              <w:keepLines/>
              <w:widowControl/>
              <w:spacing w:before="60" w:after="60"/>
              <w:rPr>
                <w:rFonts w:cs="Arial"/>
                <w:sz w:val="20"/>
                <w:szCs w:val="20"/>
              </w:rPr>
            </w:pPr>
            <w:r>
              <w:rPr>
                <w:rFonts w:cs="Arial"/>
                <w:sz w:val="20"/>
                <w:szCs w:val="20"/>
              </w:rPr>
              <w:t>1997 NZNNS</w:t>
            </w:r>
          </w:p>
        </w:tc>
        <w:tc>
          <w:tcPr>
            <w:tcW w:w="1048" w:type="dxa"/>
            <w:vMerge w:val="restart"/>
            <w:vAlign w:val="center"/>
          </w:tcPr>
          <w:p w14:paraId="39255106" w14:textId="6FFD9416" w:rsidR="00F5032F" w:rsidRPr="00CC72F8" w:rsidRDefault="00F5032F" w:rsidP="00D20A1E">
            <w:pPr>
              <w:keepNext/>
              <w:keepLines/>
              <w:widowControl/>
              <w:spacing w:before="60" w:after="60"/>
              <w:rPr>
                <w:rFonts w:cs="Arial"/>
                <w:sz w:val="20"/>
                <w:szCs w:val="20"/>
              </w:rPr>
            </w:pPr>
            <w:r w:rsidRPr="00CC72F8">
              <w:rPr>
                <w:rFonts w:cs="Arial"/>
                <w:sz w:val="20"/>
                <w:szCs w:val="20"/>
              </w:rPr>
              <w:t>15 years &amp; above</w:t>
            </w:r>
          </w:p>
        </w:tc>
        <w:tc>
          <w:tcPr>
            <w:tcW w:w="2693" w:type="dxa"/>
            <w:vAlign w:val="center"/>
          </w:tcPr>
          <w:p w14:paraId="0085EA5D" w14:textId="1BBDDF7F" w:rsidR="00F5032F" w:rsidRPr="00CC72F8" w:rsidRDefault="00F5032F" w:rsidP="00D20A1E">
            <w:pPr>
              <w:keepNext/>
              <w:keepLines/>
              <w:widowControl/>
              <w:spacing w:before="60" w:after="60"/>
              <w:rPr>
                <w:rFonts w:cs="Arial"/>
                <w:color w:val="000000"/>
                <w:sz w:val="20"/>
                <w:szCs w:val="20"/>
              </w:rPr>
            </w:pPr>
            <w:r w:rsidRPr="000428F0">
              <w:rPr>
                <w:rFonts w:cs="Arial"/>
                <w:sz w:val="18"/>
                <w:szCs w:val="18"/>
              </w:rPr>
              <w:t>Plain only</w:t>
            </w:r>
          </w:p>
        </w:tc>
        <w:tc>
          <w:tcPr>
            <w:tcW w:w="1375" w:type="dxa"/>
            <w:vAlign w:val="center"/>
          </w:tcPr>
          <w:p w14:paraId="67A22E97" w14:textId="09070E6D" w:rsidR="00F5032F" w:rsidRPr="009D0BA0" w:rsidRDefault="00F5032F" w:rsidP="00D20A1E">
            <w:pPr>
              <w:keepNext/>
              <w:keepLines/>
              <w:widowControl/>
              <w:tabs>
                <w:tab w:val="decimal" w:pos="744"/>
              </w:tabs>
              <w:spacing w:before="60" w:after="60"/>
              <w:rPr>
                <w:rFonts w:cs="Arial"/>
                <w:color w:val="000000"/>
                <w:sz w:val="20"/>
                <w:szCs w:val="20"/>
              </w:rPr>
            </w:pPr>
            <w:r w:rsidRPr="009D0BA0">
              <w:rPr>
                <w:rFonts w:cs="Arial"/>
                <w:color w:val="000000"/>
                <w:sz w:val="20"/>
                <w:szCs w:val="20"/>
              </w:rPr>
              <w:t>186</w:t>
            </w:r>
          </w:p>
        </w:tc>
        <w:tc>
          <w:tcPr>
            <w:tcW w:w="1376" w:type="dxa"/>
            <w:vAlign w:val="center"/>
          </w:tcPr>
          <w:p w14:paraId="53E247C6" w14:textId="7B1E576E" w:rsidR="00F5032F" w:rsidRPr="009D0BA0" w:rsidRDefault="00F5032F" w:rsidP="00D20A1E">
            <w:pPr>
              <w:keepNext/>
              <w:keepLines/>
              <w:widowControl/>
              <w:tabs>
                <w:tab w:val="decimal" w:pos="786"/>
              </w:tabs>
              <w:spacing w:before="60" w:after="60"/>
              <w:rPr>
                <w:rFonts w:cs="Arial"/>
                <w:color w:val="000000"/>
                <w:sz w:val="20"/>
                <w:szCs w:val="20"/>
              </w:rPr>
            </w:pPr>
            <w:r w:rsidRPr="009D0BA0">
              <w:rPr>
                <w:rFonts w:cs="Arial"/>
                <w:color w:val="000000"/>
                <w:sz w:val="20"/>
                <w:szCs w:val="20"/>
              </w:rPr>
              <w:t>244</w:t>
            </w:r>
          </w:p>
        </w:tc>
        <w:tc>
          <w:tcPr>
            <w:tcW w:w="1376" w:type="dxa"/>
            <w:vAlign w:val="center"/>
          </w:tcPr>
          <w:p w14:paraId="2AE84681" w14:textId="5BD04717" w:rsidR="00F5032F" w:rsidRPr="009D0BA0" w:rsidRDefault="00F5032F" w:rsidP="00D20A1E">
            <w:pPr>
              <w:keepNext/>
              <w:keepLines/>
              <w:widowControl/>
              <w:tabs>
                <w:tab w:val="decimal" w:pos="828"/>
              </w:tabs>
              <w:spacing w:before="60" w:after="60"/>
              <w:rPr>
                <w:rFonts w:cs="Arial"/>
                <w:color w:val="000000"/>
                <w:sz w:val="20"/>
                <w:szCs w:val="20"/>
              </w:rPr>
            </w:pPr>
            <w:r w:rsidRPr="009D0BA0">
              <w:rPr>
                <w:rFonts w:cs="Arial"/>
                <w:color w:val="000000"/>
                <w:sz w:val="20"/>
                <w:szCs w:val="20"/>
              </w:rPr>
              <w:t>155</w:t>
            </w:r>
          </w:p>
        </w:tc>
        <w:tc>
          <w:tcPr>
            <w:tcW w:w="1376" w:type="dxa"/>
            <w:vAlign w:val="center"/>
          </w:tcPr>
          <w:p w14:paraId="2BE598F5" w14:textId="039A9199" w:rsidR="00F5032F" w:rsidRPr="009D0BA0" w:rsidRDefault="00F5032F" w:rsidP="00D20A1E">
            <w:pPr>
              <w:keepNext/>
              <w:keepLines/>
              <w:widowControl/>
              <w:spacing w:before="60" w:after="60"/>
              <w:jc w:val="center"/>
              <w:rPr>
                <w:rFonts w:cs="Arial"/>
                <w:color w:val="000000"/>
                <w:sz w:val="20"/>
                <w:szCs w:val="20"/>
              </w:rPr>
            </w:pPr>
            <w:r w:rsidRPr="009D0BA0">
              <w:rPr>
                <w:rFonts w:cs="Arial"/>
                <w:color w:val="000000"/>
                <w:sz w:val="20"/>
                <w:szCs w:val="20"/>
              </w:rPr>
              <w:t>189</w:t>
            </w:r>
          </w:p>
        </w:tc>
        <w:tc>
          <w:tcPr>
            <w:tcW w:w="1376" w:type="dxa"/>
            <w:vAlign w:val="center"/>
          </w:tcPr>
          <w:p w14:paraId="2229BD88" w14:textId="6B96905C" w:rsidR="00F5032F" w:rsidRPr="009D0BA0" w:rsidRDefault="00F5032F" w:rsidP="00D20A1E">
            <w:pPr>
              <w:keepNext/>
              <w:keepLines/>
              <w:widowControl/>
              <w:spacing w:before="60" w:after="60"/>
              <w:jc w:val="center"/>
              <w:rPr>
                <w:rFonts w:cs="Arial"/>
                <w:color w:val="000000"/>
                <w:sz w:val="20"/>
                <w:szCs w:val="20"/>
              </w:rPr>
            </w:pPr>
            <w:r w:rsidRPr="009D0BA0">
              <w:rPr>
                <w:rFonts w:cs="Arial"/>
                <w:color w:val="000000"/>
                <w:sz w:val="20"/>
                <w:szCs w:val="20"/>
              </w:rPr>
              <w:t>n/a</w:t>
            </w:r>
            <w:r w:rsidRPr="009D0BA0">
              <w:rPr>
                <w:rFonts w:cs="Arial"/>
                <w:color w:val="000000"/>
                <w:sz w:val="20"/>
                <w:szCs w:val="20"/>
                <w:vertAlign w:val="superscript"/>
              </w:rPr>
              <w:t>ʊ</w:t>
            </w:r>
          </w:p>
        </w:tc>
        <w:tc>
          <w:tcPr>
            <w:tcW w:w="1376" w:type="dxa"/>
            <w:vAlign w:val="center"/>
          </w:tcPr>
          <w:p w14:paraId="3658CBAB" w14:textId="309673B9" w:rsidR="00F5032F" w:rsidRPr="009D0BA0" w:rsidRDefault="00F5032F" w:rsidP="00D20A1E">
            <w:pPr>
              <w:keepNext/>
              <w:keepLines/>
              <w:widowControl/>
              <w:spacing w:before="60" w:after="60"/>
              <w:jc w:val="center"/>
              <w:rPr>
                <w:rFonts w:cs="Arial"/>
                <w:color w:val="000000"/>
                <w:sz w:val="20"/>
                <w:szCs w:val="20"/>
              </w:rPr>
            </w:pPr>
            <w:r w:rsidRPr="009D0BA0">
              <w:rPr>
                <w:rFonts w:cs="Arial"/>
                <w:color w:val="000000"/>
                <w:sz w:val="20"/>
                <w:szCs w:val="20"/>
              </w:rPr>
              <w:t>n/a</w:t>
            </w:r>
            <w:r w:rsidRPr="009D0BA0">
              <w:rPr>
                <w:rFonts w:cs="Arial"/>
                <w:color w:val="000000"/>
                <w:sz w:val="20"/>
                <w:szCs w:val="20"/>
                <w:vertAlign w:val="superscript"/>
              </w:rPr>
              <w:t>ʊ</w:t>
            </w:r>
          </w:p>
        </w:tc>
      </w:tr>
      <w:tr w:rsidR="00F5032F" w:rsidRPr="002152F5" w14:paraId="64D1A837" w14:textId="77777777" w:rsidTr="001F2E0C">
        <w:tc>
          <w:tcPr>
            <w:tcW w:w="995" w:type="dxa"/>
            <w:vMerge/>
          </w:tcPr>
          <w:p w14:paraId="3BC85A60" w14:textId="5EBBC691" w:rsidR="00F5032F" w:rsidRDefault="00F5032F" w:rsidP="00D20A1E">
            <w:pPr>
              <w:keepNext/>
              <w:keepLines/>
              <w:widowControl/>
              <w:spacing w:before="60" w:after="60"/>
              <w:rPr>
                <w:rFonts w:cs="Arial"/>
                <w:sz w:val="20"/>
                <w:szCs w:val="20"/>
              </w:rPr>
            </w:pPr>
          </w:p>
        </w:tc>
        <w:tc>
          <w:tcPr>
            <w:tcW w:w="1183" w:type="dxa"/>
            <w:vMerge/>
            <w:vAlign w:val="center"/>
          </w:tcPr>
          <w:p w14:paraId="103FFB15" w14:textId="427A8462" w:rsidR="00F5032F" w:rsidRDefault="00F5032F" w:rsidP="00D20A1E">
            <w:pPr>
              <w:keepNext/>
              <w:keepLines/>
              <w:widowControl/>
              <w:spacing w:before="60" w:after="60"/>
              <w:rPr>
                <w:rFonts w:cs="Arial"/>
                <w:sz w:val="20"/>
                <w:szCs w:val="20"/>
              </w:rPr>
            </w:pPr>
          </w:p>
        </w:tc>
        <w:tc>
          <w:tcPr>
            <w:tcW w:w="1048" w:type="dxa"/>
            <w:vMerge/>
            <w:vAlign w:val="center"/>
          </w:tcPr>
          <w:p w14:paraId="018FFED1" w14:textId="2E462790" w:rsidR="00F5032F" w:rsidRPr="00CC72F8" w:rsidRDefault="00F5032F" w:rsidP="00D20A1E">
            <w:pPr>
              <w:keepNext/>
              <w:keepLines/>
              <w:widowControl/>
              <w:spacing w:before="60" w:after="60"/>
              <w:rPr>
                <w:rFonts w:cs="Arial"/>
                <w:sz w:val="20"/>
                <w:szCs w:val="20"/>
              </w:rPr>
            </w:pPr>
          </w:p>
        </w:tc>
        <w:tc>
          <w:tcPr>
            <w:tcW w:w="2693" w:type="dxa"/>
            <w:vAlign w:val="center"/>
          </w:tcPr>
          <w:p w14:paraId="0C2F5585" w14:textId="33F587B9" w:rsidR="00F5032F" w:rsidRPr="00CC72F8" w:rsidRDefault="00D33726" w:rsidP="00D20A1E">
            <w:pPr>
              <w:keepNext/>
              <w:keepLines/>
              <w:widowControl/>
              <w:spacing w:before="60" w:after="60"/>
              <w:rPr>
                <w:rFonts w:cs="Arial"/>
                <w:color w:val="000000"/>
                <w:sz w:val="20"/>
                <w:szCs w:val="20"/>
              </w:rPr>
            </w:pPr>
            <w:r w:rsidRPr="000428F0">
              <w:rPr>
                <w:rFonts w:cs="Arial"/>
                <w:sz w:val="18"/>
                <w:szCs w:val="18"/>
              </w:rPr>
              <w:t>Plain</w:t>
            </w:r>
            <w:r>
              <w:rPr>
                <w:rFonts w:cs="Arial"/>
                <w:sz w:val="18"/>
                <w:szCs w:val="18"/>
              </w:rPr>
              <w:t xml:space="preserve"> /</w:t>
            </w:r>
            <w:r w:rsidRPr="000428F0">
              <w:rPr>
                <w:rFonts w:cs="Arial"/>
                <w:sz w:val="18"/>
                <w:szCs w:val="18"/>
              </w:rPr>
              <w:t xml:space="preserve"> flavoured </w:t>
            </w:r>
            <w:r>
              <w:rPr>
                <w:rFonts w:cs="Arial"/>
                <w:sz w:val="18"/>
                <w:szCs w:val="18"/>
              </w:rPr>
              <w:t>/</w:t>
            </w:r>
            <w:r w:rsidRPr="000428F0">
              <w:rPr>
                <w:rFonts w:cs="Arial"/>
                <w:sz w:val="18"/>
                <w:szCs w:val="18"/>
              </w:rPr>
              <w:t xml:space="preserve"> milkshakes</w:t>
            </w:r>
            <w:r>
              <w:rPr>
                <w:rFonts w:cs="Arial"/>
                <w:sz w:val="18"/>
                <w:szCs w:val="18"/>
              </w:rPr>
              <w:t xml:space="preserve"> / milk hot chocolate</w:t>
            </w:r>
          </w:p>
        </w:tc>
        <w:tc>
          <w:tcPr>
            <w:tcW w:w="1375" w:type="dxa"/>
            <w:vAlign w:val="center"/>
          </w:tcPr>
          <w:p w14:paraId="0EF08EA3" w14:textId="34B637B2" w:rsidR="00F5032F" w:rsidRPr="009D0BA0" w:rsidRDefault="00190340" w:rsidP="00D20A1E">
            <w:pPr>
              <w:keepNext/>
              <w:keepLines/>
              <w:widowControl/>
              <w:tabs>
                <w:tab w:val="decimal" w:pos="744"/>
              </w:tabs>
              <w:spacing w:before="60" w:after="60"/>
              <w:rPr>
                <w:rFonts w:cs="Arial"/>
                <w:color w:val="000000"/>
                <w:sz w:val="20"/>
                <w:szCs w:val="20"/>
              </w:rPr>
            </w:pPr>
            <w:r>
              <w:rPr>
                <w:rFonts w:cs="Arial"/>
                <w:color w:val="000000"/>
                <w:sz w:val="20"/>
                <w:szCs w:val="20"/>
              </w:rPr>
              <w:t>191</w:t>
            </w:r>
          </w:p>
        </w:tc>
        <w:tc>
          <w:tcPr>
            <w:tcW w:w="1376" w:type="dxa"/>
            <w:vAlign w:val="center"/>
          </w:tcPr>
          <w:p w14:paraId="3D9CAE7D" w14:textId="51571669" w:rsidR="00F5032F" w:rsidRPr="009D0BA0" w:rsidRDefault="00190340" w:rsidP="00D20A1E">
            <w:pPr>
              <w:keepNext/>
              <w:keepLines/>
              <w:widowControl/>
              <w:tabs>
                <w:tab w:val="decimal" w:pos="786"/>
              </w:tabs>
              <w:spacing w:before="60" w:after="60"/>
              <w:rPr>
                <w:rFonts w:cs="Arial"/>
                <w:color w:val="000000"/>
                <w:sz w:val="20"/>
                <w:szCs w:val="20"/>
              </w:rPr>
            </w:pPr>
            <w:r w:rsidRPr="009D0BA0">
              <w:rPr>
                <w:rFonts w:cs="Arial"/>
                <w:color w:val="000000"/>
                <w:sz w:val="20"/>
                <w:szCs w:val="20"/>
              </w:rPr>
              <w:t>2</w:t>
            </w:r>
            <w:r>
              <w:rPr>
                <w:rFonts w:cs="Arial"/>
                <w:color w:val="000000"/>
                <w:sz w:val="20"/>
                <w:szCs w:val="20"/>
              </w:rPr>
              <w:t>52</w:t>
            </w:r>
          </w:p>
        </w:tc>
        <w:tc>
          <w:tcPr>
            <w:tcW w:w="1376" w:type="dxa"/>
            <w:vAlign w:val="center"/>
          </w:tcPr>
          <w:p w14:paraId="3EDEB422" w14:textId="001668E6" w:rsidR="00F5032F" w:rsidRPr="009D0BA0" w:rsidRDefault="00F5032F" w:rsidP="00D20A1E">
            <w:pPr>
              <w:keepNext/>
              <w:keepLines/>
              <w:widowControl/>
              <w:tabs>
                <w:tab w:val="decimal" w:pos="828"/>
              </w:tabs>
              <w:spacing w:before="60" w:after="60"/>
              <w:rPr>
                <w:rFonts w:cs="Arial"/>
                <w:color w:val="000000"/>
                <w:sz w:val="20"/>
                <w:szCs w:val="20"/>
              </w:rPr>
            </w:pPr>
            <w:r w:rsidRPr="009D0BA0">
              <w:rPr>
                <w:rFonts w:cs="Arial"/>
                <w:color w:val="000000"/>
                <w:sz w:val="20"/>
                <w:szCs w:val="20"/>
              </w:rPr>
              <w:t>207</w:t>
            </w:r>
          </w:p>
        </w:tc>
        <w:tc>
          <w:tcPr>
            <w:tcW w:w="1376" w:type="dxa"/>
            <w:vAlign w:val="center"/>
          </w:tcPr>
          <w:p w14:paraId="00B15FDC" w14:textId="449E4B13" w:rsidR="00F5032F" w:rsidRPr="009D0BA0" w:rsidRDefault="00F5032F" w:rsidP="00D20A1E">
            <w:pPr>
              <w:keepNext/>
              <w:keepLines/>
              <w:widowControl/>
              <w:spacing w:before="60" w:after="60"/>
              <w:jc w:val="center"/>
              <w:rPr>
                <w:rFonts w:cs="Arial"/>
                <w:color w:val="000000"/>
                <w:sz w:val="20"/>
                <w:szCs w:val="20"/>
              </w:rPr>
            </w:pPr>
            <w:r w:rsidRPr="009D0BA0">
              <w:rPr>
                <w:rFonts w:cs="Arial"/>
                <w:color w:val="000000"/>
                <w:sz w:val="20"/>
                <w:szCs w:val="20"/>
              </w:rPr>
              <w:t>205</w:t>
            </w:r>
          </w:p>
        </w:tc>
        <w:tc>
          <w:tcPr>
            <w:tcW w:w="1376" w:type="dxa"/>
            <w:vAlign w:val="center"/>
          </w:tcPr>
          <w:p w14:paraId="2FB736CA" w14:textId="40F84852" w:rsidR="00F5032F" w:rsidRPr="009D0BA0" w:rsidRDefault="00F5032F" w:rsidP="00D20A1E">
            <w:pPr>
              <w:keepNext/>
              <w:keepLines/>
              <w:widowControl/>
              <w:spacing w:before="60" w:after="60"/>
              <w:jc w:val="center"/>
              <w:rPr>
                <w:rFonts w:cs="Arial"/>
                <w:color w:val="000000"/>
                <w:sz w:val="20"/>
                <w:szCs w:val="20"/>
              </w:rPr>
            </w:pPr>
            <w:r w:rsidRPr="009D0BA0">
              <w:rPr>
                <w:rFonts w:cs="Arial"/>
                <w:color w:val="000000"/>
                <w:sz w:val="20"/>
                <w:szCs w:val="20"/>
              </w:rPr>
              <w:t>n/a</w:t>
            </w:r>
            <w:r w:rsidRPr="009D0BA0">
              <w:rPr>
                <w:rFonts w:cs="Arial"/>
                <w:color w:val="000000"/>
                <w:sz w:val="20"/>
                <w:szCs w:val="20"/>
                <w:vertAlign w:val="superscript"/>
              </w:rPr>
              <w:t>ʊ</w:t>
            </w:r>
          </w:p>
        </w:tc>
        <w:tc>
          <w:tcPr>
            <w:tcW w:w="1376" w:type="dxa"/>
            <w:vAlign w:val="center"/>
          </w:tcPr>
          <w:p w14:paraId="22BDC23F" w14:textId="78C5A68A" w:rsidR="00F5032F" w:rsidRPr="009D0BA0" w:rsidRDefault="00F5032F" w:rsidP="00D20A1E">
            <w:pPr>
              <w:keepNext/>
              <w:keepLines/>
              <w:widowControl/>
              <w:spacing w:before="60" w:after="60"/>
              <w:jc w:val="center"/>
              <w:rPr>
                <w:rFonts w:cs="Arial"/>
                <w:color w:val="000000"/>
                <w:sz w:val="20"/>
                <w:szCs w:val="20"/>
              </w:rPr>
            </w:pPr>
            <w:r w:rsidRPr="009D0BA0">
              <w:rPr>
                <w:rFonts w:cs="Arial"/>
                <w:color w:val="000000"/>
                <w:sz w:val="20"/>
                <w:szCs w:val="20"/>
              </w:rPr>
              <w:t>n/a</w:t>
            </w:r>
            <w:r w:rsidRPr="009D0BA0">
              <w:rPr>
                <w:rFonts w:cs="Arial"/>
                <w:color w:val="000000"/>
                <w:sz w:val="20"/>
                <w:szCs w:val="20"/>
                <w:vertAlign w:val="superscript"/>
              </w:rPr>
              <w:t>ʊ</w:t>
            </w:r>
          </w:p>
        </w:tc>
      </w:tr>
      <w:tr w:rsidR="00F5032F" w:rsidRPr="002152F5" w14:paraId="74A6A492" w14:textId="77777777" w:rsidTr="001F2E0C">
        <w:tc>
          <w:tcPr>
            <w:tcW w:w="995" w:type="dxa"/>
            <w:vMerge/>
          </w:tcPr>
          <w:p w14:paraId="4EBCD2E0" w14:textId="70CD1CAB" w:rsidR="00F5032F" w:rsidRPr="00CC72F8" w:rsidRDefault="00F5032F" w:rsidP="00D20A1E">
            <w:pPr>
              <w:keepNext/>
              <w:keepLines/>
              <w:widowControl/>
              <w:spacing w:before="60" w:after="60"/>
              <w:rPr>
                <w:rFonts w:cs="Arial"/>
                <w:sz w:val="20"/>
                <w:szCs w:val="20"/>
              </w:rPr>
            </w:pPr>
          </w:p>
        </w:tc>
        <w:tc>
          <w:tcPr>
            <w:tcW w:w="1183" w:type="dxa"/>
            <w:vMerge w:val="restart"/>
            <w:vAlign w:val="center"/>
          </w:tcPr>
          <w:p w14:paraId="69DA3FDC" w14:textId="6952E1C9" w:rsidR="00F5032F" w:rsidRPr="00CC72F8" w:rsidRDefault="00F5032F" w:rsidP="00D20A1E">
            <w:pPr>
              <w:keepNext/>
              <w:keepLines/>
              <w:widowControl/>
              <w:spacing w:before="60" w:after="60"/>
              <w:rPr>
                <w:rFonts w:cs="Arial"/>
                <w:sz w:val="20"/>
                <w:szCs w:val="20"/>
              </w:rPr>
            </w:pPr>
            <w:r w:rsidRPr="00CC72F8">
              <w:rPr>
                <w:rFonts w:cs="Arial"/>
                <w:sz w:val="20"/>
                <w:szCs w:val="20"/>
              </w:rPr>
              <w:t>2002 CNS</w:t>
            </w:r>
          </w:p>
        </w:tc>
        <w:tc>
          <w:tcPr>
            <w:tcW w:w="1048" w:type="dxa"/>
            <w:vMerge w:val="restart"/>
            <w:vAlign w:val="center"/>
          </w:tcPr>
          <w:p w14:paraId="74D0DD85" w14:textId="6E7713E9" w:rsidR="00F5032F" w:rsidRPr="00CC72F8" w:rsidRDefault="00F5032F" w:rsidP="00D20A1E">
            <w:pPr>
              <w:keepNext/>
              <w:keepLines/>
              <w:widowControl/>
              <w:spacing w:before="60" w:after="60"/>
              <w:rPr>
                <w:rFonts w:cs="Arial"/>
                <w:sz w:val="20"/>
                <w:szCs w:val="20"/>
              </w:rPr>
            </w:pPr>
            <w:r w:rsidRPr="00CC72F8">
              <w:rPr>
                <w:rFonts w:cs="Arial"/>
                <w:sz w:val="20"/>
                <w:szCs w:val="20"/>
              </w:rPr>
              <w:t>5-14 years</w:t>
            </w:r>
          </w:p>
        </w:tc>
        <w:tc>
          <w:tcPr>
            <w:tcW w:w="2693" w:type="dxa"/>
            <w:vAlign w:val="center"/>
          </w:tcPr>
          <w:p w14:paraId="015D2A8B" w14:textId="167C3979" w:rsidR="00F5032F" w:rsidRPr="00CC72F8" w:rsidRDefault="00F5032F" w:rsidP="00D20A1E">
            <w:pPr>
              <w:keepNext/>
              <w:keepLines/>
              <w:widowControl/>
              <w:spacing w:before="60" w:after="60"/>
              <w:rPr>
                <w:rFonts w:cs="Arial"/>
                <w:color w:val="000000"/>
                <w:sz w:val="20"/>
                <w:szCs w:val="20"/>
              </w:rPr>
            </w:pPr>
            <w:r w:rsidRPr="000428F0">
              <w:rPr>
                <w:rFonts w:cs="Arial"/>
                <w:sz w:val="18"/>
                <w:szCs w:val="18"/>
              </w:rPr>
              <w:t>Plain only</w:t>
            </w:r>
          </w:p>
        </w:tc>
        <w:tc>
          <w:tcPr>
            <w:tcW w:w="1375" w:type="dxa"/>
            <w:vAlign w:val="center"/>
          </w:tcPr>
          <w:p w14:paraId="0BCF2829" w14:textId="3A78621A" w:rsidR="00F5032F" w:rsidRPr="00D950A6" w:rsidRDefault="00F5032F" w:rsidP="00D20A1E">
            <w:pPr>
              <w:keepNext/>
              <w:keepLines/>
              <w:widowControl/>
              <w:tabs>
                <w:tab w:val="decimal" w:pos="744"/>
              </w:tabs>
              <w:spacing w:before="60" w:after="60"/>
              <w:rPr>
                <w:rFonts w:cs="Arial"/>
                <w:color w:val="000000"/>
                <w:sz w:val="20"/>
                <w:szCs w:val="20"/>
                <w:highlight w:val="yellow"/>
              </w:rPr>
            </w:pPr>
            <w:r w:rsidRPr="00C74833">
              <w:rPr>
                <w:rFonts w:cs="Arial"/>
                <w:color w:val="000000"/>
                <w:sz w:val="20"/>
                <w:szCs w:val="20"/>
              </w:rPr>
              <w:t>212</w:t>
            </w:r>
          </w:p>
        </w:tc>
        <w:tc>
          <w:tcPr>
            <w:tcW w:w="1376" w:type="dxa"/>
            <w:vAlign w:val="center"/>
          </w:tcPr>
          <w:p w14:paraId="25447581" w14:textId="375851CB" w:rsidR="00F5032F" w:rsidRPr="00D950A6" w:rsidRDefault="00F5032F" w:rsidP="00D20A1E">
            <w:pPr>
              <w:keepNext/>
              <w:keepLines/>
              <w:widowControl/>
              <w:tabs>
                <w:tab w:val="decimal" w:pos="786"/>
              </w:tabs>
              <w:spacing w:before="60" w:after="60"/>
              <w:rPr>
                <w:rFonts w:cs="Arial"/>
                <w:color w:val="000000"/>
                <w:sz w:val="20"/>
                <w:szCs w:val="20"/>
                <w:highlight w:val="yellow"/>
              </w:rPr>
            </w:pPr>
            <w:r w:rsidRPr="00C74833">
              <w:rPr>
                <w:rFonts w:cs="Arial"/>
                <w:color w:val="000000"/>
                <w:sz w:val="20"/>
                <w:szCs w:val="20"/>
              </w:rPr>
              <w:t>270</w:t>
            </w:r>
          </w:p>
        </w:tc>
        <w:tc>
          <w:tcPr>
            <w:tcW w:w="1376" w:type="dxa"/>
            <w:vAlign w:val="center"/>
          </w:tcPr>
          <w:p w14:paraId="4E5C89B7" w14:textId="77777777" w:rsidR="00F5032F" w:rsidRPr="00D950A6" w:rsidRDefault="00F5032F" w:rsidP="00D20A1E">
            <w:pPr>
              <w:keepNext/>
              <w:keepLines/>
              <w:widowControl/>
              <w:tabs>
                <w:tab w:val="decimal" w:pos="828"/>
              </w:tabs>
              <w:spacing w:before="60" w:after="60"/>
              <w:rPr>
                <w:rFonts w:cs="Arial"/>
                <w:color w:val="000000"/>
                <w:sz w:val="20"/>
                <w:szCs w:val="20"/>
                <w:highlight w:val="yellow"/>
              </w:rPr>
            </w:pPr>
            <w:r w:rsidRPr="00C74833">
              <w:rPr>
                <w:rFonts w:cs="Arial"/>
                <w:color w:val="000000"/>
                <w:sz w:val="20"/>
                <w:szCs w:val="20"/>
              </w:rPr>
              <w:t>130</w:t>
            </w:r>
          </w:p>
        </w:tc>
        <w:tc>
          <w:tcPr>
            <w:tcW w:w="1376" w:type="dxa"/>
            <w:vAlign w:val="center"/>
          </w:tcPr>
          <w:p w14:paraId="4F1BFFA1" w14:textId="7DDF8ADE" w:rsidR="00F5032F" w:rsidRPr="00C74833" w:rsidRDefault="00F5032F" w:rsidP="00D20A1E">
            <w:pPr>
              <w:keepNext/>
              <w:keepLines/>
              <w:widowControl/>
              <w:spacing w:before="60" w:after="60"/>
              <w:jc w:val="center"/>
              <w:rPr>
                <w:rFonts w:cs="Arial"/>
                <w:color w:val="000000"/>
                <w:sz w:val="20"/>
                <w:szCs w:val="20"/>
              </w:rPr>
            </w:pPr>
            <w:r w:rsidRPr="00C74833">
              <w:rPr>
                <w:rFonts w:cs="Arial"/>
                <w:color w:val="000000"/>
                <w:sz w:val="20"/>
                <w:szCs w:val="20"/>
              </w:rPr>
              <w:t>223</w:t>
            </w:r>
          </w:p>
        </w:tc>
        <w:tc>
          <w:tcPr>
            <w:tcW w:w="1376" w:type="dxa"/>
            <w:vAlign w:val="center"/>
          </w:tcPr>
          <w:p w14:paraId="002AAEA4" w14:textId="7636F817" w:rsidR="00F5032F" w:rsidRPr="00D950A6" w:rsidRDefault="00F5032F" w:rsidP="00D20A1E">
            <w:pPr>
              <w:keepNext/>
              <w:keepLines/>
              <w:widowControl/>
              <w:spacing w:before="60" w:after="60"/>
              <w:jc w:val="center"/>
              <w:rPr>
                <w:rFonts w:cs="Arial"/>
                <w:color w:val="000000"/>
                <w:sz w:val="20"/>
                <w:szCs w:val="20"/>
                <w:highlight w:val="yellow"/>
              </w:rPr>
            </w:pPr>
            <w:r w:rsidRPr="009D0BA0">
              <w:rPr>
                <w:rFonts w:cs="Arial"/>
                <w:color w:val="000000"/>
                <w:sz w:val="20"/>
                <w:szCs w:val="20"/>
              </w:rPr>
              <w:t>n/a</w:t>
            </w:r>
            <w:r w:rsidRPr="009D0BA0">
              <w:rPr>
                <w:rFonts w:cs="Arial"/>
                <w:color w:val="000000"/>
                <w:sz w:val="20"/>
                <w:szCs w:val="20"/>
                <w:vertAlign w:val="superscript"/>
              </w:rPr>
              <w:t>ʊ</w:t>
            </w:r>
          </w:p>
        </w:tc>
        <w:tc>
          <w:tcPr>
            <w:tcW w:w="1376" w:type="dxa"/>
            <w:vAlign w:val="center"/>
          </w:tcPr>
          <w:p w14:paraId="007A7351" w14:textId="38C6190A" w:rsidR="00F5032F" w:rsidRPr="00D950A6" w:rsidRDefault="00F5032F" w:rsidP="00D20A1E">
            <w:pPr>
              <w:keepNext/>
              <w:keepLines/>
              <w:widowControl/>
              <w:spacing w:before="60" w:after="60"/>
              <w:jc w:val="center"/>
              <w:rPr>
                <w:rFonts w:cs="Arial"/>
                <w:color w:val="000000"/>
                <w:sz w:val="20"/>
                <w:szCs w:val="20"/>
                <w:highlight w:val="yellow"/>
              </w:rPr>
            </w:pPr>
            <w:r w:rsidRPr="00C667B6">
              <w:rPr>
                <w:rFonts w:cs="Arial"/>
                <w:color w:val="000000"/>
                <w:sz w:val="20"/>
                <w:szCs w:val="20"/>
              </w:rPr>
              <w:t>136</w:t>
            </w:r>
          </w:p>
        </w:tc>
      </w:tr>
      <w:tr w:rsidR="00F5032F" w:rsidRPr="002152F5" w14:paraId="1ED6552F" w14:textId="77777777" w:rsidTr="001F2E0C">
        <w:tc>
          <w:tcPr>
            <w:tcW w:w="995" w:type="dxa"/>
            <w:vMerge/>
          </w:tcPr>
          <w:p w14:paraId="546F713A" w14:textId="34A5AF85" w:rsidR="00F5032F" w:rsidRPr="00CC72F8" w:rsidRDefault="00F5032F" w:rsidP="00D20A1E">
            <w:pPr>
              <w:keepNext/>
              <w:keepLines/>
              <w:widowControl/>
              <w:spacing w:before="60" w:after="60"/>
              <w:rPr>
                <w:rFonts w:cs="Arial"/>
                <w:sz w:val="20"/>
                <w:szCs w:val="20"/>
              </w:rPr>
            </w:pPr>
          </w:p>
        </w:tc>
        <w:tc>
          <w:tcPr>
            <w:tcW w:w="1183" w:type="dxa"/>
            <w:vMerge/>
            <w:vAlign w:val="center"/>
          </w:tcPr>
          <w:p w14:paraId="52579ECD" w14:textId="04ECC7B4" w:rsidR="00F5032F" w:rsidRDefault="00F5032F" w:rsidP="00D20A1E">
            <w:pPr>
              <w:keepNext/>
              <w:keepLines/>
              <w:widowControl/>
              <w:spacing w:before="60" w:after="60"/>
              <w:rPr>
                <w:rFonts w:cs="Arial"/>
                <w:sz w:val="20"/>
                <w:szCs w:val="20"/>
              </w:rPr>
            </w:pPr>
          </w:p>
        </w:tc>
        <w:tc>
          <w:tcPr>
            <w:tcW w:w="1048" w:type="dxa"/>
            <w:vMerge/>
            <w:vAlign w:val="center"/>
          </w:tcPr>
          <w:p w14:paraId="06740B6C" w14:textId="68DF31ED" w:rsidR="00F5032F" w:rsidRPr="00CC72F8" w:rsidRDefault="00F5032F" w:rsidP="00D20A1E">
            <w:pPr>
              <w:keepNext/>
              <w:keepLines/>
              <w:widowControl/>
              <w:spacing w:before="60" w:after="60"/>
              <w:rPr>
                <w:rFonts w:cs="Arial"/>
                <w:sz w:val="20"/>
                <w:szCs w:val="20"/>
              </w:rPr>
            </w:pPr>
          </w:p>
        </w:tc>
        <w:tc>
          <w:tcPr>
            <w:tcW w:w="2693" w:type="dxa"/>
            <w:vAlign w:val="center"/>
          </w:tcPr>
          <w:p w14:paraId="2CE6E5C2" w14:textId="15038E5E" w:rsidR="00F5032F" w:rsidRPr="00CC72F8" w:rsidRDefault="00D33726" w:rsidP="00D20A1E">
            <w:pPr>
              <w:keepNext/>
              <w:keepLines/>
              <w:widowControl/>
              <w:spacing w:before="60" w:after="60"/>
              <w:rPr>
                <w:rFonts w:cs="Arial"/>
                <w:color w:val="000000"/>
                <w:sz w:val="20"/>
                <w:szCs w:val="20"/>
              </w:rPr>
            </w:pPr>
            <w:r w:rsidRPr="000428F0">
              <w:rPr>
                <w:rFonts w:cs="Arial"/>
                <w:sz w:val="18"/>
                <w:szCs w:val="18"/>
              </w:rPr>
              <w:t>Plain</w:t>
            </w:r>
            <w:r>
              <w:rPr>
                <w:rFonts w:cs="Arial"/>
                <w:sz w:val="18"/>
                <w:szCs w:val="18"/>
              </w:rPr>
              <w:t xml:space="preserve"> /</w:t>
            </w:r>
            <w:r w:rsidRPr="000428F0">
              <w:rPr>
                <w:rFonts w:cs="Arial"/>
                <w:sz w:val="18"/>
                <w:szCs w:val="18"/>
              </w:rPr>
              <w:t xml:space="preserve"> flavoured </w:t>
            </w:r>
            <w:r>
              <w:rPr>
                <w:rFonts w:cs="Arial"/>
                <w:sz w:val="18"/>
                <w:szCs w:val="18"/>
              </w:rPr>
              <w:t>/</w:t>
            </w:r>
            <w:r w:rsidRPr="000428F0">
              <w:rPr>
                <w:rFonts w:cs="Arial"/>
                <w:sz w:val="18"/>
                <w:szCs w:val="18"/>
              </w:rPr>
              <w:t xml:space="preserve"> milkshakes</w:t>
            </w:r>
            <w:r>
              <w:rPr>
                <w:rFonts w:cs="Arial"/>
                <w:sz w:val="18"/>
                <w:szCs w:val="18"/>
              </w:rPr>
              <w:t xml:space="preserve"> / milk hot chocolate</w:t>
            </w:r>
          </w:p>
        </w:tc>
        <w:tc>
          <w:tcPr>
            <w:tcW w:w="1375" w:type="dxa"/>
            <w:vAlign w:val="center"/>
          </w:tcPr>
          <w:p w14:paraId="31090DCF" w14:textId="5C348050" w:rsidR="00F5032F" w:rsidRPr="00C74833" w:rsidRDefault="00F5032F" w:rsidP="00D20A1E">
            <w:pPr>
              <w:keepNext/>
              <w:keepLines/>
              <w:widowControl/>
              <w:tabs>
                <w:tab w:val="decimal" w:pos="744"/>
              </w:tabs>
              <w:spacing w:before="60" w:after="60"/>
              <w:rPr>
                <w:rFonts w:cs="Arial"/>
                <w:color w:val="000000"/>
                <w:sz w:val="20"/>
                <w:szCs w:val="20"/>
              </w:rPr>
            </w:pPr>
            <w:r w:rsidRPr="00C74833">
              <w:rPr>
                <w:rFonts w:cs="Arial"/>
                <w:color w:val="000000"/>
                <w:sz w:val="20"/>
                <w:szCs w:val="20"/>
              </w:rPr>
              <w:t>23</w:t>
            </w:r>
            <w:r w:rsidR="00190340">
              <w:rPr>
                <w:rFonts w:cs="Arial"/>
                <w:color w:val="000000"/>
                <w:sz w:val="20"/>
                <w:szCs w:val="20"/>
              </w:rPr>
              <w:t>3</w:t>
            </w:r>
          </w:p>
        </w:tc>
        <w:tc>
          <w:tcPr>
            <w:tcW w:w="1376" w:type="dxa"/>
            <w:vAlign w:val="center"/>
          </w:tcPr>
          <w:p w14:paraId="436378DE" w14:textId="4668D771" w:rsidR="00F5032F" w:rsidRPr="00C74833" w:rsidRDefault="00F5032F" w:rsidP="00D20A1E">
            <w:pPr>
              <w:keepNext/>
              <w:keepLines/>
              <w:widowControl/>
              <w:tabs>
                <w:tab w:val="decimal" w:pos="786"/>
              </w:tabs>
              <w:spacing w:before="60" w:after="60"/>
              <w:rPr>
                <w:rFonts w:cs="Arial"/>
                <w:color w:val="000000"/>
                <w:sz w:val="20"/>
                <w:szCs w:val="20"/>
              </w:rPr>
            </w:pPr>
            <w:r w:rsidRPr="00C74833">
              <w:rPr>
                <w:rFonts w:cs="Arial"/>
                <w:color w:val="000000"/>
                <w:sz w:val="20"/>
                <w:szCs w:val="20"/>
              </w:rPr>
              <w:t>28</w:t>
            </w:r>
            <w:r w:rsidR="00190340">
              <w:rPr>
                <w:rFonts w:cs="Arial"/>
                <w:color w:val="000000"/>
                <w:sz w:val="20"/>
                <w:szCs w:val="20"/>
              </w:rPr>
              <w:t>8</w:t>
            </w:r>
          </w:p>
        </w:tc>
        <w:tc>
          <w:tcPr>
            <w:tcW w:w="1376" w:type="dxa"/>
            <w:vAlign w:val="center"/>
          </w:tcPr>
          <w:p w14:paraId="5A20BF1A" w14:textId="45D48AFA" w:rsidR="00F5032F" w:rsidRPr="00D950A6" w:rsidRDefault="00F5032F" w:rsidP="00D20A1E">
            <w:pPr>
              <w:keepNext/>
              <w:keepLines/>
              <w:widowControl/>
              <w:tabs>
                <w:tab w:val="decimal" w:pos="828"/>
              </w:tabs>
              <w:spacing w:before="60" w:after="60"/>
              <w:rPr>
                <w:rFonts w:cs="Arial"/>
                <w:color w:val="000000"/>
                <w:sz w:val="20"/>
                <w:szCs w:val="20"/>
                <w:highlight w:val="yellow"/>
              </w:rPr>
            </w:pPr>
            <w:r w:rsidRPr="00C74833">
              <w:rPr>
                <w:rFonts w:cs="Arial"/>
                <w:color w:val="000000"/>
                <w:sz w:val="20"/>
                <w:szCs w:val="20"/>
              </w:rPr>
              <w:t>130</w:t>
            </w:r>
          </w:p>
        </w:tc>
        <w:tc>
          <w:tcPr>
            <w:tcW w:w="1376" w:type="dxa"/>
            <w:vAlign w:val="center"/>
          </w:tcPr>
          <w:p w14:paraId="35503C36" w14:textId="05E474C3" w:rsidR="00F5032F" w:rsidRPr="00D950A6" w:rsidRDefault="00F5032F" w:rsidP="00D20A1E">
            <w:pPr>
              <w:keepNext/>
              <w:keepLines/>
              <w:widowControl/>
              <w:spacing w:before="60" w:after="60"/>
              <w:jc w:val="center"/>
              <w:rPr>
                <w:rFonts w:cs="Arial"/>
                <w:color w:val="000000"/>
                <w:sz w:val="20"/>
                <w:szCs w:val="20"/>
                <w:highlight w:val="yellow"/>
              </w:rPr>
            </w:pPr>
            <w:r w:rsidRPr="00C74833">
              <w:rPr>
                <w:rFonts w:cs="Arial"/>
                <w:color w:val="000000"/>
                <w:sz w:val="20"/>
                <w:szCs w:val="20"/>
              </w:rPr>
              <w:t>235</w:t>
            </w:r>
          </w:p>
        </w:tc>
        <w:tc>
          <w:tcPr>
            <w:tcW w:w="1376" w:type="dxa"/>
            <w:vAlign w:val="center"/>
          </w:tcPr>
          <w:p w14:paraId="6222AF71" w14:textId="28600B72" w:rsidR="00F5032F" w:rsidRPr="00D950A6" w:rsidRDefault="00F5032F" w:rsidP="00D20A1E">
            <w:pPr>
              <w:keepNext/>
              <w:keepLines/>
              <w:widowControl/>
              <w:spacing w:before="60" w:after="60"/>
              <w:jc w:val="center"/>
              <w:rPr>
                <w:rFonts w:cs="Arial"/>
                <w:color w:val="000000"/>
                <w:sz w:val="20"/>
                <w:szCs w:val="20"/>
                <w:highlight w:val="yellow"/>
              </w:rPr>
            </w:pPr>
            <w:r w:rsidRPr="00C667B6">
              <w:rPr>
                <w:rFonts w:cs="Arial"/>
                <w:color w:val="000000"/>
                <w:sz w:val="20"/>
                <w:szCs w:val="20"/>
              </w:rPr>
              <w:t>258</w:t>
            </w:r>
          </w:p>
        </w:tc>
        <w:tc>
          <w:tcPr>
            <w:tcW w:w="1376" w:type="dxa"/>
            <w:vAlign w:val="center"/>
          </w:tcPr>
          <w:p w14:paraId="67B17B5C" w14:textId="11ADC759" w:rsidR="00F5032F" w:rsidRPr="00D950A6" w:rsidRDefault="00F5032F" w:rsidP="00D20A1E">
            <w:pPr>
              <w:keepNext/>
              <w:keepLines/>
              <w:widowControl/>
              <w:spacing w:before="60" w:after="60"/>
              <w:jc w:val="center"/>
              <w:rPr>
                <w:rFonts w:cs="Arial"/>
                <w:color w:val="000000"/>
                <w:sz w:val="20"/>
                <w:szCs w:val="20"/>
                <w:highlight w:val="yellow"/>
              </w:rPr>
            </w:pPr>
            <w:r>
              <w:rPr>
                <w:rFonts w:cs="Arial"/>
                <w:color w:val="000000"/>
                <w:sz w:val="20"/>
                <w:szCs w:val="20"/>
              </w:rPr>
              <w:t>200</w:t>
            </w:r>
          </w:p>
        </w:tc>
      </w:tr>
      <w:tr w:rsidR="00F5032F" w:rsidRPr="002152F5" w14:paraId="17D8D2D9" w14:textId="77777777" w:rsidTr="001F2E0C">
        <w:tc>
          <w:tcPr>
            <w:tcW w:w="995" w:type="dxa"/>
            <w:vMerge/>
          </w:tcPr>
          <w:p w14:paraId="09822497" w14:textId="357CB4A4" w:rsidR="00F5032F" w:rsidRPr="00CC72F8" w:rsidRDefault="00F5032F" w:rsidP="00D20A1E">
            <w:pPr>
              <w:keepNext/>
              <w:keepLines/>
              <w:widowControl/>
              <w:spacing w:before="60" w:after="60"/>
              <w:rPr>
                <w:rFonts w:cs="Arial"/>
                <w:sz w:val="20"/>
                <w:szCs w:val="20"/>
              </w:rPr>
            </w:pPr>
          </w:p>
        </w:tc>
        <w:tc>
          <w:tcPr>
            <w:tcW w:w="1183" w:type="dxa"/>
            <w:vMerge w:val="restart"/>
            <w:vAlign w:val="center"/>
          </w:tcPr>
          <w:p w14:paraId="38045B74" w14:textId="1F62CA15" w:rsidR="00F5032F" w:rsidRPr="00CC72F8" w:rsidRDefault="00F5032F" w:rsidP="00D20A1E">
            <w:pPr>
              <w:keepNext/>
              <w:keepLines/>
              <w:widowControl/>
              <w:spacing w:before="60" w:after="60"/>
              <w:rPr>
                <w:rFonts w:cs="Arial"/>
                <w:sz w:val="20"/>
                <w:szCs w:val="20"/>
              </w:rPr>
            </w:pPr>
            <w:r w:rsidRPr="00CC72F8">
              <w:rPr>
                <w:rFonts w:cs="Arial"/>
                <w:sz w:val="20"/>
                <w:szCs w:val="20"/>
              </w:rPr>
              <w:t>2008-09 ANS</w:t>
            </w:r>
          </w:p>
        </w:tc>
        <w:tc>
          <w:tcPr>
            <w:tcW w:w="1048" w:type="dxa"/>
            <w:vMerge w:val="restart"/>
            <w:vAlign w:val="center"/>
          </w:tcPr>
          <w:p w14:paraId="1A3550FA" w14:textId="77777777" w:rsidR="00F5032F" w:rsidRPr="00CC72F8" w:rsidRDefault="00F5032F" w:rsidP="00D20A1E">
            <w:pPr>
              <w:keepNext/>
              <w:keepLines/>
              <w:widowControl/>
              <w:spacing w:before="60" w:after="60"/>
              <w:rPr>
                <w:rFonts w:cs="Arial"/>
                <w:sz w:val="20"/>
                <w:szCs w:val="20"/>
              </w:rPr>
            </w:pPr>
            <w:r w:rsidRPr="00CC72F8">
              <w:rPr>
                <w:rFonts w:cs="Arial"/>
                <w:sz w:val="20"/>
                <w:szCs w:val="20"/>
              </w:rPr>
              <w:t>15 years &amp; above</w:t>
            </w:r>
          </w:p>
        </w:tc>
        <w:tc>
          <w:tcPr>
            <w:tcW w:w="2693" w:type="dxa"/>
            <w:vAlign w:val="center"/>
          </w:tcPr>
          <w:p w14:paraId="2BD1B282" w14:textId="4DB15879" w:rsidR="00F5032F" w:rsidRPr="00CC72F8" w:rsidRDefault="00F5032F" w:rsidP="00D20A1E">
            <w:pPr>
              <w:keepNext/>
              <w:keepLines/>
              <w:widowControl/>
              <w:spacing w:before="60" w:after="60"/>
              <w:rPr>
                <w:rFonts w:cs="Arial"/>
                <w:color w:val="000000"/>
                <w:sz w:val="20"/>
                <w:szCs w:val="20"/>
              </w:rPr>
            </w:pPr>
            <w:r w:rsidRPr="000428F0">
              <w:rPr>
                <w:rFonts w:cs="Arial"/>
                <w:sz w:val="18"/>
                <w:szCs w:val="18"/>
              </w:rPr>
              <w:t>Plain only</w:t>
            </w:r>
          </w:p>
        </w:tc>
        <w:tc>
          <w:tcPr>
            <w:tcW w:w="1375" w:type="dxa"/>
            <w:vAlign w:val="center"/>
          </w:tcPr>
          <w:p w14:paraId="0A704683" w14:textId="70EC7FF7" w:rsidR="00F5032F" w:rsidRPr="000D7A11" w:rsidRDefault="00F5032F" w:rsidP="00D20A1E">
            <w:pPr>
              <w:keepNext/>
              <w:keepLines/>
              <w:widowControl/>
              <w:tabs>
                <w:tab w:val="decimal" w:pos="744"/>
              </w:tabs>
              <w:spacing w:before="60" w:after="60"/>
              <w:rPr>
                <w:rFonts w:cs="Arial"/>
                <w:color w:val="000000"/>
                <w:sz w:val="20"/>
                <w:szCs w:val="20"/>
              </w:rPr>
            </w:pPr>
            <w:r w:rsidRPr="000D7A11">
              <w:rPr>
                <w:rFonts w:cs="Arial"/>
                <w:color w:val="000000"/>
                <w:sz w:val="20"/>
                <w:szCs w:val="20"/>
              </w:rPr>
              <w:t>180</w:t>
            </w:r>
          </w:p>
        </w:tc>
        <w:tc>
          <w:tcPr>
            <w:tcW w:w="1376" w:type="dxa"/>
            <w:vAlign w:val="center"/>
          </w:tcPr>
          <w:p w14:paraId="104DD234" w14:textId="3BF607B0" w:rsidR="00F5032F" w:rsidRPr="00D950A6" w:rsidRDefault="00F5032F" w:rsidP="00D20A1E">
            <w:pPr>
              <w:keepNext/>
              <w:keepLines/>
              <w:widowControl/>
              <w:tabs>
                <w:tab w:val="decimal" w:pos="786"/>
              </w:tabs>
              <w:spacing w:before="60" w:after="60"/>
              <w:rPr>
                <w:rFonts w:cs="Arial"/>
                <w:color w:val="000000"/>
                <w:sz w:val="20"/>
                <w:szCs w:val="20"/>
                <w:highlight w:val="yellow"/>
              </w:rPr>
            </w:pPr>
            <w:r w:rsidRPr="007D30B4">
              <w:rPr>
                <w:rFonts w:cs="Arial"/>
                <w:color w:val="000000"/>
                <w:sz w:val="20"/>
                <w:szCs w:val="20"/>
              </w:rPr>
              <w:t>228</w:t>
            </w:r>
          </w:p>
        </w:tc>
        <w:tc>
          <w:tcPr>
            <w:tcW w:w="1376" w:type="dxa"/>
            <w:vAlign w:val="center"/>
          </w:tcPr>
          <w:p w14:paraId="1485DABA" w14:textId="77777777" w:rsidR="00F5032F" w:rsidRPr="000D7A11" w:rsidRDefault="00F5032F" w:rsidP="00D20A1E">
            <w:pPr>
              <w:keepNext/>
              <w:keepLines/>
              <w:widowControl/>
              <w:tabs>
                <w:tab w:val="decimal" w:pos="828"/>
              </w:tabs>
              <w:spacing w:before="60" w:after="60"/>
              <w:rPr>
                <w:rFonts w:cs="Arial"/>
                <w:color w:val="000000"/>
                <w:sz w:val="20"/>
                <w:szCs w:val="20"/>
              </w:rPr>
            </w:pPr>
            <w:r w:rsidRPr="000D7A11">
              <w:rPr>
                <w:rFonts w:cs="Arial"/>
                <w:color w:val="000000"/>
                <w:sz w:val="20"/>
                <w:szCs w:val="20"/>
              </w:rPr>
              <w:t>146</w:t>
            </w:r>
          </w:p>
        </w:tc>
        <w:tc>
          <w:tcPr>
            <w:tcW w:w="1376" w:type="dxa"/>
            <w:vAlign w:val="center"/>
          </w:tcPr>
          <w:p w14:paraId="6E24D022" w14:textId="3C1511B7" w:rsidR="00F5032F" w:rsidRPr="000D7A11" w:rsidRDefault="00F5032F" w:rsidP="00D20A1E">
            <w:pPr>
              <w:keepNext/>
              <w:keepLines/>
              <w:widowControl/>
              <w:spacing w:before="60" w:after="60"/>
              <w:jc w:val="center"/>
              <w:rPr>
                <w:rFonts w:cs="Arial"/>
                <w:color w:val="000000"/>
                <w:sz w:val="20"/>
                <w:szCs w:val="20"/>
              </w:rPr>
            </w:pPr>
            <w:r w:rsidRPr="000D7A11">
              <w:rPr>
                <w:rFonts w:cs="Arial"/>
                <w:color w:val="000000"/>
                <w:sz w:val="20"/>
                <w:szCs w:val="20"/>
              </w:rPr>
              <w:t>215</w:t>
            </w:r>
          </w:p>
        </w:tc>
        <w:tc>
          <w:tcPr>
            <w:tcW w:w="1376" w:type="dxa"/>
            <w:vAlign w:val="center"/>
          </w:tcPr>
          <w:p w14:paraId="15519BE5" w14:textId="77777777" w:rsidR="00F5032F" w:rsidRPr="000D7A11" w:rsidRDefault="00F5032F" w:rsidP="00D20A1E">
            <w:pPr>
              <w:keepNext/>
              <w:keepLines/>
              <w:widowControl/>
              <w:spacing w:before="60" w:after="60"/>
              <w:jc w:val="center"/>
              <w:rPr>
                <w:rFonts w:cs="Arial"/>
                <w:color w:val="000000"/>
                <w:sz w:val="20"/>
                <w:szCs w:val="20"/>
              </w:rPr>
            </w:pPr>
            <w:r w:rsidRPr="000D7A11">
              <w:rPr>
                <w:rFonts w:cs="Arial"/>
                <w:color w:val="000000"/>
                <w:sz w:val="20"/>
                <w:szCs w:val="20"/>
              </w:rPr>
              <w:t>135</w:t>
            </w:r>
          </w:p>
        </w:tc>
        <w:tc>
          <w:tcPr>
            <w:tcW w:w="1376" w:type="dxa"/>
            <w:vAlign w:val="center"/>
          </w:tcPr>
          <w:p w14:paraId="76D6571C" w14:textId="0F556FF3" w:rsidR="00F5032F" w:rsidRPr="00D950A6" w:rsidRDefault="00F5032F" w:rsidP="00D20A1E">
            <w:pPr>
              <w:keepNext/>
              <w:keepLines/>
              <w:widowControl/>
              <w:spacing w:before="60" w:after="60"/>
              <w:jc w:val="center"/>
              <w:rPr>
                <w:rFonts w:cs="Arial"/>
                <w:color w:val="000000"/>
                <w:sz w:val="20"/>
                <w:szCs w:val="20"/>
                <w:highlight w:val="yellow"/>
              </w:rPr>
            </w:pPr>
            <w:r w:rsidRPr="000D7A11">
              <w:rPr>
                <w:rFonts w:cs="Arial"/>
                <w:color w:val="000000"/>
                <w:sz w:val="20"/>
                <w:szCs w:val="20"/>
              </w:rPr>
              <w:t>247</w:t>
            </w:r>
          </w:p>
        </w:tc>
      </w:tr>
      <w:tr w:rsidR="00F5032F" w:rsidRPr="002152F5" w14:paraId="0BDFAC27" w14:textId="77777777" w:rsidTr="001F2E0C">
        <w:tc>
          <w:tcPr>
            <w:tcW w:w="995" w:type="dxa"/>
            <w:vMerge/>
          </w:tcPr>
          <w:p w14:paraId="604C7A37" w14:textId="51AB27E9" w:rsidR="00F5032F" w:rsidRPr="00CC72F8" w:rsidRDefault="00F5032F" w:rsidP="00D20A1E">
            <w:pPr>
              <w:keepNext/>
              <w:keepLines/>
              <w:widowControl/>
              <w:spacing w:before="60" w:after="60"/>
              <w:rPr>
                <w:rFonts w:cs="Arial"/>
                <w:sz w:val="20"/>
                <w:szCs w:val="20"/>
              </w:rPr>
            </w:pPr>
          </w:p>
        </w:tc>
        <w:tc>
          <w:tcPr>
            <w:tcW w:w="1183" w:type="dxa"/>
            <w:vMerge/>
            <w:vAlign w:val="center"/>
          </w:tcPr>
          <w:p w14:paraId="70F98265" w14:textId="77777777" w:rsidR="00F5032F" w:rsidRDefault="00F5032F" w:rsidP="00D20A1E">
            <w:pPr>
              <w:keepNext/>
              <w:keepLines/>
              <w:widowControl/>
              <w:spacing w:before="60" w:after="60"/>
              <w:rPr>
                <w:rFonts w:cs="Arial"/>
                <w:sz w:val="20"/>
                <w:szCs w:val="20"/>
              </w:rPr>
            </w:pPr>
          </w:p>
        </w:tc>
        <w:tc>
          <w:tcPr>
            <w:tcW w:w="1048" w:type="dxa"/>
            <w:vMerge/>
            <w:vAlign w:val="center"/>
          </w:tcPr>
          <w:p w14:paraId="2F0C448B" w14:textId="77777777" w:rsidR="00F5032F" w:rsidRPr="00CC72F8" w:rsidRDefault="00F5032F" w:rsidP="00D20A1E">
            <w:pPr>
              <w:keepNext/>
              <w:keepLines/>
              <w:widowControl/>
              <w:spacing w:before="60" w:after="60"/>
              <w:rPr>
                <w:rFonts w:cs="Arial"/>
                <w:sz w:val="20"/>
                <w:szCs w:val="20"/>
              </w:rPr>
            </w:pPr>
          </w:p>
        </w:tc>
        <w:tc>
          <w:tcPr>
            <w:tcW w:w="2693" w:type="dxa"/>
            <w:vAlign w:val="center"/>
          </w:tcPr>
          <w:p w14:paraId="04AE58E6" w14:textId="3F1DD6DA" w:rsidR="00F5032F" w:rsidRPr="00CC72F8" w:rsidRDefault="00D33726" w:rsidP="00D20A1E">
            <w:pPr>
              <w:keepNext/>
              <w:keepLines/>
              <w:widowControl/>
              <w:spacing w:before="60" w:after="60"/>
              <w:rPr>
                <w:rFonts w:cs="Arial"/>
                <w:color w:val="000000"/>
                <w:sz w:val="20"/>
                <w:szCs w:val="20"/>
              </w:rPr>
            </w:pPr>
            <w:r w:rsidRPr="000428F0">
              <w:rPr>
                <w:rFonts w:cs="Arial"/>
                <w:sz w:val="18"/>
                <w:szCs w:val="18"/>
              </w:rPr>
              <w:t>Plain</w:t>
            </w:r>
            <w:r>
              <w:rPr>
                <w:rFonts w:cs="Arial"/>
                <w:sz w:val="18"/>
                <w:szCs w:val="18"/>
              </w:rPr>
              <w:t xml:space="preserve"> /</w:t>
            </w:r>
            <w:r w:rsidRPr="000428F0">
              <w:rPr>
                <w:rFonts w:cs="Arial"/>
                <w:sz w:val="18"/>
                <w:szCs w:val="18"/>
              </w:rPr>
              <w:t xml:space="preserve"> flavoured </w:t>
            </w:r>
            <w:r>
              <w:rPr>
                <w:rFonts w:cs="Arial"/>
                <w:sz w:val="18"/>
                <w:szCs w:val="18"/>
              </w:rPr>
              <w:t>/</w:t>
            </w:r>
            <w:r w:rsidRPr="000428F0">
              <w:rPr>
                <w:rFonts w:cs="Arial"/>
                <w:sz w:val="18"/>
                <w:szCs w:val="18"/>
              </w:rPr>
              <w:t xml:space="preserve"> milkshakes</w:t>
            </w:r>
            <w:r>
              <w:rPr>
                <w:rFonts w:cs="Arial"/>
                <w:sz w:val="18"/>
                <w:szCs w:val="18"/>
              </w:rPr>
              <w:t xml:space="preserve"> / milk hot chocolate</w:t>
            </w:r>
          </w:p>
        </w:tc>
        <w:tc>
          <w:tcPr>
            <w:tcW w:w="1375" w:type="dxa"/>
            <w:vAlign w:val="center"/>
          </w:tcPr>
          <w:p w14:paraId="2F951F36" w14:textId="7B9C9593" w:rsidR="00F5032F" w:rsidRPr="000D7A11" w:rsidRDefault="00F5032F" w:rsidP="00D20A1E">
            <w:pPr>
              <w:keepNext/>
              <w:keepLines/>
              <w:widowControl/>
              <w:tabs>
                <w:tab w:val="decimal" w:pos="744"/>
              </w:tabs>
              <w:spacing w:before="60" w:after="60"/>
              <w:rPr>
                <w:rFonts w:cs="Arial"/>
                <w:color w:val="000000"/>
                <w:sz w:val="20"/>
                <w:szCs w:val="20"/>
              </w:rPr>
            </w:pPr>
            <w:r w:rsidRPr="000D7A11">
              <w:rPr>
                <w:rFonts w:cs="Arial"/>
                <w:color w:val="000000"/>
                <w:sz w:val="20"/>
                <w:szCs w:val="20"/>
              </w:rPr>
              <w:t>1</w:t>
            </w:r>
            <w:r w:rsidR="00D33726">
              <w:rPr>
                <w:rFonts w:cs="Arial"/>
                <w:color w:val="000000"/>
                <w:sz w:val="20"/>
                <w:szCs w:val="20"/>
              </w:rPr>
              <w:t>91</w:t>
            </w:r>
          </w:p>
        </w:tc>
        <w:tc>
          <w:tcPr>
            <w:tcW w:w="1376" w:type="dxa"/>
            <w:vAlign w:val="center"/>
          </w:tcPr>
          <w:p w14:paraId="06DB222D" w14:textId="6E466044" w:rsidR="00F5032F" w:rsidRPr="000D7A11" w:rsidRDefault="00D33726" w:rsidP="00D20A1E">
            <w:pPr>
              <w:keepNext/>
              <w:keepLines/>
              <w:widowControl/>
              <w:tabs>
                <w:tab w:val="decimal" w:pos="786"/>
              </w:tabs>
              <w:spacing w:before="60" w:after="60"/>
              <w:rPr>
                <w:rFonts w:cs="Arial"/>
                <w:color w:val="000000"/>
                <w:sz w:val="20"/>
                <w:szCs w:val="20"/>
              </w:rPr>
            </w:pPr>
            <w:r w:rsidRPr="000D7A11">
              <w:rPr>
                <w:rFonts w:cs="Arial"/>
                <w:color w:val="000000"/>
                <w:sz w:val="20"/>
                <w:szCs w:val="20"/>
              </w:rPr>
              <w:t>2</w:t>
            </w:r>
            <w:r>
              <w:rPr>
                <w:rFonts w:cs="Arial"/>
                <w:color w:val="000000"/>
                <w:sz w:val="20"/>
                <w:szCs w:val="20"/>
              </w:rPr>
              <w:t>40</w:t>
            </w:r>
          </w:p>
        </w:tc>
        <w:tc>
          <w:tcPr>
            <w:tcW w:w="1376" w:type="dxa"/>
            <w:vAlign w:val="center"/>
          </w:tcPr>
          <w:p w14:paraId="1FBADDBC" w14:textId="4302C805" w:rsidR="00F5032F" w:rsidRPr="00D950A6" w:rsidRDefault="00F5032F" w:rsidP="00D20A1E">
            <w:pPr>
              <w:keepNext/>
              <w:keepLines/>
              <w:widowControl/>
              <w:tabs>
                <w:tab w:val="decimal" w:pos="828"/>
              </w:tabs>
              <w:spacing w:before="60" w:after="60"/>
              <w:rPr>
                <w:rFonts w:cs="Arial"/>
                <w:color w:val="000000"/>
                <w:sz w:val="20"/>
                <w:szCs w:val="20"/>
                <w:highlight w:val="yellow"/>
              </w:rPr>
            </w:pPr>
            <w:r w:rsidRPr="000D7A11">
              <w:rPr>
                <w:rFonts w:cs="Arial"/>
                <w:color w:val="000000"/>
                <w:sz w:val="20"/>
                <w:szCs w:val="20"/>
              </w:rPr>
              <w:t>146</w:t>
            </w:r>
          </w:p>
        </w:tc>
        <w:tc>
          <w:tcPr>
            <w:tcW w:w="1376" w:type="dxa"/>
            <w:vAlign w:val="center"/>
          </w:tcPr>
          <w:p w14:paraId="5ED9306A" w14:textId="5CC039B6" w:rsidR="00F5032F" w:rsidRPr="000D7A11" w:rsidRDefault="00F5032F" w:rsidP="00D20A1E">
            <w:pPr>
              <w:keepNext/>
              <w:keepLines/>
              <w:widowControl/>
              <w:spacing w:before="60" w:after="60"/>
              <w:jc w:val="center"/>
              <w:rPr>
                <w:rFonts w:cs="Arial"/>
                <w:color w:val="000000"/>
                <w:sz w:val="20"/>
                <w:szCs w:val="20"/>
              </w:rPr>
            </w:pPr>
            <w:r w:rsidRPr="000D7A11">
              <w:rPr>
                <w:rFonts w:cs="Arial"/>
                <w:color w:val="000000"/>
                <w:sz w:val="20"/>
                <w:szCs w:val="20"/>
              </w:rPr>
              <w:t>214</w:t>
            </w:r>
          </w:p>
        </w:tc>
        <w:tc>
          <w:tcPr>
            <w:tcW w:w="1376" w:type="dxa"/>
            <w:vAlign w:val="center"/>
          </w:tcPr>
          <w:p w14:paraId="4D233869" w14:textId="5572E969" w:rsidR="00F5032F" w:rsidRPr="00D950A6" w:rsidRDefault="00F5032F" w:rsidP="00D20A1E">
            <w:pPr>
              <w:keepNext/>
              <w:keepLines/>
              <w:widowControl/>
              <w:spacing w:before="60" w:after="60"/>
              <w:jc w:val="center"/>
              <w:rPr>
                <w:rFonts w:cs="Arial"/>
                <w:color w:val="000000"/>
                <w:sz w:val="20"/>
                <w:szCs w:val="20"/>
                <w:highlight w:val="yellow"/>
              </w:rPr>
            </w:pPr>
            <w:r w:rsidRPr="000D7A11">
              <w:rPr>
                <w:rFonts w:cs="Arial"/>
                <w:color w:val="000000"/>
                <w:sz w:val="20"/>
                <w:szCs w:val="20"/>
              </w:rPr>
              <w:t>135</w:t>
            </w:r>
          </w:p>
        </w:tc>
        <w:tc>
          <w:tcPr>
            <w:tcW w:w="1376" w:type="dxa"/>
            <w:vAlign w:val="center"/>
          </w:tcPr>
          <w:p w14:paraId="5B37EF2E" w14:textId="53B7EF10" w:rsidR="00F5032F" w:rsidRPr="000D7A11" w:rsidRDefault="00F5032F" w:rsidP="00D20A1E">
            <w:pPr>
              <w:keepNext/>
              <w:keepLines/>
              <w:widowControl/>
              <w:spacing w:before="60" w:after="60"/>
              <w:jc w:val="center"/>
              <w:rPr>
                <w:rFonts w:cs="Arial"/>
                <w:color w:val="000000"/>
                <w:sz w:val="20"/>
                <w:szCs w:val="20"/>
              </w:rPr>
            </w:pPr>
            <w:r w:rsidRPr="000D7A11">
              <w:rPr>
                <w:rFonts w:cs="Arial"/>
                <w:color w:val="000000"/>
                <w:sz w:val="20"/>
                <w:szCs w:val="20"/>
              </w:rPr>
              <w:t>250</w:t>
            </w:r>
          </w:p>
        </w:tc>
      </w:tr>
    </w:tbl>
    <w:p w14:paraId="741D841A" w14:textId="45F28DAB" w:rsidR="006B2784" w:rsidRPr="00E4287E" w:rsidRDefault="00D24122" w:rsidP="00D20A1E">
      <w:pPr>
        <w:widowControl/>
        <w:spacing w:before="20" w:after="20"/>
        <w:rPr>
          <w:sz w:val="18"/>
          <w:szCs w:val="18"/>
        </w:rPr>
      </w:pPr>
      <w:r w:rsidRPr="00E4287E">
        <w:rPr>
          <w:sz w:val="18"/>
          <w:szCs w:val="18"/>
          <w:vertAlign w:val="superscript"/>
        </w:rPr>
        <w:t>☼</w:t>
      </w:r>
      <w:r w:rsidR="006B2784" w:rsidRPr="00E4287E">
        <w:rPr>
          <w:sz w:val="18"/>
          <w:szCs w:val="18"/>
        </w:rPr>
        <w:t xml:space="preserve"> </w:t>
      </w:r>
      <w:r w:rsidR="00C93E2A">
        <w:rPr>
          <w:sz w:val="18"/>
          <w:szCs w:val="18"/>
        </w:rPr>
        <w:tab/>
      </w:r>
      <w:r w:rsidR="00606E10" w:rsidRPr="00E4287E">
        <w:rPr>
          <w:sz w:val="18"/>
          <w:szCs w:val="18"/>
        </w:rPr>
        <w:t>B</w:t>
      </w:r>
      <w:r w:rsidR="006B2784" w:rsidRPr="00E4287E">
        <w:rPr>
          <w:sz w:val="18"/>
          <w:szCs w:val="18"/>
        </w:rPr>
        <w:t>ased on consumption from Day 1 only</w:t>
      </w:r>
    </w:p>
    <w:p w14:paraId="3AF79B20" w14:textId="77777777" w:rsidR="00675B47" w:rsidRPr="00675B47" w:rsidRDefault="00675B47" w:rsidP="00D20A1E">
      <w:pPr>
        <w:widowControl/>
        <w:spacing w:before="20" w:after="20"/>
        <w:rPr>
          <w:sz w:val="18"/>
          <w:szCs w:val="18"/>
          <w:vertAlign w:val="superscript"/>
        </w:rPr>
      </w:pPr>
      <w:r w:rsidRPr="00675B47">
        <w:rPr>
          <w:sz w:val="18"/>
          <w:szCs w:val="18"/>
          <w:vertAlign w:val="superscript"/>
        </w:rPr>
        <w:t>☼☼</w:t>
      </w:r>
      <w:r w:rsidRPr="00675B47">
        <w:rPr>
          <w:sz w:val="18"/>
          <w:szCs w:val="18"/>
          <w:vertAlign w:val="superscript"/>
        </w:rPr>
        <w:tab/>
      </w:r>
      <w:r w:rsidRPr="00675B47">
        <w:rPr>
          <w:sz w:val="18"/>
          <w:szCs w:val="18"/>
        </w:rPr>
        <w:t>Derived from CURF raw data (ABS, 2014a))</w:t>
      </w:r>
    </w:p>
    <w:p w14:paraId="0FFB4EA1" w14:textId="5A1F9C75" w:rsidR="009D0BA0" w:rsidRPr="00E4287E" w:rsidRDefault="009D0BA0" w:rsidP="00D20A1E">
      <w:pPr>
        <w:widowControl/>
        <w:spacing w:before="20" w:after="20"/>
        <w:rPr>
          <w:sz w:val="18"/>
          <w:szCs w:val="18"/>
        </w:rPr>
      </w:pPr>
      <w:r w:rsidRPr="009D0BA0">
        <w:rPr>
          <w:rFonts w:cs="Arial"/>
          <w:color w:val="000000"/>
          <w:sz w:val="20"/>
          <w:szCs w:val="20"/>
        </w:rPr>
        <w:t>ʊ</w:t>
      </w:r>
      <w:r w:rsidRPr="009D0BA0">
        <w:rPr>
          <w:rFonts w:cs="Arial"/>
          <w:color w:val="000000"/>
          <w:sz w:val="20"/>
          <w:szCs w:val="20"/>
          <w:vertAlign w:val="superscript"/>
        </w:rPr>
        <w:tab/>
      </w:r>
      <w:r w:rsidRPr="009D0BA0">
        <w:rPr>
          <w:rFonts w:cs="Arial"/>
          <w:color w:val="000000"/>
          <w:sz w:val="20"/>
          <w:szCs w:val="20"/>
        </w:rPr>
        <w:t>Insufficient consumers</w:t>
      </w:r>
      <w:r w:rsidR="00C74833">
        <w:rPr>
          <w:rFonts w:cs="Arial"/>
          <w:color w:val="000000"/>
          <w:sz w:val="20"/>
          <w:szCs w:val="20"/>
        </w:rPr>
        <w:t xml:space="preserve"> to derive statistics</w:t>
      </w:r>
    </w:p>
    <w:p w14:paraId="12D30403" w14:textId="77777777" w:rsidR="006B2784" w:rsidRDefault="006B2784" w:rsidP="00D20A1E">
      <w:pPr>
        <w:widowControl/>
      </w:pPr>
    </w:p>
    <w:p w14:paraId="444DAB0D" w14:textId="77777777" w:rsidR="006B2784" w:rsidRDefault="006B2784" w:rsidP="00D20A1E">
      <w:pPr>
        <w:widowControl/>
      </w:pPr>
      <w:r>
        <w:br w:type="page"/>
      </w:r>
    </w:p>
    <w:p w14:paraId="72A7E1E5" w14:textId="6847DE2E" w:rsidR="006B2784" w:rsidRDefault="006B2784" w:rsidP="00D20A1E">
      <w:pPr>
        <w:pStyle w:val="FSTableTitle"/>
        <w:widowControl/>
      </w:pPr>
      <w:bookmarkStart w:id="199" w:name="_Ref417649119"/>
      <w:r>
        <w:lastRenderedPageBreak/>
        <w:t>Table A1.</w:t>
      </w:r>
      <w:fldSimple w:instr=" SEQ Table_A1. \* ARABIC ">
        <w:r w:rsidR="00047581">
          <w:rPr>
            <w:noProof/>
          </w:rPr>
          <w:t>4</w:t>
        </w:r>
      </w:fldSimple>
      <w:bookmarkEnd w:id="199"/>
      <w:r>
        <w:t>:</w:t>
      </w:r>
      <w:r w:rsidR="00F6296A">
        <w:t xml:space="preserve"> </w:t>
      </w:r>
      <w:r w:rsidRPr="00BB6F7F">
        <w:t>Percentage contribution of milk</w:t>
      </w:r>
      <w:r w:rsidR="001E67B0">
        <w:rPr>
          <w:rStyle w:val="FootnoteReference"/>
        </w:rPr>
        <w:footnoteReference w:id="17"/>
      </w:r>
      <w:r w:rsidRPr="00BB6F7F">
        <w:t xml:space="preserve"> to estimated nutrient intakes for Australia</w:t>
      </w:r>
    </w:p>
    <w:p w14:paraId="06C8C4BA" w14:textId="77777777" w:rsidR="0023423F" w:rsidRPr="0023423F" w:rsidRDefault="0023423F" w:rsidP="0023423F"/>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0"/>
        <w:gridCol w:w="897"/>
        <w:gridCol w:w="897"/>
        <w:gridCol w:w="898"/>
        <w:gridCol w:w="867"/>
        <w:gridCol w:w="928"/>
        <w:gridCol w:w="898"/>
        <w:gridCol w:w="898"/>
        <w:gridCol w:w="959"/>
        <w:gridCol w:w="836"/>
        <w:gridCol w:w="898"/>
        <w:gridCol w:w="898"/>
        <w:gridCol w:w="898"/>
        <w:gridCol w:w="898"/>
        <w:gridCol w:w="892"/>
      </w:tblGrid>
      <w:tr w:rsidR="006B2784" w:rsidRPr="001D1F2F" w14:paraId="01BBCB21" w14:textId="77777777" w:rsidTr="00577EF3">
        <w:trPr>
          <w:trHeight w:val="276"/>
        </w:trPr>
        <w:tc>
          <w:tcPr>
            <w:tcW w:w="508" w:type="pct"/>
            <w:vMerge w:val="restart"/>
            <w:shd w:val="clear" w:color="auto" w:fill="B8CCE4" w:themeFill="accent1" w:themeFillTint="66"/>
            <w:noWrap/>
            <w:tcMar>
              <w:top w:w="15" w:type="dxa"/>
              <w:left w:w="15" w:type="dxa"/>
              <w:bottom w:w="0" w:type="dxa"/>
              <w:right w:w="15" w:type="dxa"/>
            </w:tcMar>
            <w:vAlign w:val="center"/>
          </w:tcPr>
          <w:p w14:paraId="2D91F5AB" w14:textId="77777777" w:rsidR="006B2784" w:rsidRPr="001D1F2F" w:rsidRDefault="006B2784" w:rsidP="00D20A1E">
            <w:pPr>
              <w:widowControl/>
              <w:spacing w:before="40" w:after="40"/>
              <w:rPr>
                <w:rFonts w:eastAsia="Arial Unicode MS" w:cs="Arial"/>
                <w:b/>
                <w:bCs/>
                <w:sz w:val="16"/>
                <w:szCs w:val="16"/>
              </w:rPr>
            </w:pPr>
            <w:r w:rsidRPr="001D1F2F">
              <w:rPr>
                <w:rFonts w:cs="Arial"/>
                <w:b/>
                <w:bCs/>
                <w:sz w:val="16"/>
                <w:szCs w:val="16"/>
              </w:rPr>
              <w:t>Nutrient</w:t>
            </w:r>
          </w:p>
        </w:tc>
        <w:tc>
          <w:tcPr>
            <w:tcW w:w="4492" w:type="pct"/>
            <w:gridSpan w:val="14"/>
            <w:shd w:val="clear" w:color="auto" w:fill="B8CCE4" w:themeFill="accent1" w:themeFillTint="66"/>
            <w:noWrap/>
            <w:tcMar>
              <w:top w:w="15" w:type="dxa"/>
              <w:left w:w="15" w:type="dxa"/>
              <w:bottom w:w="0" w:type="dxa"/>
              <w:right w:w="15" w:type="dxa"/>
            </w:tcMar>
            <w:vAlign w:val="center"/>
          </w:tcPr>
          <w:p w14:paraId="538A751D" w14:textId="28AE1F1A" w:rsidR="006B2784" w:rsidRPr="001D1F2F" w:rsidRDefault="006B2784" w:rsidP="00D20A1E">
            <w:pPr>
              <w:widowControl/>
              <w:spacing w:before="40" w:after="40"/>
              <w:jc w:val="center"/>
              <w:rPr>
                <w:rFonts w:eastAsia="Arial Unicode MS" w:cs="Arial"/>
                <w:b/>
                <w:bCs/>
                <w:sz w:val="16"/>
                <w:szCs w:val="16"/>
              </w:rPr>
            </w:pPr>
            <w:r w:rsidRPr="001D1F2F">
              <w:rPr>
                <w:rFonts w:cs="Arial"/>
                <w:b/>
                <w:bCs/>
                <w:sz w:val="16"/>
                <w:szCs w:val="16"/>
              </w:rPr>
              <w:t>Percent contribution of milk (%)</w:t>
            </w:r>
            <w:r w:rsidR="002C5AF9" w:rsidRPr="00B52CE5">
              <w:rPr>
                <w:rFonts w:cs="Arial"/>
                <w:b/>
                <w:bCs/>
                <w:sz w:val="16"/>
                <w:szCs w:val="16"/>
                <w:vertAlign w:val="superscript"/>
              </w:rPr>
              <w:sym w:font="Wingdings 2" w:char="F0BF"/>
            </w:r>
          </w:p>
        </w:tc>
      </w:tr>
      <w:tr w:rsidR="006B2784" w:rsidRPr="001D1F2F" w14:paraId="645A8857" w14:textId="77777777" w:rsidTr="00577EF3">
        <w:trPr>
          <w:trHeight w:val="276"/>
        </w:trPr>
        <w:tc>
          <w:tcPr>
            <w:tcW w:w="508" w:type="pct"/>
            <w:vMerge/>
            <w:shd w:val="clear" w:color="auto" w:fill="B8CCE4" w:themeFill="accent1" w:themeFillTint="66"/>
            <w:noWrap/>
            <w:tcMar>
              <w:top w:w="15" w:type="dxa"/>
              <w:left w:w="15" w:type="dxa"/>
              <w:bottom w:w="0" w:type="dxa"/>
              <w:right w:w="15" w:type="dxa"/>
            </w:tcMar>
            <w:vAlign w:val="center"/>
          </w:tcPr>
          <w:p w14:paraId="1C6C728E" w14:textId="77777777" w:rsidR="006B2784" w:rsidRPr="001D1F2F" w:rsidRDefault="006B2784" w:rsidP="00D20A1E">
            <w:pPr>
              <w:widowControl/>
              <w:spacing w:before="40" w:after="40"/>
              <w:rPr>
                <w:rFonts w:eastAsia="Arial Unicode MS" w:cs="Arial"/>
                <w:b/>
                <w:bCs/>
                <w:sz w:val="16"/>
                <w:szCs w:val="16"/>
              </w:rPr>
            </w:pPr>
          </w:p>
        </w:tc>
        <w:tc>
          <w:tcPr>
            <w:tcW w:w="1273" w:type="pct"/>
            <w:gridSpan w:val="4"/>
            <w:shd w:val="clear" w:color="auto" w:fill="B8CCE4" w:themeFill="accent1" w:themeFillTint="66"/>
            <w:noWrap/>
            <w:tcMar>
              <w:top w:w="15" w:type="dxa"/>
              <w:left w:w="15" w:type="dxa"/>
              <w:bottom w:w="0" w:type="dxa"/>
              <w:right w:w="15" w:type="dxa"/>
            </w:tcMar>
            <w:vAlign w:val="center"/>
          </w:tcPr>
          <w:p w14:paraId="07736298" w14:textId="77777777" w:rsidR="006B2784" w:rsidRPr="001D1F2F" w:rsidRDefault="006B2784" w:rsidP="00D20A1E">
            <w:pPr>
              <w:widowControl/>
              <w:spacing w:before="40" w:after="40"/>
              <w:jc w:val="center"/>
              <w:rPr>
                <w:rFonts w:eastAsia="Arial Unicode MS" w:cs="Arial"/>
                <w:b/>
                <w:bCs/>
                <w:sz w:val="16"/>
                <w:szCs w:val="16"/>
              </w:rPr>
            </w:pPr>
            <w:r w:rsidRPr="001D1F2F">
              <w:rPr>
                <w:rFonts w:cs="Arial"/>
                <w:b/>
                <w:bCs/>
                <w:sz w:val="16"/>
                <w:szCs w:val="16"/>
              </w:rPr>
              <w:t>A500</w:t>
            </w:r>
          </w:p>
        </w:tc>
        <w:tc>
          <w:tcPr>
            <w:tcW w:w="3219" w:type="pct"/>
            <w:gridSpan w:val="10"/>
            <w:shd w:val="clear" w:color="auto" w:fill="B8CCE4" w:themeFill="accent1" w:themeFillTint="66"/>
            <w:noWrap/>
            <w:tcMar>
              <w:top w:w="15" w:type="dxa"/>
              <w:left w:w="15" w:type="dxa"/>
              <w:bottom w:w="0" w:type="dxa"/>
              <w:right w:w="15" w:type="dxa"/>
            </w:tcMar>
            <w:vAlign w:val="center"/>
          </w:tcPr>
          <w:p w14:paraId="709A23C1" w14:textId="7FAD0A0E" w:rsidR="006B2784" w:rsidRPr="001D1F2F" w:rsidRDefault="00BD6754" w:rsidP="00D20A1E">
            <w:pPr>
              <w:widowControl/>
              <w:spacing w:before="40" w:after="40"/>
              <w:jc w:val="center"/>
              <w:rPr>
                <w:rFonts w:eastAsia="Arial Unicode MS" w:cs="Arial"/>
                <w:b/>
                <w:bCs/>
                <w:sz w:val="16"/>
                <w:szCs w:val="16"/>
              </w:rPr>
            </w:pPr>
            <w:r>
              <w:rPr>
                <w:rFonts w:eastAsia="Arial Unicode MS" w:cs="Arial"/>
                <w:b/>
                <w:bCs/>
                <w:sz w:val="16"/>
                <w:szCs w:val="16"/>
              </w:rPr>
              <w:t>More recent</w:t>
            </w:r>
            <w:r w:rsidRPr="001D1F2F">
              <w:rPr>
                <w:rFonts w:eastAsia="Arial Unicode MS" w:cs="Arial"/>
                <w:b/>
                <w:bCs/>
                <w:sz w:val="16"/>
                <w:szCs w:val="16"/>
              </w:rPr>
              <w:t xml:space="preserve"> </w:t>
            </w:r>
            <w:r>
              <w:rPr>
                <w:rFonts w:eastAsia="Arial Unicode MS" w:cs="Arial"/>
                <w:b/>
                <w:bCs/>
                <w:sz w:val="16"/>
                <w:szCs w:val="16"/>
              </w:rPr>
              <w:t>data</w:t>
            </w:r>
          </w:p>
        </w:tc>
      </w:tr>
      <w:tr w:rsidR="006B2784" w:rsidRPr="001D1F2F" w14:paraId="203D4B37" w14:textId="77777777" w:rsidTr="00577EF3">
        <w:trPr>
          <w:trHeight w:val="432"/>
        </w:trPr>
        <w:tc>
          <w:tcPr>
            <w:tcW w:w="508" w:type="pct"/>
            <w:vMerge/>
            <w:shd w:val="clear" w:color="auto" w:fill="B8CCE4" w:themeFill="accent1" w:themeFillTint="66"/>
            <w:noWrap/>
            <w:tcMar>
              <w:top w:w="15" w:type="dxa"/>
              <w:left w:w="15" w:type="dxa"/>
              <w:bottom w:w="0" w:type="dxa"/>
              <w:right w:w="15" w:type="dxa"/>
            </w:tcMar>
            <w:vAlign w:val="center"/>
          </w:tcPr>
          <w:p w14:paraId="002D5ABC" w14:textId="77777777" w:rsidR="006B2784" w:rsidRPr="001D1F2F" w:rsidRDefault="006B2784" w:rsidP="00D20A1E">
            <w:pPr>
              <w:widowControl/>
              <w:spacing w:before="40" w:after="40"/>
              <w:rPr>
                <w:rFonts w:eastAsia="Arial Unicode MS" w:cs="Arial"/>
                <w:b/>
                <w:bCs/>
                <w:sz w:val="16"/>
                <w:szCs w:val="16"/>
              </w:rPr>
            </w:pPr>
          </w:p>
        </w:tc>
        <w:tc>
          <w:tcPr>
            <w:tcW w:w="1273" w:type="pct"/>
            <w:gridSpan w:val="4"/>
            <w:shd w:val="clear" w:color="auto" w:fill="B8CCE4" w:themeFill="accent1" w:themeFillTint="66"/>
            <w:noWrap/>
            <w:tcMar>
              <w:top w:w="15" w:type="dxa"/>
              <w:left w:w="15" w:type="dxa"/>
              <w:bottom w:w="0" w:type="dxa"/>
              <w:right w:w="15" w:type="dxa"/>
            </w:tcMar>
            <w:vAlign w:val="center"/>
          </w:tcPr>
          <w:p w14:paraId="66FE8BB4" w14:textId="77777777" w:rsidR="006B2784" w:rsidRPr="001D1F2F" w:rsidRDefault="006B2784" w:rsidP="00D20A1E">
            <w:pPr>
              <w:widowControl/>
              <w:spacing w:before="40" w:after="40"/>
              <w:jc w:val="center"/>
              <w:rPr>
                <w:rFonts w:eastAsia="Arial Unicode MS" w:cs="Arial"/>
                <w:b/>
                <w:bCs/>
                <w:sz w:val="16"/>
                <w:szCs w:val="16"/>
              </w:rPr>
            </w:pPr>
            <w:r w:rsidRPr="001D1F2F">
              <w:rPr>
                <w:rFonts w:cs="Arial"/>
                <w:b/>
                <w:bCs/>
                <w:sz w:val="16"/>
                <w:szCs w:val="16"/>
              </w:rPr>
              <w:t>1995 AusNNS</w:t>
            </w:r>
          </w:p>
        </w:tc>
        <w:tc>
          <w:tcPr>
            <w:tcW w:w="1317" w:type="pct"/>
            <w:gridSpan w:val="4"/>
            <w:shd w:val="clear" w:color="auto" w:fill="B8CCE4" w:themeFill="accent1" w:themeFillTint="66"/>
            <w:noWrap/>
            <w:tcMar>
              <w:top w:w="15" w:type="dxa"/>
              <w:left w:w="15" w:type="dxa"/>
              <w:bottom w:w="0" w:type="dxa"/>
              <w:right w:w="15" w:type="dxa"/>
            </w:tcMar>
            <w:vAlign w:val="center"/>
          </w:tcPr>
          <w:p w14:paraId="4E425514" w14:textId="3310C993" w:rsidR="006B2784" w:rsidRPr="001D1F2F" w:rsidRDefault="006B2784" w:rsidP="00D20A1E">
            <w:pPr>
              <w:widowControl/>
              <w:spacing w:before="40" w:after="40"/>
              <w:jc w:val="center"/>
              <w:rPr>
                <w:rFonts w:eastAsia="Arial Unicode MS" w:cs="Arial"/>
                <w:b/>
                <w:bCs/>
                <w:sz w:val="16"/>
                <w:szCs w:val="16"/>
              </w:rPr>
            </w:pPr>
            <w:r w:rsidRPr="001D1F2F">
              <w:rPr>
                <w:rFonts w:eastAsia="Arial Unicode MS" w:cs="Arial"/>
                <w:b/>
                <w:bCs/>
                <w:sz w:val="16"/>
                <w:szCs w:val="16"/>
              </w:rPr>
              <w:t>2007 ANCNPAS</w:t>
            </w:r>
            <w:r w:rsidR="00D24122" w:rsidRPr="00A62EBB">
              <w:rPr>
                <w:rFonts w:eastAsia="Arial Unicode MS" w:cs="Arial"/>
                <w:b/>
                <w:bCs/>
                <w:sz w:val="16"/>
                <w:szCs w:val="16"/>
                <w:vertAlign w:val="superscript"/>
              </w:rPr>
              <w:sym w:font="Webdings" w:char="F07E"/>
            </w:r>
          </w:p>
        </w:tc>
        <w:tc>
          <w:tcPr>
            <w:tcW w:w="1902" w:type="pct"/>
            <w:gridSpan w:val="6"/>
            <w:shd w:val="clear" w:color="auto" w:fill="B8CCE4" w:themeFill="accent1" w:themeFillTint="66"/>
            <w:vAlign w:val="center"/>
          </w:tcPr>
          <w:p w14:paraId="61C6BC93" w14:textId="16F17A1D" w:rsidR="006B2784" w:rsidRPr="001D1F2F" w:rsidRDefault="006B2784" w:rsidP="00D20A1E">
            <w:pPr>
              <w:widowControl/>
              <w:spacing w:before="40" w:after="40"/>
              <w:jc w:val="center"/>
              <w:rPr>
                <w:rFonts w:eastAsia="Arial Unicode MS" w:cs="Arial"/>
                <w:b/>
                <w:bCs/>
                <w:sz w:val="16"/>
                <w:szCs w:val="16"/>
              </w:rPr>
            </w:pPr>
            <w:r w:rsidRPr="001D1F2F">
              <w:rPr>
                <w:rFonts w:eastAsia="Arial Unicode MS" w:cs="Arial"/>
                <w:b/>
                <w:bCs/>
                <w:sz w:val="16"/>
                <w:szCs w:val="16"/>
              </w:rPr>
              <w:t>2011-12 NNPAS</w:t>
            </w:r>
            <w:r w:rsidR="00934B60" w:rsidRPr="00F6296A">
              <w:rPr>
                <w:rFonts w:eastAsia="Arial Unicode MS" w:cs="Arial"/>
                <w:b/>
                <w:bCs/>
                <w:sz w:val="16"/>
                <w:szCs w:val="16"/>
                <w:vertAlign w:val="superscript"/>
              </w:rPr>
              <w:sym w:font="Wingdings" w:char="F07A"/>
            </w:r>
          </w:p>
        </w:tc>
      </w:tr>
      <w:tr w:rsidR="006B2784" w:rsidRPr="001D1F2F" w14:paraId="4F05ED23" w14:textId="77777777" w:rsidTr="00577EF3">
        <w:trPr>
          <w:trHeight w:val="276"/>
        </w:trPr>
        <w:tc>
          <w:tcPr>
            <w:tcW w:w="508" w:type="pct"/>
            <w:vMerge/>
            <w:shd w:val="clear" w:color="auto" w:fill="B8CCE4" w:themeFill="accent1" w:themeFillTint="66"/>
            <w:noWrap/>
            <w:tcMar>
              <w:top w:w="15" w:type="dxa"/>
              <w:left w:w="15" w:type="dxa"/>
              <w:bottom w:w="0" w:type="dxa"/>
              <w:right w:w="15" w:type="dxa"/>
            </w:tcMar>
            <w:vAlign w:val="center"/>
          </w:tcPr>
          <w:p w14:paraId="6A7B4176" w14:textId="77777777" w:rsidR="006B2784" w:rsidRPr="001D1F2F" w:rsidRDefault="006B2784" w:rsidP="00D20A1E">
            <w:pPr>
              <w:widowControl/>
              <w:spacing w:before="40" w:after="40"/>
              <w:rPr>
                <w:rFonts w:eastAsia="Arial Unicode MS" w:cs="Arial"/>
                <w:b/>
                <w:bCs/>
                <w:sz w:val="16"/>
                <w:szCs w:val="16"/>
              </w:rPr>
            </w:pPr>
          </w:p>
        </w:tc>
        <w:tc>
          <w:tcPr>
            <w:tcW w:w="321" w:type="pct"/>
            <w:shd w:val="clear" w:color="auto" w:fill="B8CCE4" w:themeFill="accent1" w:themeFillTint="66"/>
            <w:noWrap/>
            <w:tcMar>
              <w:top w:w="15" w:type="dxa"/>
              <w:left w:w="15" w:type="dxa"/>
              <w:bottom w:w="0" w:type="dxa"/>
              <w:right w:w="15" w:type="dxa"/>
            </w:tcMar>
            <w:vAlign w:val="center"/>
          </w:tcPr>
          <w:p w14:paraId="158B4CD2" w14:textId="77777777" w:rsidR="006B2784" w:rsidRPr="001D1F2F" w:rsidRDefault="006B2784" w:rsidP="00D20A1E">
            <w:pPr>
              <w:widowControl/>
              <w:spacing w:before="40" w:after="40"/>
              <w:jc w:val="center"/>
              <w:rPr>
                <w:rFonts w:eastAsia="Arial Unicode MS" w:cs="Arial"/>
                <w:b/>
                <w:bCs/>
                <w:sz w:val="16"/>
                <w:szCs w:val="16"/>
              </w:rPr>
            </w:pPr>
            <w:r w:rsidRPr="001D1F2F">
              <w:rPr>
                <w:rFonts w:cs="Arial"/>
                <w:b/>
                <w:bCs/>
                <w:sz w:val="16"/>
                <w:szCs w:val="16"/>
              </w:rPr>
              <w:t>2 years and above</w:t>
            </w:r>
          </w:p>
        </w:tc>
        <w:tc>
          <w:tcPr>
            <w:tcW w:w="321" w:type="pct"/>
            <w:shd w:val="clear" w:color="auto" w:fill="B8CCE4" w:themeFill="accent1" w:themeFillTint="66"/>
            <w:noWrap/>
            <w:tcMar>
              <w:top w:w="15" w:type="dxa"/>
              <w:left w:w="15" w:type="dxa"/>
              <w:bottom w:w="0" w:type="dxa"/>
              <w:right w:w="15" w:type="dxa"/>
            </w:tcMar>
            <w:vAlign w:val="center"/>
          </w:tcPr>
          <w:p w14:paraId="1C0EDEEC" w14:textId="77777777" w:rsidR="006B2784" w:rsidRPr="001D1F2F" w:rsidRDefault="006B2784" w:rsidP="00D20A1E">
            <w:pPr>
              <w:widowControl/>
              <w:spacing w:before="40" w:after="40"/>
              <w:jc w:val="center"/>
              <w:rPr>
                <w:rFonts w:eastAsia="Arial Unicode MS" w:cs="Arial"/>
                <w:b/>
                <w:bCs/>
                <w:sz w:val="16"/>
                <w:szCs w:val="16"/>
              </w:rPr>
            </w:pPr>
            <w:r w:rsidRPr="001D1F2F">
              <w:rPr>
                <w:rFonts w:cs="Arial"/>
                <w:b/>
                <w:bCs/>
                <w:sz w:val="16"/>
                <w:szCs w:val="16"/>
              </w:rPr>
              <w:t>2-4 years</w:t>
            </w:r>
          </w:p>
        </w:tc>
        <w:tc>
          <w:tcPr>
            <w:tcW w:w="321" w:type="pct"/>
            <w:shd w:val="clear" w:color="auto" w:fill="B8CCE4" w:themeFill="accent1" w:themeFillTint="66"/>
            <w:noWrap/>
            <w:tcMar>
              <w:top w:w="15" w:type="dxa"/>
              <w:left w:w="15" w:type="dxa"/>
              <w:bottom w:w="0" w:type="dxa"/>
              <w:right w:w="15" w:type="dxa"/>
            </w:tcMar>
            <w:vAlign w:val="center"/>
          </w:tcPr>
          <w:p w14:paraId="018AB3EB" w14:textId="77777777" w:rsidR="006B2784" w:rsidRPr="001D1F2F" w:rsidRDefault="006B2784" w:rsidP="00D20A1E">
            <w:pPr>
              <w:widowControl/>
              <w:spacing w:before="40" w:after="40"/>
              <w:jc w:val="center"/>
              <w:rPr>
                <w:rFonts w:eastAsia="Arial Unicode MS" w:cs="Arial"/>
                <w:b/>
                <w:bCs/>
                <w:sz w:val="16"/>
                <w:szCs w:val="16"/>
              </w:rPr>
            </w:pPr>
            <w:r w:rsidRPr="001D1F2F">
              <w:rPr>
                <w:rFonts w:cs="Arial"/>
                <w:b/>
                <w:bCs/>
                <w:sz w:val="16"/>
                <w:szCs w:val="16"/>
              </w:rPr>
              <w:t>5-14 years</w:t>
            </w:r>
          </w:p>
        </w:tc>
        <w:tc>
          <w:tcPr>
            <w:tcW w:w="310" w:type="pct"/>
            <w:shd w:val="clear" w:color="auto" w:fill="B8CCE4" w:themeFill="accent1" w:themeFillTint="66"/>
            <w:noWrap/>
            <w:tcMar>
              <w:top w:w="15" w:type="dxa"/>
              <w:left w:w="15" w:type="dxa"/>
              <w:bottom w:w="0" w:type="dxa"/>
              <w:right w:w="15" w:type="dxa"/>
            </w:tcMar>
            <w:vAlign w:val="center"/>
          </w:tcPr>
          <w:p w14:paraId="4124E9FB" w14:textId="77777777" w:rsidR="006B2784" w:rsidRPr="001D1F2F" w:rsidRDefault="006B2784" w:rsidP="00D20A1E">
            <w:pPr>
              <w:widowControl/>
              <w:spacing w:before="40" w:after="40"/>
              <w:jc w:val="center"/>
              <w:rPr>
                <w:rFonts w:eastAsia="Arial Unicode MS" w:cs="Arial"/>
                <w:b/>
                <w:bCs/>
                <w:sz w:val="16"/>
                <w:szCs w:val="16"/>
              </w:rPr>
            </w:pPr>
            <w:r w:rsidRPr="001D1F2F">
              <w:rPr>
                <w:rFonts w:cs="Arial"/>
                <w:b/>
                <w:bCs/>
                <w:sz w:val="16"/>
                <w:szCs w:val="16"/>
              </w:rPr>
              <w:t>15 years and above</w:t>
            </w:r>
          </w:p>
        </w:tc>
        <w:tc>
          <w:tcPr>
            <w:tcW w:w="332" w:type="pct"/>
            <w:shd w:val="clear" w:color="auto" w:fill="B8CCE4" w:themeFill="accent1" w:themeFillTint="66"/>
            <w:noWrap/>
            <w:tcMar>
              <w:top w:w="15" w:type="dxa"/>
              <w:left w:w="15" w:type="dxa"/>
              <w:bottom w:w="0" w:type="dxa"/>
              <w:right w:w="15" w:type="dxa"/>
            </w:tcMar>
            <w:vAlign w:val="center"/>
          </w:tcPr>
          <w:p w14:paraId="40311116" w14:textId="77777777" w:rsidR="006B2784" w:rsidRPr="001D1F2F" w:rsidRDefault="006B2784" w:rsidP="00D20A1E">
            <w:pPr>
              <w:widowControl/>
              <w:spacing w:before="40" w:after="40"/>
              <w:jc w:val="center"/>
              <w:rPr>
                <w:rFonts w:eastAsia="Arial Unicode MS" w:cs="Arial"/>
                <w:b/>
                <w:bCs/>
                <w:sz w:val="16"/>
                <w:szCs w:val="16"/>
              </w:rPr>
            </w:pPr>
            <w:r w:rsidRPr="001D1F2F">
              <w:rPr>
                <w:rFonts w:cs="Arial"/>
                <w:b/>
                <w:bCs/>
                <w:sz w:val="16"/>
                <w:szCs w:val="16"/>
              </w:rPr>
              <w:t>2-3 years</w:t>
            </w:r>
          </w:p>
        </w:tc>
        <w:tc>
          <w:tcPr>
            <w:tcW w:w="321" w:type="pct"/>
            <w:shd w:val="clear" w:color="auto" w:fill="B8CCE4" w:themeFill="accent1" w:themeFillTint="66"/>
            <w:vAlign w:val="center"/>
          </w:tcPr>
          <w:p w14:paraId="35694233" w14:textId="77777777" w:rsidR="006B2784" w:rsidRPr="001D1F2F" w:rsidRDefault="006B2784" w:rsidP="00D20A1E">
            <w:pPr>
              <w:widowControl/>
              <w:spacing w:before="40" w:after="40"/>
              <w:jc w:val="center"/>
              <w:rPr>
                <w:rFonts w:eastAsia="Arial Unicode MS" w:cs="Arial"/>
                <w:b/>
                <w:bCs/>
                <w:sz w:val="16"/>
                <w:szCs w:val="16"/>
              </w:rPr>
            </w:pPr>
            <w:r w:rsidRPr="001D1F2F">
              <w:rPr>
                <w:rFonts w:cs="Arial"/>
                <w:b/>
                <w:bCs/>
                <w:sz w:val="16"/>
                <w:szCs w:val="16"/>
              </w:rPr>
              <w:t>4-8 years</w:t>
            </w:r>
          </w:p>
        </w:tc>
        <w:tc>
          <w:tcPr>
            <w:tcW w:w="321" w:type="pct"/>
            <w:shd w:val="clear" w:color="auto" w:fill="B8CCE4" w:themeFill="accent1" w:themeFillTint="66"/>
            <w:vAlign w:val="center"/>
          </w:tcPr>
          <w:p w14:paraId="221D63C3" w14:textId="77777777" w:rsidR="006B2784" w:rsidRPr="001D1F2F" w:rsidRDefault="006B2784" w:rsidP="00D20A1E">
            <w:pPr>
              <w:widowControl/>
              <w:spacing w:before="40" w:after="40"/>
              <w:jc w:val="center"/>
              <w:rPr>
                <w:rFonts w:eastAsia="Arial Unicode MS" w:cs="Arial"/>
                <w:b/>
                <w:bCs/>
                <w:sz w:val="16"/>
                <w:szCs w:val="16"/>
              </w:rPr>
            </w:pPr>
            <w:r w:rsidRPr="001D1F2F">
              <w:rPr>
                <w:rFonts w:cs="Arial"/>
                <w:b/>
                <w:bCs/>
                <w:sz w:val="16"/>
                <w:szCs w:val="16"/>
              </w:rPr>
              <w:t>9-13 years</w:t>
            </w:r>
          </w:p>
        </w:tc>
        <w:tc>
          <w:tcPr>
            <w:tcW w:w="343" w:type="pct"/>
            <w:shd w:val="clear" w:color="auto" w:fill="B8CCE4" w:themeFill="accent1" w:themeFillTint="66"/>
            <w:vAlign w:val="center"/>
          </w:tcPr>
          <w:p w14:paraId="5C890362" w14:textId="77777777" w:rsidR="006B2784" w:rsidRPr="001D1F2F" w:rsidRDefault="006B2784" w:rsidP="00D20A1E">
            <w:pPr>
              <w:widowControl/>
              <w:spacing w:before="40" w:after="40"/>
              <w:jc w:val="center"/>
              <w:rPr>
                <w:rFonts w:eastAsia="Arial Unicode MS" w:cs="Arial"/>
                <w:b/>
                <w:bCs/>
                <w:sz w:val="16"/>
                <w:szCs w:val="16"/>
              </w:rPr>
            </w:pPr>
            <w:r w:rsidRPr="001D1F2F">
              <w:rPr>
                <w:rFonts w:cs="Arial"/>
                <w:b/>
                <w:bCs/>
                <w:sz w:val="16"/>
                <w:szCs w:val="16"/>
              </w:rPr>
              <w:t>14-16 years</w:t>
            </w:r>
          </w:p>
        </w:tc>
        <w:tc>
          <w:tcPr>
            <w:tcW w:w="299" w:type="pct"/>
            <w:shd w:val="clear" w:color="auto" w:fill="B8CCE4" w:themeFill="accent1" w:themeFillTint="66"/>
            <w:vAlign w:val="center"/>
          </w:tcPr>
          <w:p w14:paraId="0F53B4C0" w14:textId="77777777" w:rsidR="006B2784" w:rsidRPr="001D1F2F" w:rsidRDefault="006B2784" w:rsidP="00D20A1E">
            <w:pPr>
              <w:widowControl/>
              <w:spacing w:before="40" w:after="40"/>
              <w:jc w:val="center"/>
              <w:rPr>
                <w:rFonts w:eastAsia="Arial Unicode MS" w:cs="Arial"/>
                <w:b/>
                <w:bCs/>
                <w:sz w:val="16"/>
                <w:szCs w:val="16"/>
              </w:rPr>
            </w:pPr>
            <w:r w:rsidRPr="001D1F2F">
              <w:rPr>
                <w:rFonts w:cs="Arial"/>
                <w:b/>
                <w:bCs/>
                <w:sz w:val="16"/>
                <w:szCs w:val="16"/>
              </w:rPr>
              <w:t>2-3 years</w:t>
            </w:r>
          </w:p>
        </w:tc>
        <w:tc>
          <w:tcPr>
            <w:tcW w:w="321" w:type="pct"/>
            <w:shd w:val="clear" w:color="auto" w:fill="B8CCE4" w:themeFill="accent1" w:themeFillTint="66"/>
            <w:vAlign w:val="center"/>
          </w:tcPr>
          <w:p w14:paraId="1949DDAE" w14:textId="77777777" w:rsidR="006B2784" w:rsidRPr="001D1F2F" w:rsidRDefault="006B2784" w:rsidP="00D20A1E">
            <w:pPr>
              <w:widowControl/>
              <w:spacing w:before="40" w:after="40"/>
              <w:jc w:val="center"/>
              <w:rPr>
                <w:rFonts w:eastAsia="Arial Unicode MS" w:cs="Arial"/>
                <w:b/>
                <w:bCs/>
                <w:sz w:val="16"/>
                <w:szCs w:val="16"/>
              </w:rPr>
            </w:pPr>
            <w:r w:rsidRPr="001D1F2F">
              <w:rPr>
                <w:rFonts w:cs="Arial"/>
                <w:b/>
                <w:bCs/>
                <w:sz w:val="16"/>
                <w:szCs w:val="16"/>
              </w:rPr>
              <w:t>4-8 years</w:t>
            </w:r>
          </w:p>
        </w:tc>
        <w:tc>
          <w:tcPr>
            <w:tcW w:w="321" w:type="pct"/>
            <w:shd w:val="clear" w:color="auto" w:fill="B8CCE4" w:themeFill="accent1" w:themeFillTint="66"/>
            <w:vAlign w:val="center"/>
          </w:tcPr>
          <w:p w14:paraId="41CA0AF7" w14:textId="77777777" w:rsidR="006B2784" w:rsidRPr="001D1F2F" w:rsidRDefault="006B2784" w:rsidP="00D20A1E">
            <w:pPr>
              <w:widowControl/>
              <w:spacing w:before="40" w:after="40"/>
              <w:jc w:val="center"/>
              <w:rPr>
                <w:rFonts w:eastAsia="Arial Unicode MS" w:cs="Arial"/>
                <w:b/>
                <w:bCs/>
                <w:sz w:val="16"/>
                <w:szCs w:val="16"/>
              </w:rPr>
            </w:pPr>
            <w:r w:rsidRPr="001D1F2F">
              <w:rPr>
                <w:rFonts w:cs="Arial"/>
                <w:b/>
                <w:bCs/>
                <w:sz w:val="16"/>
                <w:szCs w:val="16"/>
              </w:rPr>
              <w:t>9-13 years</w:t>
            </w:r>
          </w:p>
        </w:tc>
        <w:tc>
          <w:tcPr>
            <w:tcW w:w="321" w:type="pct"/>
            <w:shd w:val="clear" w:color="auto" w:fill="B8CCE4" w:themeFill="accent1" w:themeFillTint="66"/>
            <w:vAlign w:val="center"/>
          </w:tcPr>
          <w:p w14:paraId="7F138CC1" w14:textId="77777777" w:rsidR="006B2784" w:rsidRPr="001D1F2F" w:rsidRDefault="006B2784" w:rsidP="00D20A1E">
            <w:pPr>
              <w:widowControl/>
              <w:spacing w:before="40" w:after="40"/>
              <w:jc w:val="center"/>
              <w:rPr>
                <w:rFonts w:eastAsia="Arial Unicode MS" w:cs="Arial"/>
                <w:b/>
                <w:bCs/>
                <w:sz w:val="16"/>
                <w:szCs w:val="16"/>
              </w:rPr>
            </w:pPr>
            <w:r w:rsidRPr="001D1F2F">
              <w:rPr>
                <w:rFonts w:cs="Arial"/>
                <w:b/>
                <w:bCs/>
                <w:sz w:val="16"/>
                <w:szCs w:val="16"/>
              </w:rPr>
              <w:t>14-18 years</w:t>
            </w:r>
          </w:p>
        </w:tc>
        <w:tc>
          <w:tcPr>
            <w:tcW w:w="321" w:type="pct"/>
            <w:shd w:val="clear" w:color="auto" w:fill="B8CCE4" w:themeFill="accent1" w:themeFillTint="66"/>
            <w:vAlign w:val="center"/>
          </w:tcPr>
          <w:p w14:paraId="2C0BBEF3" w14:textId="77777777" w:rsidR="006B2784" w:rsidRPr="001D1F2F" w:rsidRDefault="006B2784" w:rsidP="00D20A1E">
            <w:pPr>
              <w:widowControl/>
              <w:spacing w:before="40" w:after="40"/>
              <w:jc w:val="center"/>
              <w:rPr>
                <w:rFonts w:eastAsia="Arial Unicode MS" w:cs="Arial"/>
                <w:b/>
                <w:bCs/>
                <w:sz w:val="16"/>
                <w:szCs w:val="16"/>
              </w:rPr>
            </w:pPr>
            <w:r w:rsidRPr="001D1F2F">
              <w:rPr>
                <w:rFonts w:cs="Arial"/>
                <w:b/>
                <w:bCs/>
                <w:sz w:val="16"/>
                <w:szCs w:val="16"/>
              </w:rPr>
              <w:t>19 years and above</w:t>
            </w:r>
          </w:p>
        </w:tc>
        <w:tc>
          <w:tcPr>
            <w:tcW w:w="319" w:type="pct"/>
            <w:shd w:val="clear" w:color="auto" w:fill="B8CCE4" w:themeFill="accent1" w:themeFillTint="66"/>
            <w:vAlign w:val="center"/>
          </w:tcPr>
          <w:p w14:paraId="59A94D43" w14:textId="77777777" w:rsidR="006B2784" w:rsidRPr="001D1F2F" w:rsidRDefault="006B2784" w:rsidP="00D20A1E">
            <w:pPr>
              <w:widowControl/>
              <w:spacing w:before="40" w:after="40"/>
              <w:jc w:val="center"/>
              <w:rPr>
                <w:rFonts w:eastAsia="Arial Unicode MS" w:cs="Arial"/>
                <w:b/>
                <w:bCs/>
                <w:sz w:val="16"/>
                <w:szCs w:val="16"/>
              </w:rPr>
            </w:pPr>
            <w:r w:rsidRPr="001D1F2F">
              <w:rPr>
                <w:rFonts w:cs="Arial"/>
                <w:b/>
                <w:bCs/>
                <w:sz w:val="16"/>
                <w:szCs w:val="16"/>
              </w:rPr>
              <w:t>2 years and above</w:t>
            </w:r>
          </w:p>
        </w:tc>
      </w:tr>
      <w:tr w:rsidR="006B2784" w:rsidRPr="001D1F2F" w14:paraId="5750F85B" w14:textId="77777777" w:rsidTr="00577EF3">
        <w:trPr>
          <w:trHeight w:val="276"/>
        </w:trPr>
        <w:tc>
          <w:tcPr>
            <w:tcW w:w="508" w:type="pct"/>
            <w:vMerge/>
            <w:shd w:val="clear" w:color="auto" w:fill="B8CCE4" w:themeFill="accent1" w:themeFillTint="66"/>
            <w:noWrap/>
            <w:tcMar>
              <w:top w:w="15" w:type="dxa"/>
              <w:left w:w="15" w:type="dxa"/>
              <w:bottom w:w="0" w:type="dxa"/>
              <w:right w:w="15" w:type="dxa"/>
            </w:tcMar>
            <w:vAlign w:val="center"/>
          </w:tcPr>
          <w:p w14:paraId="316743D6" w14:textId="77777777" w:rsidR="006B2784" w:rsidRPr="001D1F2F" w:rsidRDefault="006B2784" w:rsidP="00D20A1E">
            <w:pPr>
              <w:widowControl/>
              <w:spacing w:before="40" w:after="40"/>
              <w:rPr>
                <w:rFonts w:cs="Arial"/>
                <w:b/>
                <w:bCs/>
                <w:sz w:val="16"/>
                <w:szCs w:val="16"/>
              </w:rPr>
            </w:pPr>
          </w:p>
        </w:tc>
        <w:tc>
          <w:tcPr>
            <w:tcW w:w="321" w:type="pct"/>
            <w:shd w:val="clear" w:color="auto" w:fill="B8CCE4" w:themeFill="accent1" w:themeFillTint="66"/>
            <w:noWrap/>
            <w:tcMar>
              <w:top w:w="15" w:type="dxa"/>
              <w:left w:w="15" w:type="dxa"/>
              <w:bottom w:w="0" w:type="dxa"/>
              <w:right w:w="15" w:type="dxa"/>
            </w:tcMar>
            <w:vAlign w:val="center"/>
          </w:tcPr>
          <w:p w14:paraId="61A246B3" w14:textId="77777777" w:rsidR="006B2784" w:rsidRPr="001D1F2F" w:rsidRDefault="006B2784" w:rsidP="00D20A1E">
            <w:pPr>
              <w:widowControl/>
              <w:spacing w:before="40" w:after="40"/>
              <w:jc w:val="center"/>
              <w:rPr>
                <w:rFonts w:cs="Arial"/>
                <w:b/>
                <w:bCs/>
                <w:sz w:val="16"/>
                <w:szCs w:val="16"/>
              </w:rPr>
            </w:pPr>
            <w:r w:rsidRPr="000B7101">
              <w:rPr>
                <w:rFonts w:cs="Arial"/>
                <w:b/>
                <w:bCs/>
                <w:sz w:val="16"/>
                <w:szCs w:val="16"/>
              </w:rPr>
              <w:t>(n=13,858)</w:t>
            </w:r>
          </w:p>
        </w:tc>
        <w:tc>
          <w:tcPr>
            <w:tcW w:w="321" w:type="pct"/>
            <w:shd w:val="clear" w:color="auto" w:fill="B8CCE4" w:themeFill="accent1" w:themeFillTint="66"/>
            <w:noWrap/>
            <w:tcMar>
              <w:top w:w="15" w:type="dxa"/>
              <w:left w:w="15" w:type="dxa"/>
              <w:bottom w:w="0" w:type="dxa"/>
              <w:right w:w="15" w:type="dxa"/>
            </w:tcMar>
            <w:vAlign w:val="center"/>
          </w:tcPr>
          <w:p w14:paraId="297F38B1" w14:textId="77777777" w:rsidR="006B2784" w:rsidRPr="001D1F2F" w:rsidRDefault="006B2784" w:rsidP="00D20A1E">
            <w:pPr>
              <w:widowControl/>
              <w:spacing w:before="40" w:after="40"/>
              <w:jc w:val="center"/>
              <w:rPr>
                <w:rFonts w:cs="Arial"/>
                <w:b/>
                <w:bCs/>
                <w:sz w:val="16"/>
                <w:szCs w:val="16"/>
              </w:rPr>
            </w:pPr>
            <w:r w:rsidRPr="000B7101">
              <w:rPr>
                <w:rFonts w:cs="Arial"/>
                <w:b/>
                <w:bCs/>
                <w:sz w:val="16"/>
                <w:szCs w:val="16"/>
              </w:rPr>
              <w:t>(n=583)</w:t>
            </w:r>
          </w:p>
        </w:tc>
        <w:tc>
          <w:tcPr>
            <w:tcW w:w="321" w:type="pct"/>
            <w:shd w:val="clear" w:color="auto" w:fill="B8CCE4" w:themeFill="accent1" w:themeFillTint="66"/>
            <w:noWrap/>
            <w:tcMar>
              <w:top w:w="15" w:type="dxa"/>
              <w:left w:w="15" w:type="dxa"/>
              <w:bottom w:w="0" w:type="dxa"/>
              <w:right w:w="15" w:type="dxa"/>
            </w:tcMar>
            <w:vAlign w:val="center"/>
          </w:tcPr>
          <w:p w14:paraId="10AE94DA" w14:textId="77777777" w:rsidR="006B2784" w:rsidRPr="001D1F2F" w:rsidRDefault="006B2784" w:rsidP="00D20A1E">
            <w:pPr>
              <w:widowControl/>
              <w:spacing w:before="40" w:after="40"/>
              <w:jc w:val="center"/>
              <w:rPr>
                <w:rFonts w:cs="Arial"/>
                <w:b/>
                <w:bCs/>
                <w:sz w:val="16"/>
                <w:szCs w:val="16"/>
              </w:rPr>
            </w:pPr>
            <w:r w:rsidRPr="000B7101">
              <w:rPr>
                <w:rFonts w:cs="Arial"/>
                <w:b/>
                <w:bCs/>
                <w:sz w:val="16"/>
                <w:szCs w:val="16"/>
              </w:rPr>
              <w:t>(n=1,844)</w:t>
            </w:r>
          </w:p>
        </w:tc>
        <w:tc>
          <w:tcPr>
            <w:tcW w:w="310" w:type="pct"/>
            <w:shd w:val="clear" w:color="auto" w:fill="B8CCE4" w:themeFill="accent1" w:themeFillTint="66"/>
            <w:noWrap/>
            <w:tcMar>
              <w:top w:w="15" w:type="dxa"/>
              <w:left w:w="15" w:type="dxa"/>
              <w:bottom w:w="0" w:type="dxa"/>
              <w:right w:w="15" w:type="dxa"/>
            </w:tcMar>
            <w:vAlign w:val="center"/>
          </w:tcPr>
          <w:p w14:paraId="14912BAA" w14:textId="77777777" w:rsidR="006B2784" w:rsidRPr="001D1F2F" w:rsidRDefault="006B2784" w:rsidP="00D20A1E">
            <w:pPr>
              <w:widowControl/>
              <w:spacing w:before="40" w:after="40"/>
              <w:jc w:val="center"/>
              <w:rPr>
                <w:rFonts w:cs="Arial"/>
                <w:b/>
                <w:bCs/>
                <w:sz w:val="16"/>
                <w:szCs w:val="16"/>
              </w:rPr>
            </w:pPr>
            <w:r w:rsidRPr="000B7101">
              <w:rPr>
                <w:rFonts w:cs="Arial"/>
                <w:b/>
                <w:bCs/>
                <w:sz w:val="16"/>
                <w:szCs w:val="16"/>
              </w:rPr>
              <w:t>(n=11,431)</w:t>
            </w:r>
          </w:p>
        </w:tc>
        <w:tc>
          <w:tcPr>
            <w:tcW w:w="332" w:type="pct"/>
            <w:shd w:val="clear" w:color="auto" w:fill="B8CCE4" w:themeFill="accent1" w:themeFillTint="66"/>
            <w:noWrap/>
            <w:tcMar>
              <w:top w:w="15" w:type="dxa"/>
              <w:left w:w="15" w:type="dxa"/>
              <w:bottom w:w="0" w:type="dxa"/>
              <w:right w:w="15" w:type="dxa"/>
            </w:tcMar>
            <w:vAlign w:val="center"/>
          </w:tcPr>
          <w:p w14:paraId="2044E2A4" w14:textId="77777777" w:rsidR="006B2784" w:rsidRPr="001D1F2F" w:rsidRDefault="006B2784" w:rsidP="00D20A1E">
            <w:pPr>
              <w:widowControl/>
              <w:spacing w:before="40" w:after="40"/>
              <w:jc w:val="center"/>
              <w:rPr>
                <w:rFonts w:cs="Arial"/>
                <w:b/>
                <w:bCs/>
                <w:sz w:val="16"/>
                <w:szCs w:val="16"/>
              </w:rPr>
            </w:pPr>
            <w:r w:rsidRPr="000B7101">
              <w:rPr>
                <w:rFonts w:cs="Arial"/>
                <w:b/>
                <w:bCs/>
                <w:sz w:val="16"/>
                <w:szCs w:val="16"/>
              </w:rPr>
              <w:t>(n=552)</w:t>
            </w:r>
          </w:p>
        </w:tc>
        <w:tc>
          <w:tcPr>
            <w:tcW w:w="321" w:type="pct"/>
            <w:shd w:val="clear" w:color="auto" w:fill="B8CCE4" w:themeFill="accent1" w:themeFillTint="66"/>
            <w:vAlign w:val="center"/>
          </w:tcPr>
          <w:p w14:paraId="0DB764CE" w14:textId="77777777" w:rsidR="006B2784" w:rsidRPr="001D1F2F" w:rsidRDefault="006B2784" w:rsidP="00D20A1E">
            <w:pPr>
              <w:widowControl/>
              <w:spacing w:before="40" w:after="40"/>
              <w:jc w:val="center"/>
              <w:rPr>
                <w:rFonts w:cs="Arial"/>
                <w:b/>
                <w:bCs/>
                <w:sz w:val="16"/>
                <w:szCs w:val="16"/>
              </w:rPr>
            </w:pPr>
            <w:r w:rsidRPr="000B7101">
              <w:rPr>
                <w:rFonts w:cs="Arial"/>
                <w:b/>
                <w:bCs/>
                <w:sz w:val="16"/>
                <w:szCs w:val="16"/>
              </w:rPr>
              <w:t>(n=1,520)</w:t>
            </w:r>
          </w:p>
        </w:tc>
        <w:tc>
          <w:tcPr>
            <w:tcW w:w="321" w:type="pct"/>
            <w:shd w:val="clear" w:color="auto" w:fill="B8CCE4" w:themeFill="accent1" w:themeFillTint="66"/>
            <w:vAlign w:val="center"/>
          </w:tcPr>
          <w:p w14:paraId="4FA2E14A" w14:textId="77777777" w:rsidR="006B2784" w:rsidRPr="001D1F2F" w:rsidRDefault="006B2784" w:rsidP="00D20A1E">
            <w:pPr>
              <w:widowControl/>
              <w:spacing w:before="40" w:after="40"/>
              <w:jc w:val="center"/>
              <w:rPr>
                <w:rFonts w:cs="Arial"/>
                <w:b/>
                <w:bCs/>
                <w:sz w:val="16"/>
                <w:szCs w:val="16"/>
              </w:rPr>
            </w:pPr>
            <w:r w:rsidRPr="000B7101">
              <w:rPr>
                <w:rFonts w:cs="Arial"/>
                <w:b/>
                <w:bCs/>
                <w:sz w:val="16"/>
                <w:szCs w:val="16"/>
              </w:rPr>
              <w:t>(n=1,493)</w:t>
            </w:r>
          </w:p>
        </w:tc>
        <w:tc>
          <w:tcPr>
            <w:tcW w:w="343" w:type="pct"/>
            <w:shd w:val="clear" w:color="auto" w:fill="B8CCE4" w:themeFill="accent1" w:themeFillTint="66"/>
            <w:vAlign w:val="center"/>
          </w:tcPr>
          <w:p w14:paraId="36A9C566" w14:textId="77777777" w:rsidR="006B2784" w:rsidRPr="001D1F2F" w:rsidRDefault="006B2784" w:rsidP="00D20A1E">
            <w:pPr>
              <w:widowControl/>
              <w:spacing w:before="40" w:after="40"/>
              <w:jc w:val="center"/>
              <w:rPr>
                <w:rFonts w:cs="Arial"/>
                <w:b/>
                <w:bCs/>
                <w:sz w:val="16"/>
                <w:szCs w:val="16"/>
              </w:rPr>
            </w:pPr>
            <w:r w:rsidRPr="000B7101">
              <w:rPr>
                <w:rFonts w:cs="Arial"/>
                <w:b/>
                <w:bCs/>
                <w:sz w:val="16"/>
                <w:szCs w:val="16"/>
              </w:rPr>
              <w:t>(n=922)</w:t>
            </w:r>
          </w:p>
        </w:tc>
        <w:tc>
          <w:tcPr>
            <w:tcW w:w="299" w:type="pct"/>
            <w:shd w:val="clear" w:color="auto" w:fill="B8CCE4" w:themeFill="accent1" w:themeFillTint="66"/>
            <w:vAlign w:val="center"/>
          </w:tcPr>
          <w:p w14:paraId="2A06BB03" w14:textId="0BD1512F" w:rsidR="006B2784" w:rsidRPr="003942BB" w:rsidRDefault="006B2784" w:rsidP="00D20A1E">
            <w:pPr>
              <w:widowControl/>
              <w:spacing w:before="40" w:after="40"/>
              <w:jc w:val="center"/>
              <w:rPr>
                <w:rFonts w:cs="Arial"/>
                <w:b/>
                <w:bCs/>
                <w:sz w:val="16"/>
                <w:szCs w:val="16"/>
              </w:rPr>
            </w:pPr>
            <w:r w:rsidRPr="003942BB">
              <w:rPr>
                <w:rFonts w:cs="Arial"/>
                <w:b/>
                <w:bCs/>
                <w:sz w:val="16"/>
                <w:szCs w:val="16"/>
              </w:rPr>
              <w:t>(n=</w:t>
            </w:r>
            <w:r w:rsidR="003942BB" w:rsidRPr="003942BB">
              <w:rPr>
                <w:rFonts w:cs="Arial"/>
                <w:b/>
                <w:bCs/>
                <w:sz w:val="16"/>
                <w:szCs w:val="16"/>
              </w:rPr>
              <w:t>317</w:t>
            </w:r>
            <w:r w:rsidRPr="003942BB">
              <w:rPr>
                <w:rFonts w:cs="Arial"/>
                <w:b/>
                <w:bCs/>
                <w:sz w:val="16"/>
                <w:szCs w:val="16"/>
              </w:rPr>
              <w:t>)</w:t>
            </w:r>
          </w:p>
        </w:tc>
        <w:tc>
          <w:tcPr>
            <w:tcW w:w="321" w:type="pct"/>
            <w:shd w:val="clear" w:color="auto" w:fill="B8CCE4" w:themeFill="accent1" w:themeFillTint="66"/>
          </w:tcPr>
          <w:p w14:paraId="5F413D93" w14:textId="56511340" w:rsidR="006B2784" w:rsidRPr="003942BB" w:rsidRDefault="006B2784" w:rsidP="00D20A1E">
            <w:pPr>
              <w:widowControl/>
              <w:spacing w:before="40" w:after="40"/>
              <w:jc w:val="center"/>
              <w:rPr>
                <w:rFonts w:cs="Arial"/>
                <w:b/>
                <w:bCs/>
                <w:sz w:val="16"/>
                <w:szCs w:val="16"/>
              </w:rPr>
            </w:pPr>
            <w:r w:rsidRPr="003942BB">
              <w:rPr>
                <w:rFonts w:cs="Arial"/>
                <w:b/>
                <w:bCs/>
                <w:sz w:val="16"/>
                <w:szCs w:val="16"/>
              </w:rPr>
              <w:t>(n=</w:t>
            </w:r>
            <w:r w:rsidR="003942BB" w:rsidRPr="003942BB">
              <w:rPr>
                <w:rFonts w:cs="Arial"/>
                <w:b/>
                <w:bCs/>
                <w:sz w:val="16"/>
                <w:szCs w:val="16"/>
              </w:rPr>
              <w:t>775</w:t>
            </w:r>
            <w:r w:rsidRPr="003942BB">
              <w:rPr>
                <w:rFonts w:cs="Arial"/>
                <w:b/>
                <w:bCs/>
                <w:sz w:val="16"/>
                <w:szCs w:val="16"/>
              </w:rPr>
              <w:t>)</w:t>
            </w:r>
          </w:p>
        </w:tc>
        <w:tc>
          <w:tcPr>
            <w:tcW w:w="321" w:type="pct"/>
            <w:shd w:val="clear" w:color="auto" w:fill="B8CCE4" w:themeFill="accent1" w:themeFillTint="66"/>
          </w:tcPr>
          <w:p w14:paraId="64E42849" w14:textId="647536AA" w:rsidR="006B2784" w:rsidRPr="003942BB" w:rsidRDefault="006B2784" w:rsidP="00D20A1E">
            <w:pPr>
              <w:widowControl/>
              <w:spacing w:before="40" w:after="40"/>
              <w:jc w:val="center"/>
              <w:rPr>
                <w:rFonts w:cs="Arial"/>
                <w:b/>
                <w:bCs/>
                <w:sz w:val="16"/>
                <w:szCs w:val="16"/>
              </w:rPr>
            </w:pPr>
            <w:r w:rsidRPr="003942BB">
              <w:rPr>
                <w:rFonts w:cs="Arial"/>
                <w:b/>
                <w:bCs/>
                <w:sz w:val="16"/>
                <w:szCs w:val="16"/>
              </w:rPr>
              <w:t>(n=</w:t>
            </w:r>
            <w:r w:rsidR="003942BB" w:rsidRPr="003942BB">
              <w:rPr>
                <w:rFonts w:cs="Arial"/>
                <w:b/>
                <w:bCs/>
                <w:sz w:val="16"/>
                <w:szCs w:val="16"/>
              </w:rPr>
              <w:t>862</w:t>
            </w:r>
            <w:r w:rsidRPr="003942BB">
              <w:rPr>
                <w:rFonts w:cs="Arial"/>
                <w:b/>
                <w:bCs/>
                <w:sz w:val="16"/>
                <w:szCs w:val="16"/>
              </w:rPr>
              <w:t>)</w:t>
            </w:r>
          </w:p>
        </w:tc>
        <w:tc>
          <w:tcPr>
            <w:tcW w:w="321" w:type="pct"/>
            <w:shd w:val="clear" w:color="auto" w:fill="B8CCE4" w:themeFill="accent1" w:themeFillTint="66"/>
          </w:tcPr>
          <w:p w14:paraId="1FEA6A56" w14:textId="6CBB13FE" w:rsidR="006B2784" w:rsidRPr="003942BB" w:rsidRDefault="006B2784" w:rsidP="00D20A1E">
            <w:pPr>
              <w:widowControl/>
              <w:spacing w:before="40" w:after="40"/>
              <w:jc w:val="center"/>
              <w:rPr>
                <w:rFonts w:cs="Arial"/>
                <w:b/>
                <w:bCs/>
                <w:sz w:val="16"/>
                <w:szCs w:val="16"/>
              </w:rPr>
            </w:pPr>
            <w:r w:rsidRPr="003942BB">
              <w:rPr>
                <w:rFonts w:cs="Arial"/>
                <w:b/>
                <w:bCs/>
                <w:sz w:val="16"/>
                <w:szCs w:val="16"/>
              </w:rPr>
              <w:t>(n=</w:t>
            </w:r>
            <w:r w:rsidR="003942BB" w:rsidRPr="003942BB">
              <w:rPr>
                <w:rFonts w:cs="Arial"/>
                <w:b/>
                <w:bCs/>
                <w:sz w:val="16"/>
                <w:szCs w:val="16"/>
              </w:rPr>
              <w:t>740</w:t>
            </w:r>
            <w:r w:rsidRPr="003942BB">
              <w:rPr>
                <w:rFonts w:cs="Arial"/>
                <w:b/>
                <w:bCs/>
                <w:sz w:val="16"/>
                <w:szCs w:val="16"/>
              </w:rPr>
              <w:t>)</w:t>
            </w:r>
          </w:p>
        </w:tc>
        <w:tc>
          <w:tcPr>
            <w:tcW w:w="321" w:type="pct"/>
            <w:shd w:val="clear" w:color="auto" w:fill="B8CCE4" w:themeFill="accent1" w:themeFillTint="66"/>
          </w:tcPr>
          <w:p w14:paraId="7EFE3BB5" w14:textId="67AE7DB3" w:rsidR="006B2784" w:rsidRPr="003942BB" w:rsidRDefault="006B2784" w:rsidP="00D20A1E">
            <w:pPr>
              <w:widowControl/>
              <w:spacing w:before="40" w:after="40"/>
              <w:jc w:val="center"/>
              <w:rPr>
                <w:rFonts w:cs="Arial"/>
                <w:b/>
                <w:bCs/>
                <w:sz w:val="16"/>
                <w:szCs w:val="16"/>
              </w:rPr>
            </w:pPr>
            <w:r w:rsidRPr="003942BB">
              <w:rPr>
                <w:rFonts w:cs="Arial"/>
                <w:b/>
                <w:bCs/>
                <w:sz w:val="16"/>
                <w:szCs w:val="16"/>
              </w:rPr>
              <w:t>(n=</w:t>
            </w:r>
            <w:r w:rsidR="003942BB" w:rsidRPr="003942BB">
              <w:rPr>
                <w:rFonts w:cs="Arial"/>
                <w:b/>
                <w:bCs/>
                <w:sz w:val="16"/>
                <w:szCs w:val="16"/>
              </w:rPr>
              <w:t>9,460</w:t>
            </w:r>
            <w:r w:rsidRPr="003942BB">
              <w:rPr>
                <w:rFonts w:cs="Arial"/>
                <w:b/>
                <w:bCs/>
                <w:sz w:val="16"/>
                <w:szCs w:val="16"/>
              </w:rPr>
              <w:t>)</w:t>
            </w:r>
          </w:p>
        </w:tc>
        <w:tc>
          <w:tcPr>
            <w:tcW w:w="319" w:type="pct"/>
            <w:shd w:val="clear" w:color="auto" w:fill="B8CCE4" w:themeFill="accent1" w:themeFillTint="66"/>
          </w:tcPr>
          <w:p w14:paraId="7A45801E" w14:textId="1D957D83" w:rsidR="006B2784" w:rsidRPr="009919AF" w:rsidRDefault="006B2784" w:rsidP="00D20A1E">
            <w:pPr>
              <w:widowControl/>
              <w:spacing w:before="40" w:after="40"/>
              <w:jc w:val="center"/>
              <w:rPr>
                <w:rFonts w:cs="Arial"/>
                <w:b/>
                <w:bCs/>
                <w:sz w:val="16"/>
                <w:szCs w:val="16"/>
              </w:rPr>
            </w:pPr>
            <w:r w:rsidRPr="003942BB">
              <w:rPr>
                <w:rFonts w:cs="Arial"/>
                <w:b/>
                <w:bCs/>
                <w:sz w:val="16"/>
                <w:szCs w:val="16"/>
              </w:rPr>
              <w:t>(n=</w:t>
            </w:r>
            <w:r w:rsidR="003942BB" w:rsidRPr="003942BB">
              <w:rPr>
                <w:rFonts w:cs="Arial"/>
                <w:b/>
                <w:bCs/>
                <w:sz w:val="16"/>
                <w:szCs w:val="16"/>
              </w:rPr>
              <w:t>12,153</w:t>
            </w:r>
            <w:r w:rsidRPr="003942BB">
              <w:rPr>
                <w:rFonts w:cs="Arial"/>
                <w:b/>
                <w:bCs/>
                <w:sz w:val="16"/>
                <w:szCs w:val="16"/>
              </w:rPr>
              <w:t>)</w:t>
            </w:r>
          </w:p>
        </w:tc>
      </w:tr>
      <w:tr w:rsidR="006B2784" w:rsidRPr="001D1F2F" w14:paraId="175BEE20" w14:textId="77777777" w:rsidTr="00577EF3">
        <w:trPr>
          <w:trHeight w:val="264"/>
        </w:trPr>
        <w:tc>
          <w:tcPr>
            <w:tcW w:w="508" w:type="pct"/>
            <w:shd w:val="clear" w:color="auto" w:fill="D9D9D9" w:themeFill="background1" w:themeFillShade="D9"/>
            <w:noWrap/>
            <w:tcMar>
              <w:top w:w="15" w:type="dxa"/>
              <w:left w:w="15" w:type="dxa"/>
              <w:bottom w:w="0" w:type="dxa"/>
              <w:right w:w="15" w:type="dxa"/>
            </w:tcMar>
            <w:vAlign w:val="center"/>
          </w:tcPr>
          <w:p w14:paraId="5854A5D5" w14:textId="77777777" w:rsidR="006B2784" w:rsidRPr="001D1F2F" w:rsidRDefault="006B2784" w:rsidP="00D20A1E">
            <w:pPr>
              <w:widowControl/>
              <w:spacing w:before="40" w:after="40"/>
              <w:rPr>
                <w:rFonts w:eastAsia="Arial Unicode MS" w:cs="Arial"/>
                <w:sz w:val="16"/>
                <w:szCs w:val="16"/>
              </w:rPr>
            </w:pPr>
            <w:r w:rsidRPr="001D1F2F">
              <w:rPr>
                <w:rFonts w:cs="Arial"/>
                <w:sz w:val="16"/>
                <w:szCs w:val="16"/>
              </w:rPr>
              <w:t xml:space="preserve">Calcium </w:t>
            </w:r>
          </w:p>
        </w:tc>
        <w:tc>
          <w:tcPr>
            <w:tcW w:w="321" w:type="pct"/>
            <w:shd w:val="clear" w:color="auto" w:fill="D9D9D9" w:themeFill="background1" w:themeFillShade="D9"/>
            <w:noWrap/>
            <w:tcMar>
              <w:top w:w="15" w:type="dxa"/>
              <w:left w:w="15" w:type="dxa"/>
              <w:bottom w:w="0" w:type="dxa"/>
              <w:right w:w="15" w:type="dxa"/>
            </w:tcMar>
            <w:vAlign w:val="center"/>
          </w:tcPr>
          <w:p w14:paraId="426AB000"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33</w:t>
            </w:r>
          </w:p>
        </w:tc>
        <w:tc>
          <w:tcPr>
            <w:tcW w:w="321" w:type="pct"/>
            <w:shd w:val="clear" w:color="auto" w:fill="D9D9D9" w:themeFill="background1" w:themeFillShade="D9"/>
            <w:noWrap/>
            <w:tcMar>
              <w:top w:w="15" w:type="dxa"/>
              <w:left w:w="15" w:type="dxa"/>
              <w:bottom w:w="0" w:type="dxa"/>
              <w:right w:w="15" w:type="dxa"/>
            </w:tcMar>
            <w:vAlign w:val="center"/>
          </w:tcPr>
          <w:p w14:paraId="11EEBEC1"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51</w:t>
            </w:r>
          </w:p>
        </w:tc>
        <w:tc>
          <w:tcPr>
            <w:tcW w:w="321" w:type="pct"/>
            <w:shd w:val="clear" w:color="auto" w:fill="D9D9D9" w:themeFill="background1" w:themeFillShade="D9"/>
            <w:noWrap/>
            <w:tcMar>
              <w:top w:w="15" w:type="dxa"/>
              <w:left w:w="15" w:type="dxa"/>
              <w:bottom w:w="0" w:type="dxa"/>
              <w:right w:w="15" w:type="dxa"/>
            </w:tcMar>
            <w:vAlign w:val="center"/>
          </w:tcPr>
          <w:p w14:paraId="0F18A1EC"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38</w:t>
            </w:r>
          </w:p>
        </w:tc>
        <w:tc>
          <w:tcPr>
            <w:tcW w:w="310" w:type="pct"/>
            <w:shd w:val="clear" w:color="auto" w:fill="D9D9D9" w:themeFill="background1" w:themeFillShade="D9"/>
            <w:noWrap/>
            <w:tcMar>
              <w:top w:w="15" w:type="dxa"/>
              <w:left w:w="15" w:type="dxa"/>
              <w:bottom w:w="0" w:type="dxa"/>
              <w:right w:w="15" w:type="dxa"/>
            </w:tcMar>
            <w:vAlign w:val="center"/>
          </w:tcPr>
          <w:p w14:paraId="3F0889DD"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31</w:t>
            </w:r>
          </w:p>
        </w:tc>
        <w:tc>
          <w:tcPr>
            <w:tcW w:w="332" w:type="pct"/>
            <w:shd w:val="clear" w:color="auto" w:fill="D9D9D9" w:themeFill="background1" w:themeFillShade="D9"/>
            <w:noWrap/>
            <w:tcMar>
              <w:top w:w="15" w:type="dxa"/>
              <w:left w:w="15" w:type="dxa"/>
              <w:bottom w:w="0" w:type="dxa"/>
              <w:right w:w="15" w:type="dxa"/>
            </w:tcMar>
            <w:vAlign w:val="center"/>
          </w:tcPr>
          <w:p w14:paraId="459DC6CA"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41</w:t>
            </w:r>
          </w:p>
        </w:tc>
        <w:tc>
          <w:tcPr>
            <w:tcW w:w="321" w:type="pct"/>
            <w:shd w:val="clear" w:color="auto" w:fill="D9D9D9" w:themeFill="background1" w:themeFillShade="D9"/>
            <w:vAlign w:val="center"/>
          </w:tcPr>
          <w:p w14:paraId="50E0159D"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32</w:t>
            </w:r>
          </w:p>
        </w:tc>
        <w:tc>
          <w:tcPr>
            <w:tcW w:w="321" w:type="pct"/>
            <w:shd w:val="clear" w:color="auto" w:fill="D9D9D9" w:themeFill="background1" w:themeFillShade="D9"/>
            <w:vAlign w:val="center"/>
          </w:tcPr>
          <w:p w14:paraId="3FAA06E5"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30</w:t>
            </w:r>
          </w:p>
        </w:tc>
        <w:tc>
          <w:tcPr>
            <w:tcW w:w="343" w:type="pct"/>
            <w:shd w:val="clear" w:color="auto" w:fill="D9D9D9" w:themeFill="background1" w:themeFillShade="D9"/>
            <w:vAlign w:val="center"/>
          </w:tcPr>
          <w:p w14:paraId="78D75761"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25</w:t>
            </w:r>
          </w:p>
        </w:tc>
        <w:tc>
          <w:tcPr>
            <w:tcW w:w="299" w:type="pct"/>
            <w:shd w:val="clear" w:color="auto" w:fill="D9D9D9" w:themeFill="background1" w:themeFillShade="D9"/>
            <w:vAlign w:val="center"/>
          </w:tcPr>
          <w:p w14:paraId="78401C6C"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41</w:t>
            </w:r>
          </w:p>
        </w:tc>
        <w:tc>
          <w:tcPr>
            <w:tcW w:w="321" w:type="pct"/>
            <w:shd w:val="clear" w:color="auto" w:fill="D9D9D9" w:themeFill="background1" w:themeFillShade="D9"/>
            <w:vAlign w:val="center"/>
          </w:tcPr>
          <w:p w14:paraId="4E8F428F"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28</w:t>
            </w:r>
          </w:p>
        </w:tc>
        <w:tc>
          <w:tcPr>
            <w:tcW w:w="321" w:type="pct"/>
            <w:shd w:val="clear" w:color="auto" w:fill="D9D9D9" w:themeFill="background1" w:themeFillShade="D9"/>
            <w:vAlign w:val="center"/>
          </w:tcPr>
          <w:p w14:paraId="68F9545E"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26</w:t>
            </w:r>
          </w:p>
        </w:tc>
        <w:tc>
          <w:tcPr>
            <w:tcW w:w="321" w:type="pct"/>
            <w:shd w:val="clear" w:color="auto" w:fill="D9D9D9" w:themeFill="background1" w:themeFillShade="D9"/>
            <w:vAlign w:val="center"/>
          </w:tcPr>
          <w:p w14:paraId="402693FB"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21</w:t>
            </w:r>
          </w:p>
        </w:tc>
        <w:tc>
          <w:tcPr>
            <w:tcW w:w="321" w:type="pct"/>
            <w:shd w:val="clear" w:color="auto" w:fill="D9D9D9" w:themeFill="background1" w:themeFillShade="D9"/>
            <w:vAlign w:val="center"/>
          </w:tcPr>
          <w:p w14:paraId="2307EB5D"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20</w:t>
            </w:r>
          </w:p>
        </w:tc>
        <w:tc>
          <w:tcPr>
            <w:tcW w:w="319" w:type="pct"/>
            <w:shd w:val="clear" w:color="auto" w:fill="D9D9D9" w:themeFill="background1" w:themeFillShade="D9"/>
            <w:vAlign w:val="center"/>
          </w:tcPr>
          <w:p w14:paraId="01DD06D6"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21</w:t>
            </w:r>
          </w:p>
        </w:tc>
      </w:tr>
      <w:tr w:rsidR="006B2784" w:rsidRPr="001D1F2F" w14:paraId="22327149" w14:textId="77777777" w:rsidTr="00577EF3">
        <w:trPr>
          <w:trHeight w:val="264"/>
        </w:trPr>
        <w:tc>
          <w:tcPr>
            <w:tcW w:w="508" w:type="pct"/>
            <w:noWrap/>
            <w:tcMar>
              <w:top w:w="15" w:type="dxa"/>
              <w:left w:w="15" w:type="dxa"/>
              <w:bottom w:w="0" w:type="dxa"/>
              <w:right w:w="15" w:type="dxa"/>
            </w:tcMar>
            <w:vAlign w:val="center"/>
          </w:tcPr>
          <w:p w14:paraId="3CCB05D0" w14:textId="77777777" w:rsidR="006B2784" w:rsidRPr="001D1F2F" w:rsidRDefault="006B2784" w:rsidP="00D20A1E">
            <w:pPr>
              <w:widowControl/>
              <w:spacing w:before="40" w:after="40"/>
              <w:rPr>
                <w:rFonts w:cs="Arial"/>
                <w:sz w:val="16"/>
                <w:szCs w:val="16"/>
              </w:rPr>
            </w:pPr>
            <w:r w:rsidRPr="001D1F2F">
              <w:rPr>
                <w:rFonts w:cs="Arial"/>
                <w:sz w:val="16"/>
                <w:szCs w:val="16"/>
              </w:rPr>
              <w:t>Energy</w:t>
            </w:r>
          </w:p>
        </w:tc>
        <w:tc>
          <w:tcPr>
            <w:tcW w:w="321" w:type="pct"/>
            <w:shd w:val="clear" w:color="auto" w:fill="auto"/>
            <w:noWrap/>
            <w:tcMar>
              <w:top w:w="15" w:type="dxa"/>
              <w:left w:w="15" w:type="dxa"/>
              <w:bottom w:w="0" w:type="dxa"/>
              <w:right w:w="15" w:type="dxa"/>
            </w:tcMar>
            <w:vAlign w:val="center"/>
          </w:tcPr>
          <w:p w14:paraId="53AAD248" w14:textId="2C3C7F0E" w:rsidR="006B2784" w:rsidRPr="001D1F2F" w:rsidRDefault="006B2784" w:rsidP="00D20A1E">
            <w:pPr>
              <w:widowControl/>
              <w:tabs>
                <w:tab w:val="decimal" w:pos="567"/>
              </w:tabs>
              <w:spacing w:before="40" w:after="40"/>
              <w:rPr>
                <w:rFonts w:cs="Arial"/>
                <w:sz w:val="16"/>
                <w:szCs w:val="16"/>
              </w:rPr>
            </w:pPr>
          </w:p>
        </w:tc>
        <w:tc>
          <w:tcPr>
            <w:tcW w:w="321" w:type="pct"/>
            <w:shd w:val="clear" w:color="auto" w:fill="auto"/>
            <w:noWrap/>
            <w:tcMar>
              <w:top w:w="15" w:type="dxa"/>
              <w:left w:w="15" w:type="dxa"/>
              <w:bottom w:w="0" w:type="dxa"/>
              <w:right w:w="15" w:type="dxa"/>
            </w:tcMar>
            <w:vAlign w:val="center"/>
          </w:tcPr>
          <w:p w14:paraId="5B51E634" w14:textId="77777777" w:rsidR="006B2784" w:rsidRPr="001D1F2F" w:rsidRDefault="006B2784" w:rsidP="00D20A1E">
            <w:pPr>
              <w:widowControl/>
              <w:tabs>
                <w:tab w:val="decimal" w:pos="567"/>
              </w:tabs>
              <w:spacing w:before="40" w:after="40"/>
              <w:rPr>
                <w:rFonts w:cs="Arial"/>
                <w:sz w:val="16"/>
                <w:szCs w:val="16"/>
              </w:rPr>
            </w:pPr>
          </w:p>
        </w:tc>
        <w:tc>
          <w:tcPr>
            <w:tcW w:w="321" w:type="pct"/>
            <w:shd w:val="clear" w:color="auto" w:fill="auto"/>
            <w:noWrap/>
            <w:tcMar>
              <w:top w:w="15" w:type="dxa"/>
              <w:left w:w="15" w:type="dxa"/>
              <w:bottom w:w="0" w:type="dxa"/>
              <w:right w:w="15" w:type="dxa"/>
            </w:tcMar>
            <w:vAlign w:val="center"/>
          </w:tcPr>
          <w:p w14:paraId="6FF92EC1" w14:textId="77777777" w:rsidR="006B2784" w:rsidRPr="001D1F2F" w:rsidRDefault="006B2784" w:rsidP="00D20A1E">
            <w:pPr>
              <w:widowControl/>
              <w:tabs>
                <w:tab w:val="decimal" w:pos="567"/>
              </w:tabs>
              <w:spacing w:before="40" w:after="40"/>
              <w:rPr>
                <w:rFonts w:cs="Arial"/>
                <w:sz w:val="16"/>
                <w:szCs w:val="16"/>
              </w:rPr>
            </w:pPr>
          </w:p>
        </w:tc>
        <w:tc>
          <w:tcPr>
            <w:tcW w:w="310" w:type="pct"/>
            <w:shd w:val="clear" w:color="auto" w:fill="auto"/>
            <w:noWrap/>
            <w:tcMar>
              <w:top w:w="15" w:type="dxa"/>
              <w:left w:w="15" w:type="dxa"/>
              <w:bottom w:w="0" w:type="dxa"/>
              <w:right w:w="15" w:type="dxa"/>
            </w:tcMar>
            <w:vAlign w:val="center"/>
          </w:tcPr>
          <w:p w14:paraId="4583A876" w14:textId="77777777" w:rsidR="006B2784" w:rsidRPr="001D1F2F" w:rsidRDefault="006B2784" w:rsidP="00D20A1E">
            <w:pPr>
              <w:widowControl/>
              <w:tabs>
                <w:tab w:val="decimal" w:pos="567"/>
              </w:tabs>
              <w:spacing w:before="40" w:after="40"/>
              <w:rPr>
                <w:rFonts w:cs="Arial"/>
                <w:sz w:val="16"/>
                <w:szCs w:val="16"/>
              </w:rPr>
            </w:pPr>
          </w:p>
        </w:tc>
        <w:tc>
          <w:tcPr>
            <w:tcW w:w="332" w:type="pct"/>
            <w:shd w:val="clear" w:color="auto" w:fill="auto"/>
            <w:noWrap/>
            <w:tcMar>
              <w:top w:w="15" w:type="dxa"/>
              <w:left w:w="15" w:type="dxa"/>
              <w:bottom w:w="0" w:type="dxa"/>
              <w:right w:w="15" w:type="dxa"/>
            </w:tcMar>
            <w:vAlign w:val="center"/>
          </w:tcPr>
          <w:p w14:paraId="66E28491"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14</w:t>
            </w:r>
          </w:p>
        </w:tc>
        <w:tc>
          <w:tcPr>
            <w:tcW w:w="321" w:type="pct"/>
            <w:shd w:val="clear" w:color="auto" w:fill="auto"/>
            <w:vAlign w:val="center"/>
          </w:tcPr>
          <w:p w14:paraId="1B049661"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9</w:t>
            </w:r>
          </w:p>
        </w:tc>
        <w:tc>
          <w:tcPr>
            <w:tcW w:w="321" w:type="pct"/>
            <w:shd w:val="clear" w:color="auto" w:fill="auto"/>
            <w:vAlign w:val="center"/>
          </w:tcPr>
          <w:p w14:paraId="1A09C9B4"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7</w:t>
            </w:r>
          </w:p>
        </w:tc>
        <w:tc>
          <w:tcPr>
            <w:tcW w:w="343" w:type="pct"/>
            <w:shd w:val="clear" w:color="auto" w:fill="auto"/>
            <w:vAlign w:val="center"/>
          </w:tcPr>
          <w:p w14:paraId="048BB64B"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6</w:t>
            </w:r>
          </w:p>
        </w:tc>
        <w:tc>
          <w:tcPr>
            <w:tcW w:w="299" w:type="pct"/>
            <w:shd w:val="clear" w:color="auto" w:fill="auto"/>
            <w:vAlign w:val="center"/>
          </w:tcPr>
          <w:p w14:paraId="7EDCFBB0" w14:textId="731136EB" w:rsidR="006B2784" w:rsidRPr="002B6513" w:rsidRDefault="005077E9" w:rsidP="00D20A1E">
            <w:pPr>
              <w:widowControl/>
              <w:tabs>
                <w:tab w:val="decimal" w:pos="567"/>
              </w:tabs>
              <w:spacing w:before="40" w:after="40"/>
              <w:rPr>
                <w:rFonts w:eastAsia="Arial Unicode MS" w:cs="Arial"/>
                <w:sz w:val="16"/>
                <w:szCs w:val="16"/>
              </w:rPr>
            </w:pPr>
            <w:r w:rsidRPr="002B6513">
              <w:rPr>
                <w:rFonts w:eastAsia="Arial Unicode MS" w:cs="Arial"/>
                <w:sz w:val="16"/>
                <w:szCs w:val="16"/>
              </w:rPr>
              <w:t>13</w:t>
            </w:r>
          </w:p>
        </w:tc>
        <w:tc>
          <w:tcPr>
            <w:tcW w:w="321" w:type="pct"/>
            <w:shd w:val="clear" w:color="auto" w:fill="auto"/>
            <w:vAlign w:val="center"/>
          </w:tcPr>
          <w:p w14:paraId="7EB081B9" w14:textId="7A8B81A6" w:rsidR="006B2784" w:rsidRPr="002B6513" w:rsidRDefault="005077E9" w:rsidP="00D20A1E">
            <w:pPr>
              <w:widowControl/>
              <w:tabs>
                <w:tab w:val="decimal" w:pos="567"/>
              </w:tabs>
              <w:spacing w:before="40" w:after="40"/>
              <w:rPr>
                <w:rFonts w:eastAsia="Arial Unicode MS" w:cs="Arial"/>
                <w:sz w:val="16"/>
                <w:szCs w:val="16"/>
              </w:rPr>
            </w:pPr>
            <w:r w:rsidRPr="002B6513">
              <w:rPr>
                <w:rFonts w:eastAsia="Arial Unicode MS" w:cs="Arial"/>
                <w:sz w:val="16"/>
                <w:szCs w:val="16"/>
              </w:rPr>
              <w:t>7</w:t>
            </w:r>
          </w:p>
        </w:tc>
        <w:tc>
          <w:tcPr>
            <w:tcW w:w="321" w:type="pct"/>
            <w:shd w:val="clear" w:color="auto" w:fill="auto"/>
            <w:vAlign w:val="center"/>
          </w:tcPr>
          <w:p w14:paraId="546DA0E6" w14:textId="54F9A694" w:rsidR="006B2784" w:rsidRPr="002B6513" w:rsidRDefault="005077E9" w:rsidP="00D20A1E">
            <w:pPr>
              <w:widowControl/>
              <w:tabs>
                <w:tab w:val="decimal" w:pos="567"/>
              </w:tabs>
              <w:spacing w:before="40" w:after="40"/>
              <w:rPr>
                <w:rFonts w:eastAsia="Arial Unicode MS" w:cs="Arial"/>
                <w:sz w:val="16"/>
                <w:szCs w:val="16"/>
              </w:rPr>
            </w:pPr>
            <w:r w:rsidRPr="002B6513">
              <w:rPr>
                <w:rFonts w:eastAsia="Arial Unicode MS" w:cs="Arial"/>
                <w:sz w:val="16"/>
                <w:szCs w:val="16"/>
              </w:rPr>
              <w:t>6</w:t>
            </w:r>
          </w:p>
        </w:tc>
        <w:tc>
          <w:tcPr>
            <w:tcW w:w="321" w:type="pct"/>
            <w:shd w:val="clear" w:color="auto" w:fill="auto"/>
            <w:vAlign w:val="center"/>
          </w:tcPr>
          <w:p w14:paraId="0CC279CA" w14:textId="6D857A97" w:rsidR="006B2784" w:rsidRPr="002B6513" w:rsidRDefault="00D82116" w:rsidP="00D20A1E">
            <w:pPr>
              <w:widowControl/>
              <w:tabs>
                <w:tab w:val="decimal" w:pos="567"/>
              </w:tabs>
              <w:spacing w:before="40" w:after="40"/>
              <w:rPr>
                <w:rFonts w:eastAsia="Arial Unicode MS" w:cs="Arial"/>
                <w:sz w:val="16"/>
                <w:szCs w:val="16"/>
              </w:rPr>
            </w:pPr>
            <w:r w:rsidRPr="002B6513">
              <w:rPr>
                <w:rFonts w:eastAsia="Arial Unicode MS" w:cs="Arial"/>
                <w:sz w:val="16"/>
                <w:szCs w:val="16"/>
              </w:rPr>
              <w:t>4</w:t>
            </w:r>
          </w:p>
        </w:tc>
        <w:tc>
          <w:tcPr>
            <w:tcW w:w="321" w:type="pct"/>
            <w:shd w:val="clear" w:color="auto" w:fill="auto"/>
            <w:vAlign w:val="center"/>
          </w:tcPr>
          <w:p w14:paraId="1BC6F2E2" w14:textId="1852BD96" w:rsidR="006B2784" w:rsidRPr="002B6513" w:rsidRDefault="005077E9" w:rsidP="00D20A1E">
            <w:pPr>
              <w:widowControl/>
              <w:tabs>
                <w:tab w:val="decimal" w:pos="567"/>
              </w:tabs>
              <w:spacing w:before="40" w:after="40"/>
              <w:rPr>
                <w:rFonts w:eastAsia="Arial Unicode MS" w:cs="Arial"/>
                <w:sz w:val="16"/>
                <w:szCs w:val="16"/>
              </w:rPr>
            </w:pPr>
            <w:r w:rsidRPr="002B6513">
              <w:rPr>
                <w:rFonts w:eastAsia="Arial Unicode MS" w:cs="Arial"/>
                <w:sz w:val="16"/>
                <w:szCs w:val="16"/>
              </w:rPr>
              <w:t>4</w:t>
            </w:r>
          </w:p>
        </w:tc>
        <w:tc>
          <w:tcPr>
            <w:tcW w:w="319" w:type="pct"/>
            <w:shd w:val="clear" w:color="auto" w:fill="auto"/>
            <w:vAlign w:val="center"/>
          </w:tcPr>
          <w:p w14:paraId="3A6079EE" w14:textId="684D8979" w:rsidR="006B2784" w:rsidRPr="002B6513" w:rsidRDefault="005077E9" w:rsidP="00D20A1E">
            <w:pPr>
              <w:widowControl/>
              <w:tabs>
                <w:tab w:val="decimal" w:pos="567"/>
              </w:tabs>
              <w:spacing w:before="40" w:after="40"/>
              <w:rPr>
                <w:rFonts w:eastAsia="Arial Unicode MS" w:cs="Arial"/>
                <w:sz w:val="16"/>
                <w:szCs w:val="16"/>
              </w:rPr>
            </w:pPr>
            <w:r w:rsidRPr="002B6513">
              <w:rPr>
                <w:rFonts w:eastAsia="Arial Unicode MS" w:cs="Arial"/>
                <w:sz w:val="16"/>
                <w:szCs w:val="16"/>
              </w:rPr>
              <w:t>4</w:t>
            </w:r>
          </w:p>
        </w:tc>
      </w:tr>
      <w:tr w:rsidR="006B2784" w:rsidRPr="001D1F2F" w14:paraId="24B431D2" w14:textId="77777777" w:rsidTr="00577EF3">
        <w:trPr>
          <w:trHeight w:val="264"/>
        </w:trPr>
        <w:tc>
          <w:tcPr>
            <w:tcW w:w="508" w:type="pct"/>
            <w:noWrap/>
            <w:tcMar>
              <w:top w:w="15" w:type="dxa"/>
              <w:left w:w="15" w:type="dxa"/>
              <w:bottom w:w="0" w:type="dxa"/>
              <w:right w:w="15" w:type="dxa"/>
            </w:tcMar>
            <w:vAlign w:val="center"/>
          </w:tcPr>
          <w:p w14:paraId="0430BE7D" w14:textId="77777777" w:rsidR="006B2784" w:rsidRPr="001D1F2F" w:rsidRDefault="006B2784" w:rsidP="00D20A1E">
            <w:pPr>
              <w:widowControl/>
              <w:spacing w:before="40" w:after="40"/>
              <w:rPr>
                <w:rFonts w:cs="Arial"/>
                <w:sz w:val="16"/>
                <w:szCs w:val="16"/>
              </w:rPr>
            </w:pPr>
            <w:r w:rsidRPr="001D1F2F">
              <w:rPr>
                <w:rFonts w:cs="Arial"/>
                <w:sz w:val="16"/>
                <w:szCs w:val="16"/>
              </w:rPr>
              <w:t>Fat</w:t>
            </w:r>
          </w:p>
        </w:tc>
        <w:tc>
          <w:tcPr>
            <w:tcW w:w="321" w:type="pct"/>
            <w:shd w:val="clear" w:color="auto" w:fill="auto"/>
            <w:noWrap/>
            <w:tcMar>
              <w:top w:w="15" w:type="dxa"/>
              <w:left w:w="15" w:type="dxa"/>
              <w:bottom w:w="0" w:type="dxa"/>
              <w:right w:w="15" w:type="dxa"/>
            </w:tcMar>
            <w:vAlign w:val="center"/>
          </w:tcPr>
          <w:p w14:paraId="5D086107" w14:textId="77777777" w:rsidR="006B2784" w:rsidRPr="001D1F2F" w:rsidRDefault="006B2784" w:rsidP="00D20A1E">
            <w:pPr>
              <w:widowControl/>
              <w:tabs>
                <w:tab w:val="decimal" w:pos="567"/>
              </w:tabs>
              <w:spacing w:before="40" w:after="40"/>
              <w:rPr>
                <w:rFonts w:cs="Arial"/>
                <w:sz w:val="16"/>
                <w:szCs w:val="16"/>
              </w:rPr>
            </w:pPr>
          </w:p>
        </w:tc>
        <w:tc>
          <w:tcPr>
            <w:tcW w:w="321" w:type="pct"/>
            <w:shd w:val="clear" w:color="auto" w:fill="auto"/>
            <w:noWrap/>
            <w:tcMar>
              <w:top w:w="15" w:type="dxa"/>
              <w:left w:w="15" w:type="dxa"/>
              <w:bottom w:w="0" w:type="dxa"/>
              <w:right w:w="15" w:type="dxa"/>
            </w:tcMar>
            <w:vAlign w:val="center"/>
          </w:tcPr>
          <w:p w14:paraId="257F3C69" w14:textId="77777777" w:rsidR="006B2784" w:rsidRPr="001D1F2F" w:rsidRDefault="006B2784" w:rsidP="00D20A1E">
            <w:pPr>
              <w:widowControl/>
              <w:tabs>
                <w:tab w:val="decimal" w:pos="567"/>
              </w:tabs>
              <w:spacing w:before="40" w:after="40"/>
              <w:rPr>
                <w:rFonts w:cs="Arial"/>
                <w:sz w:val="16"/>
                <w:szCs w:val="16"/>
              </w:rPr>
            </w:pPr>
          </w:p>
        </w:tc>
        <w:tc>
          <w:tcPr>
            <w:tcW w:w="321" w:type="pct"/>
            <w:shd w:val="clear" w:color="auto" w:fill="auto"/>
            <w:noWrap/>
            <w:tcMar>
              <w:top w:w="15" w:type="dxa"/>
              <w:left w:w="15" w:type="dxa"/>
              <w:bottom w:w="0" w:type="dxa"/>
              <w:right w:w="15" w:type="dxa"/>
            </w:tcMar>
            <w:vAlign w:val="center"/>
          </w:tcPr>
          <w:p w14:paraId="1D3D4D15" w14:textId="77777777" w:rsidR="006B2784" w:rsidRPr="001D1F2F" w:rsidRDefault="006B2784" w:rsidP="00D20A1E">
            <w:pPr>
              <w:widowControl/>
              <w:tabs>
                <w:tab w:val="decimal" w:pos="567"/>
              </w:tabs>
              <w:spacing w:before="40" w:after="40"/>
              <w:rPr>
                <w:rFonts w:cs="Arial"/>
                <w:sz w:val="16"/>
                <w:szCs w:val="16"/>
              </w:rPr>
            </w:pPr>
          </w:p>
        </w:tc>
        <w:tc>
          <w:tcPr>
            <w:tcW w:w="310" w:type="pct"/>
            <w:shd w:val="clear" w:color="auto" w:fill="auto"/>
            <w:noWrap/>
            <w:tcMar>
              <w:top w:w="15" w:type="dxa"/>
              <w:left w:w="15" w:type="dxa"/>
              <w:bottom w:w="0" w:type="dxa"/>
              <w:right w:w="15" w:type="dxa"/>
            </w:tcMar>
            <w:vAlign w:val="center"/>
          </w:tcPr>
          <w:p w14:paraId="53C2D64D" w14:textId="77777777" w:rsidR="006B2784" w:rsidRPr="001D1F2F" w:rsidRDefault="006B2784" w:rsidP="00D20A1E">
            <w:pPr>
              <w:widowControl/>
              <w:tabs>
                <w:tab w:val="decimal" w:pos="567"/>
              </w:tabs>
              <w:spacing w:before="40" w:after="40"/>
              <w:rPr>
                <w:rFonts w:cs="Arial"/>
                <w:sz w:val="16"/>
                <w:szCs w:val="16"/>
              </w:rPr>
            </w:pPr>
          </w:p>
        </w:tc>
        <w:tc>
          <w:tcPr>
            <w:tcW w:w="332" w:type="pct"/>
            <w:shd w:val="clear" w:color="auto" w:fill="auto"/>
            <w:noWrap/>
            <w:tcMar>
              <w:top w:w="15" w:type="dxa"/>
              <w:left w:w="15" w:type="dxa"/>
              <w:bottom w:w="0" w:type="dxa"/>
              <w:right w:w="15" w:type="dxa"/>
            </w:tcMar>
            <w:vAlign w:val="center"/>
          </w:tcPr>
          <w:p w14:paraId="74A4203C"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19</w:t>
            </w:r>
          </w:p>
        </w:tc>
        <w:tc>
          <w:tcPr>
            <w:tcW w:w="321" w:type="pct"/>
            <w:shd w:val="clear" w:color="auto" w:fill="auto"/>
            <w:vAlign w:val="center"/>
          </w:tcPr>
          <w:p w14:paraId="57759CF3"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11</w:t>
            </w:r>
          </w:p>
        </w:tc>
        <w:tc>
          <w:tcPr>
            <w:tcW w:w="321" w:type="pct"/>
            <w:shd w:val="clear" w:color="auto" w:fill="auto"/>
            <w:vAlign w:val="center"/>
          </w:tcPr>
          <w:p w14:paraId="5612F98E"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9</w:t>
            </w:r>
          </w:p>
        </w:tc>
        <w:tc>
          <w:tcPr>
            <w:tcW w:w="343" w:type="pct"/>
            <w:shd w:val="clear" w:color="auto" w:fill="auto"/>
            <w:vAlign w:val="center"/>
          </w:tcPr>
          <w:p w14:paraId="30FCB047"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7</w:t>
            </w:r>
          </w:p>
        </w:tc>
        <w:tc>
          <w:tcPr>
            <w:tcW w:w="299" w:type="pct"/>
            <w:shd w:val="clear" w:color="auto" w:fill="auto"/>
            <w:vAlign w:val="center"/>
          </w:tcPr>
          <w:p w14:paraId="690358A6"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18</w:t>
            </w:r>
          </w:p>
        </w:tc>
        <w:tc>
          <w:tcPr>
            <w:tcW w:w="321" w:type="pct"/>
            <w:shd w:val="clear" w:color="auto" w:fill="auto"/>
            <w:vAlign w:val="center"/>
          </w:tcPr>
          <w:p w14:paraId="406CD5BC"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9</w:t>
            </w:r>
          </w:p>
        </w:tc>
        <w:tc>
          <w:tcPr>
            <w:tcW w:w="321" w:type="pct"/>
            <w:shd w:val="clear" w:color="auto" w:fill="auto"/>
            <w:vAlign w:val="center"/>
          </w:tcPr>
          <w:p w14:paraId="2A5069AF"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7</w:t>
            </w:r>
          </w:p>
        </w:tc>
        <w:tc>
          <w:tcPr>
            <w:tcW w:w="321" w:type="pct"/>
            <w:shd w:val="clear" w:color="auto" w:fill="auto"/>
            <w:vAlign w:val="center"/>
          </w:tcPr>
          <w:p w14:paraId="69F336FD"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5</w:t>
            </w:r>
          </w:p>
        </w:tc>
        <w:tc>
          <w:tcPr>
            <w:tcW w:w="321" w:type="pct"/>
            <w:shd w:val="clear" w:color="auto" w:fill="auto"/>
            <w:vAlign w:val="center"/>
          </w:tcPr>
          <w:p w14:paraId="32916EA3"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4</w:t>
            </w:r>
          </w:p>
        </w:tc>
        <w:tc>
          <w:tcPr>
            <w:tcW w:w="319" w:type="pct"/>
            <w:shd w:val="clear" w:color="auto" w:fill="auto"/>
            <w:vAlign w:val="center"/>
          </w:tcPr>
          <w:p w14:paraId="104E3E2E"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5</w:t>
            </w:r>
          </w:p>
        </w:tc>
      </w:tr>
      <w:tr w:rsidR="006B2784" w:rsidRPr="001D1F2F" w14:paraId="446AC346" w14:textId="77777777" w:rsidTr="00577EF3">
        <w:trPr>
          <w:trHeight w:val="264"/>
        </w:trPr>
        <w:tc>
          <w:tcPr>
            <w:tcW w:w="508" w:type="pct"/>
            <w:noWrap/>
            <w:tcMar>
              <w:top w:w="15" w:type="dxa"/>
              <w:left w:w="15" w:type="dxa"/>
              <w:bottom w:w="0" w:type="dxa"/>
              <w:right w:w="15" w:type="dxa"/>
            </w:tcMar>
            <w:vAlign w:val="center"/>
          </w:tcPr>
          <w:p w14:paraId="2FE8073A" w14:textId="4B539CFD" w:rsidR="006B2784" w:rsidRPr="001D1F2F" w:rsidRDefault="006B2784" w:rsidP="00D20A1E">
            <w:pPr>
              <w:widowControl/>
              <w:spacing w:before="40" w:after="40"/>
              <w:rPr>
                <w:rFonts w:eastAsia="Arial Unicode MS" w:cs="Arial"/>
                <w:sz w:val="16"/>
                <w:szCs w:val="16"/>
              </w:rPr>
            </w:pPr>
            <w:r w:rsidRPr="001D1F2F">
              <w:rPr>
                <w:rFonts w:cs="Arial"/>
                <w:sz w:val="16"/>
                <w:szCs w:val="16"/>
              </w:rPr>
              <w:t>Folate</w:t>
            </w:r>
            <w:r w:rsidR="00541C82">
              <w:rPr>
                <w:rFonts w:cs="Arial"/>
                <w:sz w:val="16"/>
                <w:szCs w:val="16"/>
              </w:rPr>
              <w:t>, naturally occurring</w:t>
            </w:r>
            <w:r w:rsidRPr="001D1F2F">
              <w:rPr>
                <w:rFonts w:cs="Arial"/>
                <w:sz w:val="16"/>
                <w:szCs w:val="16"/>
              </w:rPr>
              <w:t xml:space="preserve"> </w:t>
            </w:r>
          </w:p>
        </w:tc>
        <w:tc>
          <w:tcPr>
            <w:tcW w:w="321" w:type="pct"/>
            <w:shd w:val="clear" w:color="auto" w:fill="auto"/>
            <w:noWrap/>
            <w:tcMar>
              <w:top w:w="15" w:type="dxa"/>
              <w:left w:w="15" w:type="dxa"/>
              <w:bottom w:w="0" w:type="dxa"/>
              <w:right w:w="15" w:type="dxa"/>
            </w:tcMar>
            <w:vAlign w:val="center"/>
          </w:tcPr>
          <w:p w14:paraId="736A0FEA"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4</w:t>
            </w:r>
          </w:p>
        </w:tc>
        <w:tc>
          <w:tcPr>
            <w:tcW w:w="321" w:type="pct"/>
            <w:shd w:val="clear" w:color="auto" w:fill="auto"/>
            <w:noWrap/>
            <w:tcMar>
              <w:top w:w="15" w:type="dxa"/>
              <w:left w:w="15" w:type="dxa"/>
              <w:bottom w:w="0" w:type="dxa"/>
              <w:right w:w="15" w:type="dxa"/>
            </w:tcMar>
            <w:vAlign w:val="center"/>
          </w:tcPr>
          <w:p w14:paraId="46F167AA"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11</w:t>
            </w:r>
          </w:p>
        </w:tc>
        <w:tc>
          <w:tcPr>
            <w:tcW w:w="321" w:type="pct"/>
            <w:shd w:val="clear" w:color="auto" w:fill="auto"/>
            <w:noWrap/>
            <w:tcMar>
              <w:top w:w="15" w:type="dxa"/>
              <w:left w:w="15" w:type="dxa"/>
              <w:bottom w:w="0" w:type="dxa"/>
              <w:right w:w="15" w:type="dxa"/>
            </w:tcMar>
            <w:vAlign w:val="center"/>
          </w:tcPr>
          <w:p w14:paraId="3622AE90"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6</w:t>
            </w:r>
          </w:p>
        </w:tc>
        <w:tc>
          <w:tcPr>
            <w:tcW w:w="310" w:type="pct"/>
            <w:shd w:val="clear" w:color="auto" w:fill="auto"/>
            <w:noWrap/>
            <w:tcMar>
              <w:top w:w="15" w:type="dxa"/>
              <w:left w:w="15" w:type="dxa"/>
              <w:bottom w:w="0" w:type="dxa"/>
              <w:right w:w="15" w:type="dxa"/>
            </w:tcMar>
            <w:vAlign w:val="center"/>
          </w:tcPr>
          <w:p w14:paraId="6B8FA0ED"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4</w:t>
            </w:r>
          </w:p>
        </w:tc>
        <w:tc>
          <w:tcPr>
            <w:tcW w:w="332" w:type="pct"/>
            <w:shd w:val="clear" w:color="auto" w:fill="auto"/>
            <w:noWrap/>
            <w:tcMar>
              <w:top w:w="15" w:type="dxa"/>
              <w:left w:w="15" w:type="dxa"/>
              <w:bottom w:w="0" w:type="dxa"/>
              <w:right w:w="15" w:type="dxa"/>
            </w:tcMar>
            <w:vAlign w:val="center"/>
          </w:tcPr>
          <w:p w14:paraId="001DA368" w14:textId="77777777" w:rsidR="006B2784" w:rsidRPr="001D1F2F" w:rsidRDefault="006B2784" w:rsidP="00D20A1E">
            <w:pPr>
              <w:widowControl/>
              <w:tabs>
                <w:tab w:val="decimal" w:pos="567"/>
              </w:tabs>
              <w:spacing w:before="40" w:after="40"/>
              <w:rPr>
                <w:rFonts w:eastAsia="Arial Unicode MS" w:cs="Arial"/>
                <w:sz w:val="16"/>
                <w:szCs w:val="16"/>
              </w:rPr>
            </w:pPr>
          </w:p>
        </w:tc>
        <w:tc>
          <w:tcPr>
            <w:tcW w:w="321" w:type="pct"/>
            <w:shd w:val="clear" w:color="auto" w:fill="auto"/>
            <w:vAlign w:val="center"/>
          </w:tcPr>
          <w:p w14:paraId="0C127146" w14:textId="77777777" w:rsidR="006B2784" w:rsidRPr="001D1F2F" w:rsidRDefault="006B2784" w:rsidP="00D20A1E">
            <w:pPr>
              <w:widowControl/>
              <w:tabs>
                <w:tab w:val="decimal" w:pos="567"/>
              </w:tabs>
              <w:spacing w:before="40" w:after="40"/>
              <w:rPr>
                <w:rFonts w:eastAsia="Arial Unicode MS" w:cs="Arial"/>
                <w:sz w:val="16"/>
                <w:szCs w:val="16"/>
              </w:rPr>
            </w:pPr>
          </w:p>
        </w:tc>
        <w:tc>
          <w:tcPr>
            <w:tcW w:w="321" w:type="pct"/>
            <w:shd w:val="clear" w:color="auto" w:fill="auto"/>
            <w:vAlign w:val="center"/>
          </w:tcPr>
          <w:p w14:paraId="3A904F84" w14:textId="77777777" w:rsidR="006B2784" w:rsidRPr="001D1F2F" w:rsidRDefault="006B2784" w:rsidP="00D20A1E">
            <w:pPr>
              <w:widowControl/>
              <w:tabs>
                <w:tab w:val="decimal" w:pos="567"/>
              </w:tabs>
              <w:spacing w:before="40" w:after="40"/>
              <w:rPr>
                <w:rFonts w:eastAsia="Arial Unicode MS" w:cs="Arial"/>
                <w:sz w:val="16"/>
                <w:szCs w:val="16"/>
              </w:rPr>
            </w:pPr>
          </w:p>
        </w:tc>
        <w:tc>
          <w:tcPr>
            <w:tcW w:w="343" w:type="pct"/>
            <w:shd w:val="clear" w:color="auto" w:fill="auto"/>
            <w:vAlign w:val="center"/>
          </w:tcPr>
          <w:p w14:paraId="4D474EF0" w14:textId="77777777" w:rsidR="006B2784" w:rsidRPr="001D1F2F" w:rsidRDefault="006B2784" w:rsidP="00D20A1E">
            <w:pPr>
              <w:widowControl/>
              <w:tabs>
                <w:tab w:val="decimal" w:pos="567"/>
              </w:tabs>
              <w:spacing w:before="40" w:after="40"/>
              <w:rPr>
                <w:rFonts w:eastAsia="Arial Unicode MS" w:cs="Arial"/>
                <w:sz w:val="16"/>
                <w:szCs w:val="16"/>
              </w:rPr>
            </w:pPr>
          </w:p>
        </w:tc>
        <w:tc>
          <w:tcPr>
            <w:tcW w:w="299" w:type="pct"/>
            <w:shd w:val="clear" w:color="auto" w:fill="auto"/>
            <w:vAlign w:val="center"/>
          </w:tcPr>
          <w:p w14:paraId="43AC2F7E" w14:textId="77777777" w:rsidR="006B2784" w:rsidRPr="002B6513" w:rsidRDefault="006B2784" w:rsidP="00D20A1E">
            <w:pPr>
              <w:widowControl/>
              <w:tabs>
                <w:tab w:val="decimal" w:pos="567"/>
              </w:tabs>
              <w:spacing w:before="40" w:after="40"/>
              <w:rPr>
                <w:rFonts w:eastAsia="Arial Unicode MS" w:cs="Arial"/>
                <w:sz w:val="16"/>
                <w:szCs w:val="16"/>
              </w:rPr>
            </w:pPr>
          </w:p>
        </w:tc>
        <w:tc>
          <w:tcPr>
            <w:tcW w:w="321" w:type="pct"/>
            <w:shd w:val="clear" w:color="auto" w:fill="auto"/>
            <w:vAlign w:val="center"/>
          </w:tcPr>
          <w:p w14:paraId="3FA6DA9A" w14:textId="77777777" w:rsidR="006B2784" w:rsidRPr="002B6513" w:rsidRDefault="006B2784" w:rsidP="00D20A1E">
            <w:pPr>
              <w:widowControl/>
              <w:tabs>
                <w:tab w:val="decimal" w:pos="567"/>
              </w:tabs>
              <w:spacing w:before="40" w:after="40"/>
              <w:rPr>
                <w:rFonts w:eastAsia="Arial Unicode MS" w:cs="Arial"/>
                <w:sz w:val="16"/>
                <w:szCs w:val="16"/>
              </w:rPr>
            </w:pPr>
          </w:p>
        </w:tc>
        <w:tc>
          <w:tcPr>
            <w:tcW w:w="321" w:type="pct"/>
            <w:shd w:val="clear" w:color="auto" w:fill="auto"/>
            <w:vAlign w:val="center"/>
          </w:tcPr>
          <w:p w14:paraId="7F1D1A03" w14:textId="77777777" w:rsidR="006B2784" w:rsidRPr="002B6513" w:rsidRDefault="006B2784" w:rsidP="00D20A1E">
            <w:pPr>
              <w:widowControl/>
              <w:tabs>
                <w:tab w:val="decimal" w:pos="567"/>
              </w:tabs>
              <w:spacing w:before="40" w:after="40"/>
              <w:rPr>
                <w:rFonts w:eastAsia="Arial Unicode MS" w:cs="Arial"/>
                <w:sz w:val="16"/>
                <w:szCs w:val="16"/>
              </w:rPr>
            </w:pPr>
          </w:p>
        </w:tc>
        <w:tc>
          <w:tcPr>
            <w:tcW w:w="321" w:type="pct"/>
            <w:shd w:val="clear" w:color="auto" w:fill="auto"/>
            <w:vAlign w:val="center"/>
          </w:tcPr>
          <w:p w14:paraId="1A7BDDA7" w14:textId="77777777" w:rsidR="006B2784" w:rsidRPr="002B6513" w:rsidRDefault="006B2784" w:rsidP="00D20A1E">
            <w:pPr>
              <w:widowControl/>
              <w:tabs>
                <w:tab w:val="decimal" w:pos="567"/>
              </w:tabs>
              <w:spacing w:before="40" w:after="40"/>
              <w:rPr>
                <w:rFonts w:eastAsia="Arial Unicode MS" w:cs="Arial"/>
                <w:sz w:val="16"/>
                <w:szCs w:val="16"/>
              </w:rPr>
            </w:pPr>
          </w:p>
        </w:tc>
        <w:tc>
          <w:tcPr>
            <w:tcW w:w="321" w:type="pct"/>
            <w:shd w:val="clear" w:color="auto" w:fill="auto"/>
            <w:vAlign w:val="center"/>
          </w:tcPr>
          <w:p w14:paraId="1CF30D30" w14:textId="77777777" w:rsidR="006B2784" w:rsidRPr="002B6513" w:rsidRDefault="006B2784" w:rsidP="00D20A1E">
            <w:pPr>
              <w:widowControl/>
              <w:tabs>
                <w:tab w:val="decimal" w:pos="567"/>
              </w:tabs>
              <w:spacing w:before="40" w:after="40"/>
              <w:rPr>
                <w:rFonts w:eastAsia="Arial Unicode MS" w:cs="Arial"/>
                <w:sz w:val="16"/>
                <w:szCs w:val="16"/>
              </w:rPr>
            </w:pPr>
          </w:p>
        </w:tc>
        <w:tc>
          <w:tcPr>
            <w:tcW w:w="319" w:type="pct"/>
            <w:shd w:val="clear" w:color="auto" w:fill="auto"/>
            <w:vAlign w:val="center"/>
          </w:tcPr>
          <w:p w14:paraId="334DA2C9" w14:textId="77777777" w:rsidR="006B2784" w:rsidRPr="002B6513" w:rsidRDefault="006B2784" w:rsidP="00D20A1E">
            <w:pPr>
              <w:widowControl/>
              <w:tabs>
                <w:tab w:val="decimal" w:pos="567"/>
              </w:tabs>
              <w:spacing w:before="40" w:after="40"/>
              <w:rPr>
                <w:rFonts w:eastAsia="Arial Unicode MS" w:cs="Arial"/>
                <w:sz w:val="16"/>
                <w:szCs w:val="16"/>
              </w:rPr>
            </w:pPr>
          </w:p>
        </w:tc>
      </w:tr>
      <w:tr w:rsidR="006B2784" w:rsidRPr="001D1F2F" w14:paraId="6F5265D0" w14:textId="77777777" w:rsidTr="00577EF3">
        <w:trPr>
          <w:trHeight w:val="324"/>
        </w:trPr>
        <w:tc>
          <w:tcPr>
            <w:tcW w:w="508" w:type="pct"/>
            <w:noWrap/>
            <w:tcMar>
              <w:top w:w="15" w:type="dxa"/>
              <w:left w:w="15" w:type="dxa"/>
              <w:bottom w:w="0" w:type="dxa"/>
              <w:right w:w="15" w:type="dxa"/>
            </w:tcMar>
            <w:vAlign w:val="center"/>
          </w:tcPr>
          <w:p w14:paraId="4ED22E7E" w14:textId="58CDFA4B" w:rsidR="006B2784" w:rsidRPr="001D1F2F" w:rsidRDefault="006B2784" w:rsidP="00D20A1E">
            <w:pPr>
              <w:widowControl/>
              <w:spacing w:before="40" w:after="40"/>
              <w:rPr>
                <w:rFonts w:cs="Arial"/>
                <w:sz w:val="16"/>
                <w:szCs w:val="16"/>
              </w:rPr>
            </w:pPr>
            <w:r w:rsidRPr="001D1F2F">
              <w:rPr>
                <w:rFonts w:cs="Arial"/>
                <w:sz w:val="16"/>
                <w:szCs w:val="16"/>
              </w:rPr>
              <w:t>Dietary folate equivalents</w:t>
            </w:r>
            <w:r w:rsidR="008D629B" w:rsidRPr="008D629B">
              <w:rPr>
                <w:rFonts w:cs="Arial"/>
                <w:sz w:val="16"/>
                <w:szCs w:val="16"/>
                <w:vertAlign w:val="superscript"/>
              </w:rPr>
              <w:t>ɸ</w:t>
            </w:r>
          </w:p>
        </w:tc>
        <w:tc>
          <w:tcPr>
            <w:tcW w:w="321" w:type="pct"/>
            <w:shd w:val="clear" w:color="auto" w:fill="auto"/>
            <w:noWrap/>
            <w:tcMar>
              <w:top w:w="15" w:type="dxa"/>
              <w:left w:w="15" w:type="dxa"/>
              <w:bottom w:w="0" w:type="dxa"/>
              <w:right w:w="15" w:type="dxa"/>
            </w:tcMar>
            <w:vAlign w:val="center"/>
          </w:tcPr>
          <w:p w14:paraId="704E7E59" w14:textId="77777777" w:rsidR="006B2784" w:rsidRPr="001D1F2F" w:rsidRDefault="006B2784" w:rsidP="00D20A1E">
            <w:pPr>
              <w:widowControl/>
              <w:tabs>
                <w:tab w:val="decimal" w:pos="567"/>
              </w:tabs>
              <w:spacing w:before="40" w:after="40"/>
              <w:rPr>
                <w:rFonts w:cs="Arial"/>
                <w:sz w:val="16"/>
                <w:szCs w:val="16"/>
              </w:rPr>
            </w:pPr>
          </w:p>
        </w:tc>
        <w:tc>
          <w:tcPr>
            <w:tcW w:w="321" w:type="pct"/>
            <w:shd w:val="clear" w:color="auto" w:fill="auto"/>
            <w:noWrap/>
            <w:tcMar>
              <w:top w:w="15" w:type="dxa"/>
              <w:left w:w="15" w:type="dxa"/>
              <w:bottom w:w="0" w:type="dxa"/>
              <w:right w:w="15" w:type="dxa"/>
            </w:tcMar>
            <w:vAlign w:val="center"/>
          </w:tcPr>
          <w:p w14:paraId="0E520FBA" w14:textId="77777777" w:rsidR="006B2784" w:rsidRPr="001D1F2F" w:rsidRDefault="006B2784" w:rsidP="00D20A1E">
            <w:pPr>
              <w:widowControl/>
              <w:tabs>
                <w:tab w:val="decimal" w:pos="567"/>
              </w:tabs>
              <w:spacing w:before="40" w:after="40"/>
              <w:rPr>
                <w:rFonts w:cs="Arial"/>
                <w:sz w:val="16"/>
                <w:szCs w:val="16"/>
              </w:rPr>
            </w:pPr>
          </w:p>
        </w:tc>
        <w:tc>
          <w:tcPr>
            <w:tcW w:w="321" w:type="pct"/>
            <w:shd w:val="clear" w:color="auto" w:fill="auto"/>
            <w:noWrap/>
            <w:tcMar>
              <w:top w:w="15" w:type="dxa"/>
              <w:left w:w="15" w:type="dxa"/>
              <w:bottom w:w="0" w:type="dxa"/>
              <w:right w:w="15" w:type="dxa"/>
            </w:tcMar>
            <w:vAlign w:val="center"/>
          </w:tcPr>
          <w:p w14:paraId="7D31FB8D" w14:textId="77777777" w:rsidR="006B2784" w:rsidRPr="001D1F2F" w:rsidRDefault="006B2784" w:rsidP="00D20A1E">
            <w:pPr>
              <w:widowControl/>
              <w:tabs>
                <w:tab w:val="decimal" w:pos="567"/>
              </w:tabs>
              <w:spacing w:before="40" w:after="40"/>
              <w:rPr>
                <w:rFonts w:cs="Arial"/>
                <w:sz w:val="16"/>
                <w:szCs w:val="16"/>
              </w:rPr>
            </w:pPr>
          </w:p>
        </w:tc>
        <w:tc>
          <w:tcPr>
            <w:tcW w:w="310" w:type="pct"/>
            <w:shd w:val="clear" w:color="auto" w:fill="auto"/>
            <w:noWrap/>
            <w:tcMar>
              <w:top w:w="15" w:type="dxa"/>
              <w:left w:w="15" w:type="dxa"/>
              <w:bottom w:w="0" w:type="dxa"/>
              <w:right w:w="15" w:type="dxa"/>
            </w:tcMar>
            <w:vAlign w:val="center"/>
          </w:tcPr>
          <w:p w14:paraId="018C5E24" w14:textId="77777777" w:rsidR="006B2784" w:rsidRPr="001D1F2F" w:rsidRDefault="006B2784" w:rsidP="00D20A1E">
            <w:pPr>
              <w:widowControl/>
              <w:tabs>
                <w:tab w:val="decimal" w:pos="567"/>
              </w:tabs>
              <w:spacing w:before="40" w:after="40"/>
              <w:rPr>
                <w:rFonts w:cs="Arial"/>
                <w:sz w:val="16"/>
                <w:szCs w:val="16"/>
              </w:rPr>
            </w:pPr>
          </w:p>
        </w:tc>
        <w:tc>
          <w:tcPr>
            <w:tcW w:w="332" w:type="pct"/>
            <w:shd w:val="clear" w:color="auto" w:fill="auto"/>
            <w:noWrap/>
            <w:tcMar>
              <w:top w:w="15" w:type="dxa"/>
              <w:left w:w="15" w:type="dxa"/>
              <w:bottom w:w="0" w:type="dxa"/>
              <w:right w:w="15" w:type="dxa"/>
            </w:tcMar>
            <w:vAlign w:val="center"/>
          </w:tcPr>
          <w:p w14:paraId="01043F9B"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11</w:t>
            </w:r>
          </w:p>
        </w:tc>
        <w:tc>
          <w:tcPr>
            <w:tcW w:w="321" w:type="pct"/>
            <w:shd w:val="clear" w:color="auto" w:fill="auto"/>
            <w:vAlign w:val="center"/>
          </w:tcPr>
          <w:p w14:paraId="1B08DD73"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8</w:t>
            </w:r>
          </w:p>
        </w:tc>
        <w:tc>
          <w:tcPr>
            <w:tcW w:w="321" w:type="pct"/>
            <w:shd w:val="clear" w:color="auto" w:fill="auto"/>
            <w:vAlign w:val="center"/>
          </w:tcPr>
          <w:p w14:paraId="3E245656"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8</w:t>
            </w:r>
          </w:p>
        </w:tc>
        <w:tc>
          <w:tcPr>
            <w:tcW w:w="343" w:type="pct"/>
            <w:shd w:val="clear" w:color="auto" w:fill="auto"/>
            <w:vAlign w:val="center"/>
          </w:tcPr>
          <w:p w14:paraId="1310EC5C"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7</w:t>
            </w:r>
          </w:p>
        </w:tc>
        <w:tc>
          <w:tcPr>
            <w:tcW w:w="299" w:type="pct"/>
            <w:shd w:val="clear" w:color="auto" w:fill="auto"/>
            <w:vAlign w:val="center"/>
          </w:tcPr>
          <w:p w14:paraId="0B484FC1"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9</w:t>
            </w:r>
          </w:p>
        </w:tc>
        <w:tc>
          <w:tcPr>
            <w:tcW w:w="321" w:type="pct"/>
            <w:shd w:val="clear" w:color="auto" w:fill="auto"/>
            <w:vAlign w:val="center"/>
          </w:tcPr>
          <w:p w14:paraId="702859C8"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5</w:t>
            </w:r>
          </w:p>
        </w:tc>
        <w:tc>
          <w:tcPr>
            <w:tcW w:w="321" w:type="pct"/>
            <w:shd w:val="clear" w:color="auto" w:fill="auto"/>
            <w:vAlign w:val="center"/>
          </w:tcPr>
          <w:p w14:paraId="5709301C"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5</w:t>
            </w:r>
          </w:p>
        </w:tc>
        <w:tc>
          <w:tcPr>
            <w:tcW w:w="321" w:type="pct"/>
            <w:shd w:val="clear" w:color="auto" w:fill="auto"/>
            <w:vAlign w:val="center"/>
          </w:tcPr>
          <w:p w14:paraId="168795F0"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4</w:t>
            </w:r>
          </w:p>
        </w:tc>
        <w:tc>
          <w:tcPr>
            <w:tcW w:w="321" w:type="pct"/>
            <w:shd w:val="clear" w:color="auto" w:fill="auto"/>
            <w:vAlign w:val="center"/>
          </w:tcPr>
          <w:p w14:paraId="6A8FE403"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4</w:t>
            </w:r>
          </w:p>
        </w:tc>
        <w:tc>
          <w:tcPr>
            <w:tcW w:w="319" w:type="pct"/>
            <w:shd w:val="clear" w:color="auto" w:fill="auto"/>
            <w:vAlign w:val="center"/>
          </w:tcPr>
          <w:p w14:paraId="2D2B4066"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4</w:t>
            </w:r>
          </w:p>
        </w:tc>
      </w:tr>
      <w:tr w:rsidR="006B2784" w:rsidRPr="001D1F2F" w14:paraId="1F91BBD3" w14:textId="77777777" w:rsidTr="00577EF3">
        <w:trPr>
          <w:trHeight w:val="324"/>
        </w:trPr>
        <w:tc>
          <w:tcPr>
            <w:tcW w:w="508" w:type="pct"/>
            <w:shd w:val="clear" w:color="auto" w:fill="D9D9D9" w:themeFill="background1" w:themeFillShade="D9"/>
            <w:noWrap/>
            <w:tcMar>
              <w:top w:w="15" w:type="dxa"/>
              <w:left w:w="15" w:type="dxa"/>
              <w:bottom w:w="0" w:type="dxa"/>
              <w:right w:w="15" w:type="dxa"/>
            </w:tcMar>
            <w:vAlign w:val="center"/>
          </w:tcPr>
          <w:p w14:paraId="4718D7D2" w14:textId="77777777" w:rsidR="006B2784" w:rsidRPr="001D1F2F" w:rsidRDefault="006B2784" w:rsidP="00D20A1E">
            <w:pPr>
              <w:widowControl/>
              <w:spacing w:before="40" w:after="40"/>
              <w:rPr>
                <w:rFonts w:eastAsia="Arial Unicode MS" w:cs="Arial"/>
                <w:sz w:val="16"/>
                <w:szCs w:val="16"/>
              </w:rPr>
            </w:pPr>
            <w:r w:rsidRPr="001D1F2F">
              <w:rPr>
                <w:rFonts w:cs="Arial"/>
                <w:sz w:val="16"/>
                <w:szCs w:val="16"/>
              </w:rPr>
              <w:t>Iodine</w:t>
            </w:r>
          </w:p>
        </w:tc>
        <w:tc>
          <w:tcPr>
            <w:tcW w:w="321" w:type="pct"/>
            <w:shd w:val="clear" w:color="auto" w:fill="D9D9D9" w:themeFill="background1" w:themeFillShade="D9"/>
            <w:noWrap/>
            <w:tcMar>
              <w:top w:w="15" w:type="dxa"/>
              <w:left w:w="15" w:type="dxa"/>
              <w:bottom w:w="0" w:type="dxa"/>
              <w:right w:w="15" w:type="dxa"/>
            </w:tcMar>
            <w:vAlign w:val="center"/>
          </w:tcPr>
          <w:p w14:paraId="1F1C657D" w14:textId="4CDD537C"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68</w:t>
            </w:r>
            <w:r w:rsidR="00D24122">
              <w:rPr>
                <w:rFonts w:cs="Arial"/>
                <w:sz w:val="16"/>
                <w:szCs w:val="16"/>
                <w:vertAlign w:val="superscript"/>
              </w:rPr>
              <w:sym w:font="Wingdings" w:char="F0A9"/>
            </w:r>
          </w:p>
        </w:tc>
        <w:tc>
          <w:tcPr>
            <w:tcW w:w="321" w:type="pct"/>
            <w:shd w:val="clear" w:color="auto" w:fill="D9D9D9" w:themeFill="background1" w:themeFillShade="D9"/>
            <w:noWrap/>
            <w:tcMar>
              <w:top w:w="15" w:type="dxa"/>
              <w:left w:w="15" w:type="dxa"/>
              <w:bottom w:w="0" w:type="dxa"/>
              <w:right w:w="15" w:type="dxa"/>
            </w:tcMar>
            <w:vAlign w:val="center"/>
          </w:tcPr>
          <w:p w14:paraId="1F6E29DB" w14:textId="2FEAB1C0"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77</w:t>
            </w:r>
            <w:r w:rsidR="00D24122">
              <w:rPr>
                <w:rFonts w:cs="Arial"/>
                <w:sz w:val="16"/>
                <w:szCs w:val="16"/>
                <w:vertAlign w:val="superscript"/>
              </w:rPr>
              <w:sym w:font="Wingdings" w:char="F0A9"/>
            </w:r>
          </w:p>
        </w:tc>
        <w:tc>
          <w:tcPr>
            <w:tcW w:w="321" w:type="pct"/>
            <w:shd w:val="clear" w:color="auto" w:fill="D9D9D9" w:themeFill="background1" w:themeFillShade="D9"/>
            <w:noWrap/>
            <w:tcMar>
              <w:top w:w="15" w:type="dxa"/>
              <w:left w:w="15" w:type="dxa"/>
              <w:bottom w:w="0" w:type="dxa"/>
              <w:right w:w="15" w:type="dxa"/>
            </w:tcMar>
            <w:vAlign w:val="center"/>
          </w:tcPr>
          <w:p w14:paraId="604867EF" w14:textId="7ACF90D5"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74</w:t>
            </w:r>
            <w:r w:rsidR="00D24122">
              <w:rPr>
                <w:rFonts w:cs="Arial"/>
                <w:sz w:val="16"/>
                <w:szCs w:val="16"/>
                <w:vertAlign w:val="superscript"/>
              </w:rPr>
              <w:sym w:font="Wingdings" w:char="F0A9"/>
            </w:r>
          </w:p>
        </w:tc>
        <w:tc>
          <w:tcPr>
            <w:tcW w:w="310" w:type="pct"/>
            <w:shd w:val="clear" w:color="auto" w:fill="D9D9D9" w:themeFill="background1" w:themeFillShade="D9"/>
            <w:noWrap/>
            <w:tcMar>
              <w:top w:w="15" w:type="dxa"/>
              <w:left w:w="15" w:type="dxa"/>
              <w:bottom w:w="0" w:type="dxa"/>
              <w:right w:w="15" w:type="dxa"/>
            </w:tcMar>
            <w:vAlign w:val="center"/>
          </w:tcPr>
          <w:p w14:paraId="54C83090" w14:textId="5FF0B0E0"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66</w:t>
            </w:r>
            <w:r w:rsidR="00D24122">
              <w:rPr>
                <w:rFonts w:cs="Arial"/>
                <w:sz w:val="16"/>
                <w:szCs w:val="16"/>
                <w:vertAlign w:val="superscript"/>
              </w:rPr>
              <w:sym w:font="Wingdings" w:char="F0A9"/>
            </w:r>
          </w:p>
        </w:tc>
        <w:tc>
          <w:tcPr>
            <w:tcW w:w="332" w:type="pct"/>
            <w:shd w:val="clear" w:color="auto" w:fill="D9D9D9" w:themeFill="background1" w:themeFillShade="D9"/>
            <w:noWrap/>
            <w:tcMar>
              <w:top w:w="15" w:type="dxa"/>
              <w:left w:w="15" w:type="dxa"/>
              <w:bottom w:w="0" w:type="dxa"/>
              <w:right w:w="15" w:type="dxa"/>
            </w:tcMar>
            <w:vAlign w:val="center"/>
          </w:tcPr>
          <w:p w14:paraId="1EFBDE01"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57</w:t>
            </w:r>
          </w:p>
        </w:tc>
        <w:tc>
          <w:tcPr>
            <w:tcW w:w="321" w:type="pct"/>
            <w:shd w:val="clear" w:color="auto" w:fill="D9D9D9" w:themeFill="background1" w:themeFillShade="D9"/>
            <w:vAlign w:val="center"/>
          </w:tcPr>
          <w:p w14:paraId="3F809019"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45</w:t>
            </w:r>
          </w:p>
        </w:tc>
        <w:tc>
          <w:tcPr>
            <w:tcW w:w="321" w:type="pct"/>
            <w:shd w:val="clear" w:color="auto" w:fill="D9D9D9" w:themeFill="background1" w:themeFillShade="D9"/>
            <w:vAlign w:val="center"/>
          </w:tcPr>
          <w:p w14:paraId="4224F0B7"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40</w:t>
            </w:r>
          </w:p>
        </w:tc>
        <w:tc>
          <w:tcPr>
            <w:tcW w:w="343" w:type="pct"/>
            <w:shd w:val="clear" w:color="auto" w:fill="D9D9D9" w:themeFill="background1" w:themeFillShade="D9"/>
            <w:vAlign w:val="center"/>
          </w:tcPr>
          <w:p w14:paraId="1E3369F5"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35</w:t>
            </w:r>
          </w:p>
        </w:tc>
        <w:tc>
          <w:tcPr>
            <w:tcW w:w="299" w:type="pct"/>
            <w:shd w:val="clear" w:color="auto" w:fill="D9D9D9" w:themeFill="background1" w:themeFillShade="D9"/>
            <w:vAlign w:val="center"/>
          </w:tcPr>
          <w:p w14:paraId="3574AECD"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43</w:t>
            </w:r>
          </w:p>
        </w:tc>
        <w:tc>
          <w:tcPr>
            <w:tcW w:w="321" w:type="pct"/>
            <w:shd w:val="clear" w:color="auto" w:fill="D9D9D9" w:themeFill="background1" w:themeFillShade="D9"/>
            <w:vAlign w:val="center"/>
          </w:tcPr>
          <w:p w14:paraId="5862BD4C"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27</w:t>
            </w:r>
          </w:p>
        </w:tc>
        <w:tc>
          <w:tcPr>
            <w:tcW w:w="321" w:type="pct"/>
            <w:shd w:val="clear" w:color="auto" w:fill="D9D9D9" w:themeFill="background1" w:themeFillShade="D9"/>
            <w:vAlign w:val="center"/>
          </w:tcPr>
          <w:p w14:paraId="5F04E9BE"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25</w:t>
            </w:r>
          </w:p>
        </w:tc>
        <w:tc>
          <w:tcPr>
            <w:tcW w:w="321" w:type="pct"/>
            <w:shd w:val="clear" w:color="auto" w:fill="D9D9D9" w:themeFill="background1" w:themeFillShade="D9"/>
            <w:vAlign w:val="center"/>
          </w:tcPr>
          <w:p w14:paraId="5A8815C2"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20</w:t>
            </w:r>
          </w:p>
        </w:tc>
        <w:tc>
          <w:tcPr>
            <w:tcW w:w="321" w:type="pct"/>
            <w:shd w:val="clear" w:color="auto" w:fill="D9D9D9" w:themeFill="background1" w:themeFillShade="D9"/>
            <w:vAlign w:val="center"/>
          </w:tcPr>
          <w:p w14:paraId="31B7975B"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17</w:t>
            </w:r>
          </w:p>
        </w:tc>
        <w:tc>
          <w:tcPr>
            <w:tcW w:w="319" w:type="pct"/>
            <w:shd w:val="clear" w:color="auto" w:fill="D9D9D9" w:themeFill="background1" w:themeFillShade="D9"/>
            <w:vAlign w:val="center"/>
          </w:tcPr>
          <w:p w14:paraId="6B365CC4"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19</w:t>
            </w:r>
          </w:p>
        </w:tc>
      </w:tr>
      <w:tr w:rsidR="006B2784" w:rsidRPr="001D1F2F" w14:paraId="76FBACA5" w14:textId="77777777" w:rsidTr="00577EF3">
        <w:trPr>
          <w:trHeight w:val="264"/>
        </w:trPr>
        <w:tc>
          <w:tcPr>
            <w:tcW w:w="508" w:type="pct"/>
            <w:shd w:val="clear" w:color="auto" w:fill="D9D9D9" w:themeFill="background1" w:themeFillShade="D9"/>
            <w:noWrap/>
            <w:tcMar>
              <w:top w:w="15" w:type="dxa"/>
              <w:left w:w="15" w:type="dxa"/>
              <w:bottom w:w="0" w:type="dxa"/>
              <w:right w:w="15" w:type="dxa"/>
            </w:tcMar>
            <w:vAlign w:val="center"/>
          </w:tcPr>
          <w:p w14:paraId="34DF416E" w14:textId="77777777" w:rsidR="006B2784" w:rsidRPr="001D1F2F" w:rsidRDefault="006B2784" w:rsidP="00D20A1E">
            <w:pPr>
              <w:widowControl/>
              <w:spacing w:before="40" w:after="40"/>
              <w:rPr>
                <w:rFonts w:eastAsia="Arial Unicode MS" w:cs="Arial"/>
                <w:sz w:val="16"/>
                <w:szCs w:val="16"/>
              </w:rPr>
            </w:pPr>
            <w:r w:rsidRPr="001D1F2F">
              <w:rPr>
                <w:rFonts w:cs="Arial"/>
                <w:sz w:val="16"/>
                <w:szCs w:val="16"/>
              </w:rPr>
              <w:t xml:space="preserve">Magnesium </w:t>
            </w:r>
          </w:p>
        </w:tc>
        <w:tc>
          <w:tcPr>
            <w:tcW w:w="321" w:type="pct"/>
            <w:shd w:val="clear" w:color="auto" w:fill="auto"/>
            <w:noWrap/>
            <w:tcMar>
              <w:top w:w="15" w:type="dxa"/>
              <w:left w:w="15" w:type="dxa"/>
              <w:bottom w:w="0" w:type="dxa"/>
              <w:right w:w="15" w:type="dxa"/>
            </w:tcMar>
            <w:vAlign w:val="center"/>
          </w:tcPr>
          <w:p w14:paraId="73DDE024"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9</w:t>
            </w:r>
          </w:p>
        </w:tc>
        <w:tc>
          <w:tcPr>
            <w:tcW w:w="321" w:type="pct"/>
            <w:shd w:val="clear" w:color="auto" w:fill="D9D9D9" w:themeFill="background1" w:themeFillShade="D9"/>
            <w:noWrap/>
            <w:tcMar>
              <w:top w:w="15" w:type="dxa"/>
              <w:left w:w="15" w:type="dxa"/>
              <w:bottom w:w="0" w:type="dxa"/>
              <w:right w:w="15" w:type="dxa"/>
            </w:tcMar>
            <w:vAlign w:val="center"/>
          </w:tcPr>
          <w:p w14:paraId="21ECB459"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20</w:t>
            </w:r>
          </w:p>
        </w:tc>
        <w:tc>
          <w:tcPr>
            <w:tcW w:w="321" w:type="pct"/>
            <w:shd w:val="clear" w:color="auto" w:fill="auto"/>
            <w:noWrap/>
            <w:tcMar>
              <w:top w:w="15" w:type="dxa"/>
              <w:left w:w="15" w:type="dxa"/>
              <w:bottom w:w="0" w:type="dxa"/>
              <w:right w:w="15" w:type="dxa"/>
            </w:tcMar>
            <w:vAlign w:val="center"/>
          </w:tcPr>
          <w:p w14:paraId="10CF8A22"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13</w:t>
            </w:r>
          </w:p>
        </w:tc>
        <w:tc>
          <w:tcPr>
            <w:tcW w:w="310" w:type="pct"/>
            <w:shd w:val="clear" w:color="auto" w:fill="auto"/>
            <w:noWrap/>
            <w:tcMar>
              <w:top w:w="15" w:type="dxa"/>
              <w:left w:w="15" w:type="dxa"/>
              <w:bottom w:w="0" w:type="dxa"/>
              <w:right w:w="15" w:type="dxa"/>
            </w:tcMar>
            <w:vAlign w:val="center"/>
          </w:tcPr>
          <w:p w14:paraId="04F2FEFD"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8</w:t>
            </w:r>
          </w:p>
        </w:tc>
        <w:tc>
          <w:tcPr>
            <w:tcW w:w="332" w:type="pct"/>
            <w:shd w:val="clear" w:color="auto" w:fill="auto"/>
            <w:noWrap/>
            <w:tcMar>
              <w:top w:w="15" w:type="dxa"/>
              <w:left w:w="15" w:type="dxa"/>
              <w:bottom w:w="0" w:type="dxa"/>
              <w:right w:w="15" w:type="dxa"/>
            </w:tcMar>
            <w:vAlign w:val="center"/>
          </w:tcPr>
          <w:p w14:paraId="792CF212"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15</w:t>
            </w:r>
          </w:p>
        </w:tc>
        <w:tc>
          <w:tcPr>
            <w:tcW w:w="321" w:type="pct"/>
            <w:shd w:val="clear" w:color="auto" w:fill="auto"/>
            <w:vAlign w:val="center"/>
          </w:tcPr>
          <w:p w14:paraId="4C4F854A"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10</w:t>
            </w:r>
          </w:p>
        </w:tc>
        <w:tc>
          <w:tcPr>
            <w:tcW w:w="321" w:type="pct"/>
            <w:shd w:val="clear" w:color="auto" w:fill="auto"/>
            <w:vAlign w:val="center"/>
          </w:tcPr>
          <w:p w14:paraId="21B93F2D"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9</w:t>
            </w:r>
          </w:p>
        </w:tc>
        <w:tc>
          <w:tcPr>
            <w:tcW w:w="343" w:type="pct"/>
            <w:shd w:val="clear" w:color="auto" w:fill="auto"/>
            <w:vAlign w:val="center"/>
          </w:tcPr>
          <w:p w14:paraId="5AB96C46"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7</w:t>
            </w:r>
          </w:p>
        </w:tc>
        <w:tc>
          <w:tcPr>
            <w:tcW w:w="299" w:type="pct"/>
            <w:shd w:val="clear" w:color="auto" w:fill="auto"/>
            <w:vAlign w:val="center"/>
          </w:tcPr>
          <w:p w14:paraId="167BABD9"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14</w:t>
            </w:r>
          </w:p>
        </w:tc>
        <w:tc>
          <w:tcPr>
            <w:tcW w:w="321" w:type="pct"/>
            <w:shd w:val="clear" w:color="auto" w:fill="auto"/>
            <w:vAlign w:val="center"/>
          </w:tcPr>
          <w:p w14:paraId="217C6552"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9</w:t>
            </w:r>
          </w:p>
        </w:tc>
        <w:tc>
          <w:tcPr>
            <w:tcW w:w="321" w:type="pct"/>
            <w:shd w:val="clear" w:color="auto" w:fill="auto"/>
            <w:vAlign w:val="center"/>
          </w:tcPr>
          <w:p w14:paraId="3C47CB30"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8</w:t>
            </w:r>
          </w:p>
        </w:tc>
        <w:tc>
          <w:tcPr>
            <w:tcW w:w="321" w:type="pct"/>
            <w:shd w:val="clear" w:color="auto" w:fill="auto"/>
            <w:vAlign w:val="center"/>
          </w:tcPr>
          <w:p w14:paraId="294AC675"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6</w:t>
            </w:r>
          </w:p>
        </w:tc>
        <w:tc>
          <w:tcPr>
            <w:tcW w:w="321" w:type="pct"/>
            <w:shd w:val="clear" w:color="auto" w:fill="auto"/>
            <w:vAlign w:val="center"/>
          </w:tcPr>
          <w:p w14:paraId="34AC3E10"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5</w:t>
            </w:r>
          </w:p>
        </w:tc>
        <w:tc>
          <w:tcPr>
            <w:tcW w:w="319" w:type="pct"/>
            <w:shd w:val="clear" w:color="auto" w:fill="auto"/>
            <w:vAlign w:val="center"/>
          </w:tcPr>
          <w:p w14:paraId="4ED5B132"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5</w:t>
            </w:r>
          </w:p>
        </w:tc>
      </w:tr>
      <w:tr w:rsidR="006B2784" w:rsidRPr="001D1F2F" w14:paraId="689E0BD8" w14:textId="77777777" w:rsidTr="00577EF3">
        <w:trPr>
          <w:trHeight w:val="264"/>
        </w:trPr>
        <w:tc>
          <w:tcPr>
            <w:tcW w:w="508" w:type="pct"/>
            <w:shd w:val="clear" w:color="auto" w:fill="D9D9D9" w:themeFill="background1" w:themeFillShade="D9"/>
            <w:noWrap/>
            <w:tcMar>
              <w:top w:w="15" w:type="dxa"/>
              <w:left w:w="15" w:type="dxa"/>
              <w:bottom w:w="0" w:type="dxa"/>
              <w:right w:w="15" w:type="dxa"/>
            </w:tcMar>
            <w:vAlign w:val="center"/>
          </w:tcPr>
          <w:p w14:paraId="301B1BD8" w14:textId="77777777" w:rsidR="006B2784" w:rsidRPr="001D1F2F" w:rsidRDefault="006B2784" w:rsidP="00D20A1E">
            <w:pPr>
              <w:widowControl/>
              <w:spacing w:before="40" w:after="40"/>
              <w:rPr>
                <w:rFonts w:eastAsia="Arial Unicode MS" w:cs="Arial"/>
                <w:sz w:val="16"/>
                <w:szCs w:val="16"/>
              </w:rPr>
            </w:pPr>
            <w:r w:rsidRPr="001D1F2F">
              <w:rPr>
                <w:rFonts w:cs="Arial"/>
                <w:sz w:val="16"/>
                <w:szCs w:val="16"/>
              </w:rPr>
              <w:t xml:space="preserve">Phosphorus </w:t>
            </w:r>
          </w:p>
        </w:tc>
        <w:tc>
          <w:tcPr>
            <w:tcW w:w="321" w:type="pct"/>
            <w:shd w:val="clear" w:color="auto" w:fill="auto"/>
            <w:noWrap/>
            <w:tcMar>
              <w:top w:w="15" w:type="dxa"/>
              <w:left w:w="15" w:type="dxa"/>
              <w:bottom w:w="0" w:type="dxa"/>
              <w:right w:w="15" w:type="dxa"/>
            </w:tcMar>
            <w:vAlign w:val="center"/>
          </w:tcPr>
          <w:p w14:paraId="1B080882"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15</w:t>
            </w:r>
          </w:p>
        </w:tc>
        <w:tc>
          <w:tcPr>
            <w:tcW w:w="321" w:type="pct"/>
            <w:shd w:val="clear" w:color="auto" w:fill="D9D9D9" w:themeFill="background1" w:themeFillShade="D9"/>
            <w:noWrap/>
            <w:tcMar>
              <w:top w:w="15" w:type="dxa"/>
              <w:left w:w="15" w:type="dxa"/>
              <w:bottom w:w="0" w:type="dxa"/>
              <w:right w:w="15" w:type="dxa"/>
            </w:tcMar>
            <w:vAlign w:val="center"/>
          </w:tcPr>
          <w:p w14:paraId="1E3B314E"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32</w:t>
            </w:r>
          </w:p>
        </w:tc>
        <w:tc>
          <w:tcPr>
            <w:tcW w:w="321" w:type="pct"/>
            <w:shd w:val="clear" w:color="auto" w:fill="D9D9D9" w:themeFill="background1" w:themeFillShade="D9"/>
            <w:noWrap/>
            <w:tcMar>
              <w:top w:w="15" w:type="dxa"/>
              <w:left w:w="15" w:type="dxa"/>
              <w:bottom w:w="0" w:type="dxa"/>
              <w:right w:w="15" w:type="dxa"/>
            </w:tcMar>
            <w:vAlign w:val="center"/>
          </w:tcPr>
          <w:p w14:paraId="5FDF3B26"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21</w:t>
            </w:r>
          </w:p>
        </w:tc>
        <w:tc>
          <w:tcPr>
            <w:tcW w:w="310" w:type="pct"/>
            <w:shd w:val="clear" w:color="auto" w:fill="auto"/>
            <w:noWrap/>
            <w:tcMar>
              <w:top w:w="15" w:type="dxa"/>
              <w:left w:w="15" w:type="dxa"/>
              <w:bottom w:w="0" w:type="dxa"/>
              <w:right w:w="15" w:type="dxa"/>
            </w:tcMar>
            <w:vAlign w:val="center"/>
          </w:tcPr>
          <w:p w14:paraId="11ED1B64"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14</w:t>
            </w:r>
          </w:p>
        </w:tc>
        <w:tc>
          <w:tcPr>
            <w:tcW w:w="332" w:type="pct"/>
            <w:shd w:val="clear" w:color="auto" w:fill="D9D9D9" w:themeFill="background1" w:themeFillShade="D9"/>
            <w:noWrap/>
            <w:tcMar>
              <w:top w:w="15" w:type="dxa"/>
              <w:left w:w="15" w:type="dxa"/>
              <w:bottom w:w="0" w:type="dxa"/>
              <w:right w:w="15" w:type="dxa"/>
            </w:tcMar>
            <w:vAlign w:val="center"/>
          </w:tcPr>
          <w:p w14:paraId="50408519"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26</w:t>
            </w:r>
          </w:p>
        </w:tc>
        <w:tc>
          <w:tcPr>
            <w:tcW w:w="321" w:type="pct"/>
            <w:shd w:val="clear" w:color="auto" w:fill="auto"/>
            <w:vAlign w:val="center"/>
          </w:tcPr>
          <w:p w14:paraId="563EEBA5"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18</w:t>
            </w:r>
          </w:p>
        </w:tc>
        <w:tc>
          <w:tcPr>
            <w:tcW w:w="321" w:type="pct"/>
            <w:shd w:val="clear" w:color="auto" w:fill="auto"/>
            <w:vAlign w:val="center"/>
          </w:tcPr>
          <w:p w14:paraId="46E2F16E"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16</w:t>
            </w:r>
          </w:p>
        </w:tc>
        <w:tc>
          <w:tcPr>
            <w:tcW w:w="343" w:type="pct"/>
            <w:shd w:val="clear" w:color="auto" w:fill="auto"/>
            <w:vAlign w:val="center"/>
          </w:tcPr>
          <w:p w14:paraId="0B54F6A9"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13</w:t>
            </w:r>
          </w:p>
        </w:tc>
        <w:tc>
          <w:tcPr>
            <w:tcW w:w="299" w:type="pct"/>
            <w:shd w:val="clear" w:color="auto" w:fill="D9D9D9" w:themeFill="background1" w:themeFillShade="D9"/>
            <w:vAlign w:val="center"/>
          </w:tcPr>
          <w:p w14:paraId="558761DF"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26</w:t>
            </w:r>
          </w:p>
        </w:tc>
        <w:tc>
          <w:tcPr>
            <w:tcW w:w="321" w:type="pct"/>
            <w:shd w:val="clear" w:color="auto" w:fill="auto"/>
            <w:vAlign w:val="center"/>
          </w:tcPr>
          <w:p w14:paraId="45C295DB"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16</w:t>
            </w:r>
          </w:p>
        </w:tc>
        <w:tc>
          <w:tcPr>
            <w:tcW w:w="321" w:type="pct"/>
            <w:shd w:val="clear" w:color="auto" w:fill="auto"/>
            <w:vAlign w:val="center"/>
          </w:tcPr>
          <w:p w14:paraId="54FBD756"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14</w:t>
            </w:r>
          </w:p>
        </w:tc>
        <w:tc>
          <w:tcPr>
            <w:tcW w:w="321" w:type="pct"/>
            <w:shd w:val="clear" w:color="auto" w:fill="auto"/>
            <w:vAlign w:val="center"/>
          </w:tcPr>
          <w:p w14:paraId="5C80E3D8"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10</w:t>
            </w:r>
          </w:p>
        </w:tc>
        <w:tc>
          <w:tcPr>
            <w:tcW w:w="321" w:type="pct"/>
            <w:shd w:val="clear" w:color="auto" w:fill="auto"/>
            <w:vAlign w:val="center"/>
          </w:tcPr>
          <w:p w14:paraId="57B1BAFF"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9</w:t>
            </w:r>
          </w:p>
        </w:tc>
        <w:tc>
          <w:tcPr>
            <w:tcW w:w="319" w:type="pct"/>
            <w:shd w:val="clear" w:color="auto" w:fill="auto"/>
            <w:vAlign w:val="center"/>
          </w:tcPr>
          <w:p w14:paraId="585FA732"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10</w:t>
            </w:r>
          </w:p>
        </w:tc>
      </w:tr>
      <w:tr w:rsidR="006B2784" w:rsidRPr="001D1F2F" w14:paraId="1DBFC16F" w14:textId="77777777" w:rsidTr="00577EF3">
        <w:trPr>
          <w:trHeight w:val="264"/>
        </w:trPr>
        <w:tc>
          <w:tcPr>
            <w:tcW w:w="508" w:type="pct"/>
            <w:shd w:val="clear" w:color="auto" w:fill="D9D9D9" w:themeFill="background1" w:themeFillShade="D9"/>
            <w:noWrap/>
            <w:tcMar>
              <w:top w:w="15" w:type="dxa"/>
              <w:left w:w="15" w:type="dxa"/>
              <w:bottom w:w="0" w:type="dxa"/>
              <w:right w:w="15" w:type="dxa"/>
            </w:tcMar>
            <w:vAlign w:val="center"/>
          </w:tcPr>
          <w:p w14:paraId="12393FC7" w14:textId="77777777" w:rsidR="006B2784" w:rsidRPr="001D1F2F" w:rsidRDefault="006B2784" w:rsidP="00D20A1E">
            <w:pPr>
              <w:widowControl/>
              <w:spacing w:before="40" w:after="40"/>
              <w:rPr>
                <w:rFonts w:eastAsia="Arial Unicode MS" w:cs="Arial"/>
                <w:sz w:val="16"/>
                <w:szCs w:val="16"/>
              </w:rPr>
            </w:pPr>
            <w:r w:rsidRPr="001D1F2F">
              <w:rPr>
                <w:rFonts w:cs="Arial"/>
                <w:sz w:val="16"/>
                <w:szCs w:val="16"/>
              </w:rPr>
              <w:t>Protein</w:t>
            </w:r>
          </w:p>
        </w:tc>
        <w:tc>
          <w:tcPr>
            <w:tcW w:w="321" w:type="pct"/>
            <w:shd w:val="clear" w:color="auto" w:fill="auto"/>
            <w:noWrap/>
            <w:tcMar>
              <w:top w:w="15" w:type="dxa"/>
              <w:left w:w="15" w:type="dxa"/>
              <w:bottom w:w="0" w:type="dxa"/>
              <w:right w:w="15" w:type="dxa"/>
            </w:tcMar>
            <w:vAlign w:val="center"/>
          </w:tcPr>
          <w:p w14:paraId="395074C2" w14:textId="77777777" w:rsidR="006B2784" w:rsidRPr="001D1F2F" w:rsidRDefault="006B2784" w:rsidP="00D20A1E">
            <w:pPr>
              <w:pStyle w:val="E-mailSignature"/>
              <w:tabs>
                <w:tab w:val="decimal" w:pos="567"/>
              </w:tabs>
              <w:spacing w:before="40" w:after="40"/>
              <w:rPr>
                <w:rFonts w:eastAsia="Arial Unicode MS" w:cs="Arial"/>
                <w:sz w:val="16"/>
                <w:szCs w:val="16"/>
                <w:lang w:bidi="ar-SA"/>
              </w:rPr>
            </w:pPr>
            <w:r w:rsidRPr="001D1F2F">
              <w:rPr>
                <w:rFonts w:cs="Arial"/>
                <w:sz w:val="16"/>
                <w:szCs w:val="16"/>
                <w:lang w:bidi="ar-SA"/>
              </w:rPr>
              <w:t>9</w:t>
            </w:r>
          </w:p>
        </w:tc>
        <w:tc>
          <w:tcPr>
            <w:tcW w:w="321" w:type="pct"/>
            <w:shd w:val="clear" w:color="auto" w:fill="D9D9D9" w:themeFill="background1" w:themeFillShade="D9"/>
            <w:noWrap/>
            <w:tcMar>
              <w:top w:w="15" w:type="dxa"/>
              <w:left w:w="15" w:type="dxa"/>
              <w:bottom w:w="0" w:type="dxa"/>
              <w:right w:w="15" w:type="dxa"/>
            </w:tcMar>
            <w:vAlign w:val="center"/>
          </w:tcPr>
          <w:p w14:paraId="5E9C0A8B"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22</w:t>
            </w:r>
          </w:p>
        </w:tc>
        <w:tc>
          <w:tcPr>
            <w:tcW w:w="321" w:type="pct"/>
            <w:shd w:val="clear" w:color="auto" w:fill="auto"/>
            <w:noWrap/>
            <w:tcMar>
              <w:top w:w="15" w:type="dxa"/>
              <w:left w:w="15" w:type="dxa"/>
              <w:bottom w:w="0" w:type="dxa"/>
              <w:right w:w="15" w:type="dxa"/>
            </w:tcMar>
            <w:vAlign w:val="center"/>
          </w:tcPr>
          <w:p w14:paraId="234D6F0F"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13</w:t>
            </w:r>
          </w:p>
        </w:tc>
        <w:tc>
          <w:tcPr>
            <w:tcW w:w="310" w:type="pct"/>
            <w:shd w:val="clear" w:color="auto" w:fill="auto"/>
            <w:noWrap/>
            <w:tcMar>
              <w:top w:w="15" w:type="dxa"/>
              <w:left w:w="15" w:type="dxa"/>
              <w:bottom w:w="0" w:type="dxa"/>
              <w:right w:w="15" w:type="dxa"/>
            </w:tcMar>
            <w:vAlign w:val="center"/>
          </w:tcPr>
          <w:p w14:paraId="6CAA4FE3"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8</w:t>
            </w:r>
          </w:p>
        </w:tc>
        <w:tc>
          <w:tcPr>
            <w:tcW w:w="332" w:type="pct"/>
            <w:shd w:val="clear" w:color="auto" w:fill="auto"/>
            <w:noWrap/>
            <w:tcMar>
              <w:top w:w="15" w:type="dxa"/>
              <w:left w:w="15" w:type="dxa"/>
              <w:bottom w:w="0" w:type="dxa"/>
              <w:right w:w="15" w:type="dxa"/>
            </w:tcMar>
            <w:vAlign w:val="center"/>
          </w:tcPr>
          <w:p w14:paraId="5CC7B591"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19</w:t>
            </w:r>
          </w:p>
        </w:tc>
        <w:tc>
          <w:tcPr>
            <w:tcW w:w="321" w:type="pct"/>
            <w:shd w:val="clear" w:color="auto" w:fill="auto"/>
            <w:vAlign w:val="center"/>
          </w:tcPr>
          <w:p w14:paraId="748D707C"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12</w:t>
            </w:r>
          </w:p>
        </w:tc>
        <w:tc>
          <w:tcPr>
            <w:tcW w:w="321" w:type="pct"/>
            <w:shd w:val="clear" w:color="auto" w:fill="auto"/>
            <w:vAlign w:val="center"/>
          </w:tcPr>
          <w:p w14:paraId="71214C11"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10</w:t>
            </w:r>
          </w:p>
        </w:tc>
        <w:tc>
          <w:tcPr>
            <w:tcW w:w="343" w:type="pct"/>
            <w:shd w:val="clear" w:color="auto" w:fill="auto"/>
            <w:vAlign w:val="center"/>
          </w:tcPr>
          <w:p w14:paraId="25700E28"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8</w:t>
            </w:r>
          </w:p>
        </w:tc>
        <w:tc>
          <w:tcPr>
            <w:tcW w:w="299" w:type="pct"/>
            <w:shd w:val="clear" w:color="auto" w:fill="auto"/>
            <w:vAlign w:val="center"/>
          </w:tcPr>
          <w:p w14:paraId="56DBD03F"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18</w:t>
            </w:r>
          </w:p>
        </w:tc>
        <w:tc>
          <w:tcPr>
            <w:tcW w:w="321" w:type="pct"/>
            <w:shd w:val="clear" w:color="auto" w:fill="auto"/>
            <w:vAlign w:val="center"/>
          </w:tcPr>
          <w:p w14:paraId="49D0F82C"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10</w:t>
            </w:r>
          </w:p>
        </w:tc>
        <w:tc>
          <w:tcPr>
            <w:tcW w:w="321" w:type="pct"/>
            <w:shd w:val="clear" w:color="auto" w:fill="auto"/>
            <w:vAlign w:val="center"/>
          </w:tcPr>
          <w:p w14:paraId="70CD906A"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9</w:t>
            </w:r>
          </w:p>
        </w:tc>
        <w:tc>
          <w:tcPr>
            <w:tcW w:w="321" w:type="pct"/>
            <w:shd w:val="clear" w:color="auto" w:fill="auto"/>
            <w:vAlign w:val="center"/>
          </w:tcPr>
          <w:p w14:paraId="192A29F2"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6</w:t>
            </w:r>
          </w:p>
        </w:tc>
        <w:tc>
          <w:tcPr>
            <w:tcW w:w="321" w:type="pct"/>
            <w:shd w:val="clear" w:color="auto" w:fill="auto"/>
            <w:vAlign w:val="center"/>
          </w:tcPr>
          <w:p w14:paraId="0197F0ED"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5</w:t>
            </w:r>
          </w:p>
        </w:tc>
        <w:tc>
          <w:tcPr>
            <w:tcW w:w="319" w:type="pct"/>
            <w:shd w:val="clear" w:color="auto" w:fill="auto"/>
            <w:vAlign w:val="center"/>
          </w:tcPr>
          <w:p w14:paraId="3D025691"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6</w:t>
            </w:r>
          </w:p>
        </w:tc>
      </w:tr>
      <w:tr w:rsidR="006B2784" w:rsidRPr="001D1F2F" w14:paraId="79FFF7E7" w14:textId="77777777" w:rsidTr="00577EF3">
        <w:trPr>
          <w:trHeight w:val="264"/>
        </w:trPr>
        <w:tc>
          <w:tcPr>
            <w:tcW w:w="508" w:type="pct"/>
            <w:shd w:val="clear" w:color="auto" w:fill="D9D9D9" w:themeFill="background1" w:themeFillShade="D9"/>
            <w:noWrap/>
            <w:tcMar>
              <w:top w:w="15" w:type="dxa"/>
              <w:left w:w="15" w:type="dxa"/>
              <w:bottom w:w="0" w:type="dxa"/>
              <w:right w:w="15" w:type="dxa"/>
            </w:tcMar>
            <w:vAlign w:val="center"/>
          </w:tcPr>
          <w:p w14:paraId="58A3E690" w14:textId="77777777" w:rsidR="006B2784" w:rsidRPr="001D1F2F" w:rsidRDefault="006B2784" w:rsidP="00D20A1E">
            <w:pPr>
              <w:widowControl/>
              <w:spacing w:before="40" w:after="40"/>
              <w:rPr>
                <w:rFonts w:eastAsia="Arial Unicode MS" w:cs="Arial"/>
                <w:sz w:val="16"/>
                <w:szCs w:val="16"/>
              </w:rPr>
            </w:pPr>
            <w:r w:rsidRPr="001D1F2F">
              <w:rPr>
                <w:rFonts w:cs="Arial"/>
                <w:sz w:val="16"/>
                <w:szCs w:val="16"/>
              </w:rPr>
              <w:t>Riboflavin</w:t>
            </w:r>
          </w:p>
        </w:tc>
        <w:tc>
          <w:tcPr>
            <w:tcW w:w="321" w:type="pct"/>
            <w:shd w:val="clear" w:color="auto" w:fill="D9D9D9" w:themeFill="background1" w:themeFillShade="D9"/>
            <w:noWrap/>
            <w:tcMar>
              <w:top w:w="15" w:type="dxa"/>
              <w:left w:w="15" w:type="dxa"/>
              <w:bottom w:w="0" w:type="dxa"/>
              <w:right w:w="15" w:type="dxa"/>
            </w:tcMar>
            <w:vAlign w:val="center"/>
          </w:tcPr>
          <w:p w14:paraId="22D1090B"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23</w:t>
            </w:r>
          </w:p>
        </w:tc>
        <w:tc>
          <w:tcPr>
            <w:tcW w:w="321" w:type="pct"/>
            <w:shd w:val="clear" w:color="auto" w:fill="D9D9D9" w:themeFill="background1" w:themeFillShade="D9"/>
            <w:noWrap/>
            <w:tcMar>
              <w:top w:w="15" w:type="dxa"/>
              <w:left w:w="15" w:type="dxa"/>
              <w:bottom w:w="0" w:type="dxa"/>
              <w:right w:w="15" w:type="dxa"/>
            </w:tcMar>
            <w:vAlign w:val="center"/>
          </w:tcPr>
          <w:p w14:paraId="48549F98"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38</w:t>
            </w:r>
          </w:p>
        </w:tc>
        <w:tc>
          <w:tcPr>
            <w:tcW w:w="321" w:type="pct"/>
            <w:shd w:val="clear" w:color="auto" w:fill="D9D9D9" w:themeFill="background1" w:themeFillShade="D9"/>
            <w:noWrap/>
            <w:tcMar>
              <w:top w:w="15" w:type="dxa"/>
              <w:left w:w="15" w:type="dxa"/>
              <w:bottom w:w="0" w:type="dxa"/>
              <w:right w:w="15" w:type="dxa"/>
            </w:tcMar>
            <w:vAlign w:val="center"/>
          </w:tcPr>
          <w:p w14:paraId="717B77B0" w14:textId="77777777" w:rsidR="006B2784" w:rsidRPr="001D1F2F" w:rsidRDefault="006B2784" w:rsidP="00D20A1E">
            <w:pPr>
              <w:pStyle w:val="E-mailSignature"/>
              <w:tabs>
                <w:tab w:val="decimal" w:pos="567"/>
              </w:tabs>
              <w:spacing w:before="40" w:after="40"/>
              <w:rPr>
                <w:rFonts w:eastAsia="Arial Unicode MS" w:cs="Arial"/>
                <w:sz w:val="16"/>
                <w:szCs w:val="16"/>
                <w:lang w:bidi="ar-SA"/>
              </w:rPr>
            </w:pPr>
            <w:r w:rsidRPr="001D1F2F">
              <w:rPr>
                <w:rFonts w:cs="Arial"/>
                <w:sz w:val="16"/>
                <w:szCs w:val="16"/>
                <w:lang w:bidi="ar-SA"/>
              </w:rPr>
              <w:t>26</w:t>
            </w:r>
          </w:p>
        </w:tc>
        <w:tc>
          <w:tcPr>
            <w:tcW w:w="310" w:type="pct"/>
            <w:shd w:val="clear" w:color="auto" w:fill="D9D9D9" w:themeFill="background1" w:themeFillShade="D9"/>
            <w:noWrap/>
            <w:tcMar>
              <w:top w:w="15" w:type="dxa"/>
              <w:left w:w="15" w:type="dxa"/>
              <w:bottom w:w="0" w:type="dxa"/>
              <w:right w:w="15" w:type="dxa"/>
            </w:tcMar>
            <w:vAlign w:val="center"/>
          </w:tcPr>
          <w:p w14:paraId="28AB833D"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21</w:t>
            </w:r>
          </w:p>
        </w:tc>
        <w:tc>
          <w:tcPr>
            <w:tcW w:w="332" w:type="pct"/>
            <w:shd w:val="clear" w:color="auto" w:fill="D9D9D9" w:themeFill="background1" w:themeFillShade="D9"/>
            <w:noWrap/>
            <w:tcMar>
              <w:top w:w="15" w:type="dxa"/>
              <w:left w:w="15" w:type="dxa"/>
              <w:bottom w:w="0" w:type="dxa"/>
              <w:right w:w="15" w:type="dxa"/>
            </w:tcMar>
            <w:vAlign w:val="center"/>
          </w:tcPr>
          <w:p w14:paraId="56D68F01"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30</w:t>
            </w:r>
          </w:p>
        </w:tc>
        <w:tc>
          <w:tcPr>
            <w:tcW w:w="321" w:type="pct"/>
            <w:shd w:val="clear" w:color="auto" w:fill="D9D9D9" w:themeFill="background1" w:themeFillShade="D9"/>
            <w:vAlign w:val="center"/>
          </w:tcPr>
          <w:p w14:paraId="0038FD06"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21</w:t>
            </w:r>
          </w:p>
        </w:tc>
        <w:tc>
          <w:tcPr>
            <w:tcW w:w="321" w:type="pct"/>
            <w:shd w:val="clear" w:color="auto" w:fill="D9D9D9" w:themeFill="background1" w:themeFillShade="D9"/>
            <w:vAlign w:val="center"/>
          </w:tcPr>
          <w:p w14:paraId="254F729F"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20</w:t>
            </w:r>
          </w:p>
        </w:tc>
        <w:tc>
          <w:tcPr>
            <w:tcW w:w="343" w:type="pct"/>
            <w:shd w:val="clear" w:color="auto" w:fill="auto"/>
            <w:vAlign w:val="center"/>
          </w:tcPr>
          <w:p w14:paraId="73ED1461"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15</w:t>
            </w:r>
          </w:p>
        </w:tc>
        <w:tc>
          <w:tcPr>
            <w:tcW w:w="299" w:type="pct"/>
            <w:shd w:val="clear" w:color="auto" w:fill="D9D9D9" w:themeFill="background1" w:themeFillShade="D9"/>
            <w:vAlign w:val="center"/>
          </w:tcPr>
          <w:p w14:paraId="6933B490"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33</w:t>
            </w:r>
          </w:p>
        </w:tc>
        <w:tc>
          <w:tcPr>
            <w:tcW w:w="321" w:type="pct"/>
            <w:shd w:val="clear" w:color="auto" w:fill="D9D9D9" w:themeFill="background1" w:themeFillShade="D9"/>
            <w:vAlign w:val="center"/>
          </w:tcPr>
          <w:p w14:paraId="7FA2E4BB"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21</w:t>
            </w:r>
          </w:p>
        </w:tc>
        <w:tc>
          <w:tcPr>
            <w:tcW w:w="321" w:type="pct"/>
            <w:shd w:val="clear" w:color="auto" w:fill="D9D9D9" w:themeFill="background1" w:themeFillShade="D9"/>
            <w:vAlign w:val="center"/>
          </w:tcPr>
          <w:p w14:paraId="272DD3C5"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21</w:t>
            </w:r>
          </w:p>
        </w:tc>
        <w:tc>
          <w:tcPr>
            <w:tcW w:w="321" w:type="pct"/>
            <w:shd w:val="clear" w:color="auto" w:fill="auto"/>
            <w:vAlign w:val="center"/>
          </w:tcPr>
          <w:p w14:paraId="2421ED62"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17</w:t>
            </w:r>
          </w:p>
        </w:tc>
        <w:tc>
          <w:tcPr>
            <w:tcW w:w="321" w:type="pct"/>
            <w:shd w:val="clear" w:color="auto" w:fill="auto"/>
            <w:vAlign w:val="center"/>
          </w:tcPr>
          <w:p w14:paraId="449C80A6"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14</w:t>
            </w:r>
          </w:p>
        </w:tc>
        <w:tc>
          <w:tcPr>
            <w:tcW w:w="319" w:type="pct"/>
            <w:shd w:val="clear" w:color="auto" w:fill="auto"/>
            <w:vAlign w:val="center"/>
          </w:tcPr>
          <w:p w14:paraId="4300350C"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16</w:t>
            </w:r>
          </w:p>
        </w:tc>
      </w:tr>
      <w:tr w:rsidR="006B2784" w:rsidRPr="001D1F2F" w14:paraId="27794E9D" w14:textId="77777777" w:rsidTr="00703DC1">
        <w:trPr>
          <w:trHeight w:val="264"/>
        </w:trPr>
        <w:tc>
          <w:tcPr>
            <w:tcW w:w="508" w:type="pct"/>
            <w:noWrap/>
            <w:tcMar>
              <w:top w:w="15" w:type="dxa"/>
              <w:left w:w="15" w:type="dxa"/>
              <w:bottom w:w="0" w:type="dxa"/>
              <w:right w:w="15" w:type="dxa"/>
            </w:tcMar>
            <w:vAlign w:val="center"/>
          </w:tcPr>
          <w:p w14:paraId="6BD6645B" w14:textId="77777777" w:rsidR="006B2784" w:rsidRPr="001D1F2F" w:rsidRDefault="006B2784" w:rsidP="00D20A1E">
            <w:pPr>
              <w:widowControl/>
              <w:spacing w:before="40" w:after="40"/>
              <w:rPr>
                <w:rFonts w:eastAsia="Arial Unicode MS" w:cs="Arial"/>
                <w:sz w:val="16"/>
                <w:szCs w:val="16"/>
              </w:rPr>
            </w:pPr>
            <w:r w:rsidRPr="001D1F2F">
              <w:rPr>
                <w:rFonts w:cs="Arial"/>
                <w:sz w:val="16"/>
                <w:szCs w:val="16"/>
              </w:rPr>
              <w:t xml:space="preserve">Thiamin </w:t>
            </w:r>
          </w:p>
        </w:tc>
        <w:tc>
          <w:tcPr>
            <w:tcW w:w="321" w:type="pct"/>
            <w:shd w:val="clear" w:color="auto" w:fill="auto"/>
            <w:noWrap/>
            <w:tcMar>
              <w:top w:w="15" w:type="dxa"/>
              <w:left w:w="15" w:type="dxa"/>
              <w:bottom w:w="0" w:type="dxa"/>
              <w:right w:w="15" w:type="dxa"/>
            </w:tcMar>
            <w:vAlign w:val="center"/>
          </w:tcPr>
          <w:p w14:paraId="1AD4F89D"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6</w:t>
            </w:r>
          </w:p>
        </w:tc>
        <w:tc>
          <w:tcPr>
            <w:tcW w:w="321" w:type="pct"/>
            <w:shd w:val="clear" w:color="auto" w:fill="auto"/>
            <w:noWrap/>
            <w:tcMar>
              <w:top w:w="15" w:type="dxa"/>
              <w:left w:w="15" w:type="dxa"/>
              <w:bottom w:w="0" w:type="dxa"/>
              <w:right w:w="15" w:type="dxa"/>
            </w:tcMar>
            <w:vAlign w:val="center"/>
          </w:tcPr>
          <w:p w14:paraId="775254C1"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13</w:t>
            </w:r>
          </w:p>
        </w:tc>
        <w:tc>
          <w:tcPr>
            <w:tcW w:w="321" w:type="pct"/>
            <w:shd w:val="clear" w:color="auto" w:fill="auto"/>
            <w:noWrap/>
            <w:tcMar>
              <w:top w:w="15" w:type="dxa"/>
              <w:left w:w="15" w:type="dxa"/>
              <w:bottom w:w="0" w:type="dxa"/>
              <w:right w:w="15" w:type="dxa"/>
            </w:tcMar>
            <w:vAlign w:val="center"/>
          </w:tcPr>
          <w:p w14:paraId="2C8A7962"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7</w:t>
            </w:r>
          </w:p>
        </w:tc>
        <w:tc>
          <w:tcPr>
            <w:tcW w:w="310" w:type="pct"/>
            <w:shd w:val="clear" w:color="auto" w:fill="auto"/>
            <w:noWrap/>
            <w:tcMar>
              <w:top w:w="15" w:type="dxa"/>
              <w:left w:w="15" w:type="dxa"/>
              <w:bottom w:w="0" w:type="dxa"/>
              <w:right w:w="15" w:type="dxa"/>
            </w:tcMar>
            <w:vAlign w:val="center"/>
          </w:tcPr>
          <w:p w14:paraId="575F7573"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sz w:val="16"/>
                <w:szCs w:val="16"/>
              </w:rPr>
              <w:t>5</w:t>
            </w:r>
          </w:p>
        </w:tc>
        <w:tc>
          <w:tcPr>
            <w:tcW w:w="332" w:type="pct"/>
            <w:tcBorders>
              <w:bottom w:val="single" w:sz="4" w:space="0" w:color="auto"/>
            </w:tcBorders>
            <w:shd w:val="clear" w:color="auto" w:fill="auto"/>
            <w:noWrap/>
            <w:tcMar>
              <w:top w:w="15" w:type="dxa"/>
              <w:left w:w="15" w:type="dxa"/>
              <w:bottom w:w="0" w:type="dxa"/>
              <w:right w:w="15" w:type="dxa"/>
            </w:tcMar>
            <w:vAlign w:val="center"/>
          </w:tcPr>
          <w:p w14:paraId="0429963F"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&lt;1</w:t>
            </w:r>
          </w:p>
        </w:tc>
        <w:tc>
          <w:tcPr>
            <w:tcW w:w="321" w:type="pct"/>
            <w:shd w:val="clear" w:color="auto" w:fill="auto"/>
            <w:vAlign w:val="center"/>
          </w:tcPr>
          <w:p w14:paraId="4A759DB7"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&lt;1</w:t>
            </w:r>
          </w:p>
        </w:tc>
        <w:tc>
          <w:tcPr>
            <w:tcW w:w="321" w:type="pct"/>
            <w:shd w:val="clear" w:color="auto" w:fill="auto"/>
            <w:vAlign w:val="center"/>
          </w:tcPr>
          <w:p w14:paraId="1D30637A"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&lt;1</w:t>
            </w:r>
          </w:p>
        </w:tc>
        <w:tc>
          <w:tcPr>
            <w:tcW w:w="343" w:type="pct"/>
            <w:shd w:val="clear" w:color="auto" w:fill="auto"/>
            <w:vAlign w:val="center"/>
          </w:tcPr>
          <w:p w14:paraId="64650BAC" w14:textId="77777777" w:rsidR="006B2784" w:rsidRPr="001D1F2F" w:rsidRDefault="006B2784" w:rsidP="00D20A1E">
            <w:pPr>
              <w:widowControl/>
              <w:tabs>
                <w:tab w:val="decimal" w:pos="567"/>
              </w:tabs>
              <w:spacing w:before="40" w:after="40"/>
              <w:rPr>
                <w:rFonts w:eastAsia="Arial Unicode MS" w:cs="Arial"/>
                <w:sz w:val="16"/>
                <w:szCs w:val="16"/>
              </w:rPr>
            </w:pPr>
            <w:r w:rsidRPr="001D1F2F">
              <w:rPr>
                <w:rFonts w:cs="Arial"/>
                <w:color w:val="000000"/>
                <w:sz w:val="16"/>
                <w:szCs w:val="16"/>
              </w:rPr>
              <w:t>&lt;1</w:t>
            </w:r>
          </w:p>
        </w:tc>
        <w:tc>
          <w:tcPr>
            <w:tcW w:w="299" w:type="pct"/>
            <w:shd w:val="clear" w:color="auto" w:fill="auto"/>
            <w:vAlign w:val="center"/>
          </w:tcPr>
          <w:p w14:paraId="137DA2D9"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2</w:t>
            </w:r>
          </w:p>
        </w:tc>
        <w:tc>
          <w:tcPr>
            <w:tcW w:w="321" w:type="pct"/>
            <w:shd w:val="clear" w:color="auto" w:fill="auto"/>
            <w:vAlign w:val="center"/>
          </w:tcPr>
          <w:p w14:paraId="55DD1EBF"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1</w:t>
            </w:r>
          </w:p>
        </w:tc>
        <w:tc>
          <w:tcPr>
            <w:tcW w:w="321" w:type="pct"/>
            <w:shd w:val="clear" w:color="auto" w:fill="auto"/>
            <w:vAlign w:val="center"/>
          </w:tcPr>
          <w:p w14:paraId="1EF15CE8"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1</w:t>
            </w:r>
          </w:p>
        </w:tc>
        <w:tc>
          <w:tcPr>
            <w:tcW w:w="321" w:type="pct"/>
            <w:shd w:val="clear" w:color="auto" w:fill="auto"/>
            <w:vAlign w:val="center"/>
          </w:tcPr>
          <w:p w14:paraId="2C85E9C1"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&lt;1</w:t>
            </w:r>
          </w:p>
        </w:tc>
        <w:tc>
          <w:tcPr>
            <w:tcW w:w="321" w:type="pct"/>
            <w:shd w:val="clear" w:color="auto" w:fill="auto"/>
            <w:vAlign w:val="center"/>
          </w:tcPr>
          <w:p w14:paraId="286550CE"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1</w:t>
            </w:r>
          </w:p>
        </w:tc>
        <w:tc>
          <w:tcPr>
            <w:tcW w:w="319" w:type="pct"/>
            <w:shd w:val="clear" w:color="auto" w:fill="auto"/>
            <w:vAlign w:val="center"/>
          </w:tcPr>
          <w:p w14:paraId="51D9B172" w14:textId="77777777" w:rsidR="006B2784" w:rsidRPr="002B6513" w:rsidRDefault="006B2784" w:rsidP="00D20A1E">
            <w:pPr>
              <w:widowControl/>
              <w:tabs>
                <w:tab w:val="decimal" w:pos="567"/>
              </w:tabs>
              <w:spacing w:before="40" w:after="40"/>
              <w:rPr>
                <w:rFonts w:eastAsia="Arial Unicode MS" w:cs="Arial"/>
                <w:sz w:val="16"/>
                <w:szCs w:val="16"/>
              </w:rPr>
            </w:pPr>
            <w:r w:rsidRPr="002B6513">
              <w:rPr>
                <w:rFonts w:cs="Arial"/>
                <w:color w:val="000000"/>
                <w:sz w:val="16"/>
                <w:szCs w:val="16"/>
              </w:rPr>
              <w:t>1</w:t>
            </w:r>
          </w:p>
        </w:tc>
      </w:tr>
      <w:tr w:rsidR="00A5695F" w:rsidRPr="001D1F2F" w14:paraId="6B56D6FD" w14:textId="77777777" w:rsidTr="00703DC1">
        <w:trPr>
          <w:trHeight w:val="264"/>
        </w:trPr>
        <w:tc>
          <w:tcPr>
            <w:tcW w:w="508" w:type="pct"/>
            <w:shd w:val="clear" w:color="auto" w:fill="D9D9D9" w:themeFill="background1" w:themeFillShade="D9"/>
            <w:noWrap/>
            <w:tcMar>
              <w:top w:w="15" w:type="dxa"/>
              <w:left w:w="15" w:type="dxa"/>
              <w:bottom w:w="0" w:type="dxa"/>
              <w:right w:w="15" w:type="dxa"/>
            </w:tcMar>
            <w:vAlign w:val="center"/>
          </w:tcPr>
          <w:p w14:paraId="73C99B99" w14:textId="35D4A255" w:rsidR="00A5695F" w:rsidRPr="001D1F2F" w:rsidRDefault="00A5695F" w:rsidP="00D20A1E">
            <w:pPr>
              <w:widowControl/>
              <w:spacing w:before="40" w:after="40"/>
              <w:rPr>
                <w:rFonts w:eastAsia="Arial Unicode MS" w:cs="Arial"/>
                <w:sz w:val="16"/>
                <w:szCs w:val="16"/>
              </w:rPr>
            </w:pPr>
            <w:r w:rsidRPr="001D1F2F">
              <w:rPr>
                <w:rFonts w:cs="Arial"/>
                <w:sz w:val="16"/>
                <w:szCs w:val="16"/>
              </w:rPr>
              <w:t>Vitamin A</w:t>
            </w:r>
            <w:r>
              <w:rPr>
                <w:rFonts w:cs="Arial"/>
                <w:sz w:val="16"/>
                <w:szCs w:val="16"/>
              </w:rPr>
              <w:t xml:space="preserve"> (</w:t>
            </w:r>
            <w:r w:rsidR="00326E1B">
              <w:rPr>
                <w:rFonts w:cs="Arial"/>
                <w:sz w:val="16"/>
                <w:szCs w:val="16"/>
              </w:rPr>
              <w:t>Retinol equivalents</w:t>
            </w:r>
            <w:r>
              <w:rPr>
                <w:rFonts w:cs="Arial"/>
                <w:sz w:val="16"/>
                <w:szCs w:val="16"/>
              </w:rPr>
              <w:t>)</w:t>
            </w:r>
          </w:p>
        </w:tc>
        <w:tc>
          <w:tcPr>
            <w:tcW w:w="321" w:type="pct"/>
            <w:shd w:val="clear" w:color="auto" w:fill="auto"/>
            <w:noWrap/>
            <w:tcMar>
              <w:top w:w="15" w:type="dxa"/>
              <w:left w:w="15" w:type="dxa"/>
              <w:bottom w:w="0" w:type="dxa"/>
              <w:right w:w="15" w:type="dxa"/>
            </w:tcMar>
            <w:vAlign w:val="center"/>
          </w:tcPr>
          <w:p w14:paraId="18633020" w14:textId="77777777" w:rsidR="00A5695F" w:rsidRPr="00A5695F" w:rsidRDefault="00A5695F" w:rsidP="00D20A1E">
            <w:pPr>
              <w:widowControl/>
              <w:tabs>
                <w:tab w:val="decimal" w:pos="567"/>
              </w:tabs>
              <w:spacing w:before="40" w:after="40"/>
              <w:rPr>
                <w:rFonts w:eastAsia="Arial Unicode MS" w:cs="Arial"/>
                <w:sz w:val="16"/>
                <w:szCs w:val="16"/>
              </w:rPr>
            </w:pPr>
            <w:r w:rsidRPr="00A5695F">
              <w:rPr>
                <w:rFonts w:cs="Arial"/>
                <w:sz w:val="16"/>
                <w:szCs w:val="16"/>
              </w:rPr>
              <w:t>7</w:t>
            </w:r>
          </w:p>
        </w:tc>
        <w:tc>
          <w:tcPr>
            <w:tcW w:w="321" w:type="pct"/>
            <w:shd w:val="clear" w:color="auto" w:fill="D9D9D9" w:themeFill="background1" w:themeFillShade="D9"/>
            <w:noWrap/>
            <w:tcMar>
              <w:top w:w="15" w:type="dxa"/>
              <w:left w:w="15" w:type="dxa"/>
              <w:bottom w:w="0" w:type="dxa"/>
              <w:right w:w="15" w:type="dxa"/>
            </w:tcMar>
            <w:vAlign w:val="center"/>
          </w:tcPr>
          <w:p w14:paraId="3039F28C" w14:textId="77777777" w:rsidR="00A5695F" w:rsidRPr="00A5695F" w:rsidRDefault="00A5695F" w:rsidP="00D20A1E">
            <w:pPr>
              <w:widowControl/>
              <w:tabs>
                <w:tab w:val="decimal" w:pos="567"/>
              </w:tabs>
              <w:spacing w:before="40" w:after="40"/>
              <w:rPr>
                <w:rFonts w:eastAsia="Arial Unicode MS" w:cs="Arial"/>
                <w:sz w:val="16"/>
                <w:szCs w:val="16"/>
              </w:rPr>
            </w:pPr>
            <w:r w:rsidRPr="00A5695F">
              <w:rPr>
                <w:rFonts w:cs="Arial"/>
                <w:sz w:val="16"/>
                <w:szCs w:val="16"/>
              </w:rPr>
              <w:t>22</w:t>
            </w:r>
          </w:p>
        </w:tc>
        <w:tc>
          <w:tcPr>
            <w:tcW w:w="321" w:type="pct"/>
            <w:shd w:val="clear" w:color="auto" w:fill="auto"/>
            <w:noWrap/>
            <w:tcMar>
              <w:top w:w="15" w:type="dxa"/>
              <w:left w:w="15" w:type="dxa"/>
              <w:bottom w:w="0" w:type="dxa"/>
              <w:right w:w="15" w:type="dxa"/>
            </w:tcMar>
            <w:vAlign w:val="center"/>
          </w:tcPr>
          <w:p w14:paraId="3A1AC42B" w14:textId="77777777" w:rsidR="00A5695F" w:rsidRPr="00A5695F" w:rsidRDefault="00A5695F" w:rsidP="00D20A1E">
            <w:pPr>
              <w:widowControl/>
              <w:tabs>
                <w:tab w:val="decimal" w:pos="567"/>
              </w:tabs>
              <w:spacing w:before="40" w:after="40"/>
              <w:rPr>
                <w:rFonts w:eastAsia="Arial Unicode MS" w:cs="Arial"/>
                <w:sz w:val="16"/>
                <w:szCs w:val="16"/>
              </w:rPr>
            </w:pPr>
            <w:r w:rsidRPr="00A5695F">
              <w:rPr>
                <w:rFonts w:cs="Arial"/>
                <w:sz w:val="16"/>
                <w:szCs w:val="16"/>
              </w:rPr>
              <w:t>12</w:t>
            </w:r>
          </w:p>
        </w:tc>
        <w:tc>
          <w:tcPr>
            <w:tcW w:w="310" w:type="pct"/>
            <w:shd w:val="clear" w:color="auto" w:fill="auto"/>
            <w:noWrap/>
            <w:tcMar>
              <w:top w:w="15" w:type="dxa"/>
              <w:left w:w="15" w:type="dxa"/>
              <w:bottom w:w="0" w:type="dxa"/>
              <w:right w:w="15" w:type="dxa"/>
            </w:tcMar>
            <w:vAlign w:val="center"/>
          </w:tcPr>
          <w:p w14:paraId="2FE48142" w14:textId="77777777" w:rsidR="00A5695F" w:rsidRPr="00A5695F" w:rsidRDefault="00A5695F" w:rsidP="00D20A1E">
            <w:pPr>
              <w:widowControl/>
              <w:tabs>
                <w:tab w:val="decimal" w:pos="567"/>
              </w:tabs>
              <w:spacing w:before="40" w:after="40"/>
              <w:rPr>
                <w:rFonts w:eastAsia="Arial Unicode MS" w:cs="Arial"/>
                <w:sz w:val="16"/>
                <w:szCs w:val="16"/>
              </w:rPr>
            </w:pPr>
            <w:r w:rsidRPr="00A5695F">
              <w:rPr>
                <w:rFonts w:cs="Arial"/>
                <w:sz w:val="16"/>
                <w:szCs w:val="16"/>
              </w:rPr>
              <w:t>6</w:t>
            </w:r>
          </w:p>
        </w:tc>
        <w:tc>
          <w:tcPr>
            <w:tcW w:w="332" w:type="pct"/>
            <w:shd w:val="clear" w:color="auto" w:fill="D9D9D9" w:themeFill="background1" w:themeFillShade="D9"/>
            <w:noWrap/>
            <w:tcMar>
              <w:top w:w="15" w:type="dxa"/>
              <w:left w:w="15" w:type="dxa"/>
              <w:bottom w:w="0" w:type="dxa"/>
              <w:right w:w="15" w:type="dxa"/>
            </w:tcMar>
            <w:vAlign w:val="center"/>
          </w:tcPr>
          <w:p w14:paraId="6C3FA06F" w14:textId="0294633A" w:rsidR="00A5695F" w:rsidRPr="00A5695F" w:rsidRDefault="00A5695F" w:rsidP="00D20A1E">
            <w:pPr>
              <w:widowControl/>
              <w:tabs>
                <w:tab w:val="decimal" w:pos="567"/>
              </w:tabs>
              <w:spacing w:before="40" w:after="40"/>
              <w:rPr>
                <w:rFonts w:eastAsia="Arial Unicode MS" w:cs="Arial"/>
                <w:sz w:val="16"/>
                <w:szCs w:val="16"/>
              </w:rPr>
            </w:pPr>
            <w:r w:rsidRPr="00A5695F">
              <w:rPr>
                <w:rFonts w:cs="Arial"/>
                <w:color w:val="000000"/>
                <w:sz w:val="16"/>
                <w:szCs w:val="16"/>
              </w:rPr>
              <w:t>23</w:t>
            </w:r>
          </w:p>
        </w:tc>
        <w:tc>
          <w:tcPr>
            <w:tcW w:w="321" w:type="pct"/>
            <w:shd w:val="clear" w:color="auto" w:fill="auto"/>
            <w:vAlign w:val="center"/>
          </w:tcPr>
          <w:p w14:paraId="5FFAABE6" w14:textId="11AF6165" w:rsidR="00A5695F" w:rsidRPr="00A5695F" w:rsidRDefault="00A5695F" w:rsidP="00D20A1E">
            <w:pPr>
              <w:widowControl/>
              <w:tabs>
                <w:tab w:val="decimal" w:pos="567"/>
              </w:tabs>
              <w:spacing w:before="40" w:after="40"/>
              <w:rPr>
                <w:rFonts w:eastAsia="Arial Unicode MS" w:cs="Arial"/>
                <w:sz w:val="16"/>
                <w:szCs w:val="16"/>
              </w:rPr>
            </w:pPr>
            <w:r w:rsidRPr="00A5695F">
              <w:rPr>
                <w:rFonts w:cs="Arial"/>
                <w:color w:val="000000"/>
                <w:sz w:val="16"/>
                <w:szCs w:val="16"/>
              </w:rPr>
              <w:t>15</w:t>
            </w:r>
          </w:p>
        </w:tc>
        <w:tc>
          <w:tcPr>
            <w:tcW w:w="321" w:type="pct"/>
            <w:shd w:val="clear" w:color="auto" w:fill="auto"/>
            <w:vAlign w:val="center"/>
          </w:tcPr>
          <w:p w14:paraId="2EA16DD9" w14:textId="10381173" w:rsidR="00A5695F" w:rsidRPr="00A5695F" w:rsidRDefault="00A5695F" w:rsidP="00D20A1E">
            <w:pPr>
              <w:widowControl/>
              <w:tabs>
                <w:tab w:val="decimal" w:pos="567"/>
              </w:tabs>
              <w:spacing w:before="40" w:after="40"/>
              <w:rPr>
                <w:rFonts w:eastAsia="Arial Unicode MS" w:cs="Arial"/>
                <w:sz w:val="16"/>
                <w:szCs w:val="16"/>
              </w:rPr>
            </w:pPr>
            <w:r w:rsidRPr="00A5695F">
              <w:rPr>
                <w:rFonts w:cs="Arial"/>
                <w:color w:val="000000"/>
                <w:sz w:val="16"/>
                <w:szCs w:val="16"/>
              </w:rPr>
              <w:t>13</w:t>
            </w:r>
          </w:p>
        </w:tc>
        <w:tc>
          <w:tcPr>
            <w:tcW w:w="343" w:type="pct"/>
            <w:shd w:val="clear" w:color="auto" w:fill="auto"/>
            <w:vAlign w:val="center"/>
          </w:tcPr>
          <w:p w14:paraId="01FFE8C4" w14:textId="52022445" w:rsidR="00A5695F" w:rsidRPr="00A5695F" w:rsidRDefault="00A5695F" w:rsidP="00D20A1E">
            <w:pPr>
              <w:widowControl/>
              <w:tabs>
                <w:tab w:val="decimal" w:pos="567"/>
              </w:tabs>
              <w:spacing w:before="40" w:after="40"/>
              <w:rPr>
                <w:rFonts w:eastAsia="Arial Unicode MS" w:cs="Arial"/>
                <w:sz w:val="16"/>
                <w:szCs w:val="16"/>
              </w:rPr>
            </w:pPr>
            <w:r w:rsidRPr="00A5695F">
              <w:rPr>
                <w:rFonts w:cs="Arial"/>
                <w:color w:val="000000"/>
                <w:sz w:val="16"/>
                <w:szCs w:val="16"/>
              </w:rPr>
              <w:t>12</w:t>
            </w:r>
          </w:p>
        </w:tc>
        <w:tc>
          <w:tcPr>
            <w:tcW w:w="299" w:type="pct"/>
            <w:shd w:val="clear" w:color="auto" w:fill="D9D9D9" w:themeFill="background1" w:themeFillShade="D9"/>
            <w:vAlign w:val="center"/>
          </w:tcPr>
          <w:p w14:paraId="51914CE4" w14:textId="25CED5A3" w:rsidR="00A5695F" w:rsidRPr="002B6513" w:rsidRDefault="00A5695F" w:rsidP="00D20A1E">
            <w:pPr>
              <w:widowControl/>
              <w:tabs>
                <w:tab w:val="decimal" w:pos="567"/>
              </w:tabs>
              <w:spacing w:before="40" w:after="40"/>
              <w:rPr>
                <w:rFonts w:eastAsia="Arial Unicode MS" w:cs="Arial"/>
                <w:sz w:val="16"/>
                <w:szCs w:val="16"/>
              </w:rPr>
            </w:pPr>
            <w:r w:rsidRPr="002B6513">
              <w:rPr>
                <w:sz w:val="16"/>
                <w:szCs w:val="16"/>
              </w:rPr>
              <w:t>22</w:t>
            </w:r>
          </w:p>
        </w:tc>
        <w:tc>
          <w:tcPr>
            <w:tcW w:w="321" w:type="pct"/>
            <w:shd w:val="clear" w:color="auto" w:fill="auto"/>
            <w:vAlign w:val="center"/>
          </w:tcPr>
          <w:p w14:paraId="4E3FAEAE" w14:textId="0AE68631" w:rsidR="00A5695F" w:rsidRPr="002B6513" w:rsidRDefault="00A5695F" w:rsidP="00D20A1E">
            <w:pPr>
              <w:widowControl/>
              <w:tabs>
                <w:tab w:val="decimal" w:pos="567"/>
              </w:tabs>
              <w:spacing w:before="40" w:after="40"/>
              <w:rPr>
                <w:rFonts w:eastAsia="Arial Unicode MS" w:cs="Arial"/>
                <w:sz w:val="16"/>
                <w:szCs w:val="16"/>
              </w:rPr>
            </w:pPr>
            <w:r w:rsidRPr="002B6513">
              <w:rPr>
                <w:sz w:val="16"/>
                <w:szCs w:val="16"/>
              </w:rPr>
              <w:t>12</w:t>
            </w:r>
          </w:p>
        </w:tc>
        <w:tc>
          <w:tcPr>
            <w:tcW w:w="321" w:type="pct"/>
            <w:shd w:val="clear" w:color="auto" w:fill="auto"/>
            <w:vAlign w:val="center"/>
          </w:tcPr>
          <w:p w14:paraId="7C1D309C" w14:textId="48B6AD36" w:rsidR="00A5695F" w:rsidRPr="002B6513" w:rsidRDefault="00A5695F" w:rsidP="00D20A1E">
            <w:pPr>
              <w:widowControl/>
              <w:tabs>
                <w:tab w:val="decimal" w:pos="567"/>
              </w:tabs>
              <w:spacing w:before="40" w:after="40"/>
              <w:rPr>
                <w:rFonts w:eastAsia="Arial Unicode MS" w:cs="Arial"/>
                <w:sz w:val="16"/>
                <w:szCs w:val="16"/>
              </w:rPr>
            </w:pPr>
            <w:r w:rsidRPr="002B6513">
              <w:rPr>
                <w:sz w:val="16"/>
                <w:szCs w:val="16"/>
              </w:rPr>
              <w:t>11</w:t>
            </w:r>
          </w:p>
        </w:tc>
        <w:tc>
          <w:tcPr>
            <w:tcW w:w="321" w:type="pct"/>
            <w:shd w:val="clear" w:color="auto" w:fill="auto"/>
            <w:vAlign w:val="center"/>
          </w:tcPr>
          <w:p w14:paraId="06DEC3FE" w14:textId="231FDF4A" w:rsidR="00A5695F" w:rsidRPr="002B6513" w:rsidRDefault="00A5695F" w:rsidP="00D20A1E">
            <w:pPr>
              <w:widowControl/>
              <w:tabs>
                <w:tab w:val="decimal" w:pos="567"/>
              </w:tabs>
              <w:spacing w:before="40" w:after="40"/>
              <w:rPr>
                <w:rFonts w:eastAsia="Arial Unicode MS" w:cs="Arial"/>
                <w:sz w:val="16"/>
                <w:szCs w:val="16"/>
              </w:rPr>
            </w:pPr>
            <w:r w:rsidRPr="002B6513">
              <w:rPr>
                <w:sz w:val="16"/>
                <w:szCs w:val="16"/>
              </w:rPr>
              <w:t>9</w:t>
            </w:r>
          </w:p>
        </w:tc>
        <w:tc>
          <w:tcPr>
            <w:tcW w:w="321" w:type="pct"/>
            <w:shd w:val="clear" w:color="auto" w:fill="auto"/>
            <w:vAlign w:val="center"/>
          </w:tcPr>
          <w:p w14:paraId="2B11895E" w14:textId="4E481B5C" w:rsidR="00A5695F" w:rsidRPr="002B6513" w:rsidRDefault="00A5695F" w:rsidP="00D20A1E">
            <w:pPr>
              <w:widowControl/>
              <w:tabs>
                <w:tab w:val="decimal" w:pos="567"/>
              </w:tabs>
              <w:spacing w:before="40" w:after="40"/>
              <w:rPr>
                <w:rFonts w:eastAsia="Arial Unicode MS" w:cs="Arial"/>
                <w:sz w:val="16"/>
                <w:szCs w:val="16"/>
              </w:rPr>
            </w:pPr>
            <w:r w:rsidRPr="002B6513">
              <w:rPr>
                <w:sz w:val="16"/>
                <w:szCs w:val="16"/>
              </w:rPr>
              <w:t>5</w:t>
            </w:r>
          </w:p>
        </w:tc>
        <w:tc>
          <w:tcPr>
            <w:tcW w:w="319" w:type="pct"/>
            <w:shd w:val="clear" w:color="auto" w:fill="auto"/>
            <w:vAlign w:val="center"/>
          </w:tcPr>
          <w:p w14:paraId="5ACFA76D" w14:textId="62B25C1C" w:rsidR="00A5695F" w:rsidRPr="002B6513" w:rsidRDefault="00A5695F" w:rsidP="00D20A1E">
            <w:pPr>
              <w:widowControl/>
              <w:tabs>
                <w:tab w:val="decimal" w:pos="567"/>
              </w:tabs>
              <w:spacing w:before="40" w:after="40"/>
              <w:rPr>
                <w:rFonts w:eastAsia="Arial Unicode MS" w:cs="Arial"/>
                <w:sz w:val="16"/>
                <w:szCs w:val="16"/>
              </w:rPr>
            </w:pPr>
            <w:r w:rsidRPr="002B6513">
              <w:rPr>
                <w:sz w:val="16"/>
                <w:szCs w:val="16"/>
              </w:rPr>
              <w:t>6</w:t>
            </w:r>
          </w:p>
        </w:tc>
      </w:tr>
      <w:tr w:rsidR="00A5695F" w:rsidRPr="001D1F2F" w14:paraId="24DE79AA" w14:textId="77777777" w:rsidTr="00577EF3">
        <w:trPr>
          <w:trHeight w:val="264"/>
        </w:trPr>
        <w:tc>
          <w:tcPr>
            <w:tcW w:w="508" w:type="pct"/>
            <w:shd w:val="clear" w:color="auto" w:fill="D9D9D9" w:themeFill="background1" w:themeFillShade="D9"/>
            <w:noWrap/>
            <w:tcMar>
              <w:top w:w="15" w:type="dxa"/>
              <w:left w:w="15" w:type="dxa"/>
              <w:bottom w:w="0" w:type="dxa"/>
              <w:right w:w="15" w:type="dxa"/>
            </w:tcMar>
            <w:vAlign w:val="center"/>
          </w:tcPr>
          <w:p w14:paraId="7D82924E" w14:textId="77777777" w:rsidR="00A5695F" w:rsidRPr="001D1F2F" w:rsidRDefault="00A5695F" w:rsidP="00D20A1E">
            <w:pPr>
              <w:widowControl/>
              <w:spacing w:before="40" w:after="40"/>
              <w:rPr>
                <w:rFonts w:eastAsia="Arial Unicode MS" w:cs="Arial"/>
                <w:sz w:val="16"/>
                <w:szCs w:val="16"/>
              </w:rPr>
            </w:pPr>
            <w:r w:rsidRPr="001D1F2F">
              <w:rPr>
                <w:rFonts w:cs="Arial"/>
                <w:sz w:val="16"/>
                <w:szCs w:val="16"/>
              </w:rPr>
              <w:t>Vitamin B</w:t>
            </w:r>
            <w:r w:rsidRPr="001D1F2F">
              <w:rPr>
                <w:rFonts w:cs="Arial"/>
                <w:sz w:val="16"/>
                <w:szCs w:val="16"/>
                <w:vertAlign w:val="subscript"/>
              </w:rPr>
              <w:t>12</w:t>
            </w:r>
          </w:p>
        </w:tc>
        <w:tc>
          <w:tcPr>
            <w:tcW w:w="321" w:type="pct"/>
            <w:shd w:val="clear" w:color="auto" w:fill="auto"/>
            <w:noWrap/>
            <w:tcMar>
              <w:top w:w="15" w:type="dxa"/>
              <w:left w:w="15" w:type="dxa"/>
              <w:bottom w:w="0" w:type="dxa"/>
              <w:right w:w="15" w:type="dxa"/>
            </w:tcMar>
            <w:vAlign w:val="center"/>
          </w:tcPr>
          <w:p w14:paraId="1533B7D8"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sz w:val="16"/>
                <w:szCs w:val="16"/>
              </w:rPr>
              <w:t>16</w:t>
            </w:r>
          </w:p>
        </w:tc>
        <w:tc>
          <w:tcPr>
            <w:tcW w:w="321" w:type="pct"/>
            <w:shd w:val="clear" w:color="auto" w:fill="D9D9D9" w:themeFill="background1" w:themeFillShade="D9"/>
            <w:noWrap/>
            <w:tcMar>
              <w:top w:w="15" w:type="dxa"/>
              <w:left w:w="15" w:type="dxa"/>
              <w:bottom w:w="0" w:type="dxa"/>
              <w:right w:w="15" w:type="dxa"/>
            </w:tcMar>
            <w:vAlign w:val="center"/>
          </w:tcPr>
          <w:p w14:paraId="7C209688"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sz w:val="16"/>
                <w:szCs w:val="16"/>
              </w:rPr>
              <w:t>41</w:t>
            </w:r>
          </w:p>
        </w:tc>
        <w:tc>
          <w:tcPr>
            <w:tcW w:w="321" w:type="pct"/>
            <w:shd w:val="clear" w:color="auto" w:fill="D9D9D9" w:themeFill="background1" w:themeFillShade="D9"/>
            <w:noWrap/>
            <w:tcMar>
              <w:top w:w="15" w:type="dxa"/>
              <w:left w:w="15" w:type="dxa"/>
              <w:bottom w:w="0" w:type="dxa"/>
              <w:right w:w="15" w:type="dxa"/>
            </w:tcMar>
            <w:vAlign w:val="center"/>
          </w:tcPr>
          <w:p w14:paraId="093BE109"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sz w:val="16"/>
                <w:szCs w:val="16"/>
              </w:rPr>
              <w:t>25</w:t>
            </w:r>
          </w:p>
        </w:tc>
        <w:tc>
          <w:tcPr>
            <w:tcW w:w="310" w:type="pct"/>
            <w:shd w:val="clear" w:color="auto" w:fill="auto"/>
            <w:noWrap/>
            <w:tcMar>
              <w:top w:w="15" w:type="dxa"/>
              <w:left w:w="15" w:type="dxa"/>
              <w:bottom w:w="0" w:type="dxa"/>
              <w:right w:w="15" w:type="dxa"/>
            </w:tcMar>
            <w:vAlign w:val="center"/>
          </w:tcPr>
          <w:p w14:paraId="5934D2E3"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sz w:val="16"/>
                <w:szCs w:val="16"/>
              </w:rPr>
              <w:t>14</w:t>
            </w:r>
          </w:p>
        </w:tc>
        <w:tc>
          <w:tcPr>
            <w:tcW w:w="332" w:type="pct"/>
            <w:shd w:val="clear" w:color="auto" w:fill="auto"/>
            <w:noWrap/>
            <w:tcMar>
              <w:top w:w="15" w:type="dxa"/>
              <w:left w:w="15" w:type="dxa"/>
              <w:bottom w:w="0" w:type="dxa"/>
              <w:right w:w="15" w:type="dxa"/>
            </w:tcMar>
            <w:vAlign w:val="center"/>
          </w:tcPr>
          <w:p w14:paraId="5A8B2648" w14:textId="77777777" w:rsidR="00A5695F" w:rsidRPr="001D1F2F" w:rsidRDefault="00A5695F" w:rsidP="00D20A1E">
            <w:pPr>
              <w:widowControl/>
              <w:tabs>
                <w:tab w:val="decimal" w:pos="567"/>
              </w:tabs>
              <w:spacing w:before="40" w:after="40"/>
              <w:rPr>
                <w:rFonts w:eastAsia="Arial Unicode MS" w:cs="Arial"/>
                <w:sz w:val="16"/>
                <w:szCs w:val="16"/>
              </w:rPr>
            </w:pPr>
          </w:p>
        </w:tc>
        <w:tc>
          <w:tcPr>
            <w:tcW w:w="321" w:type="pct"/>
            <w:shd w:val="clear" w:color="auto" w:fill="auto"/>
            <w:vAlign w:val="center"/>
          </w:tcPr>
          <w:p w14:paraId="27486D80" w14:textId="77777777" w:rsidR="00A5695F" w:rsidRPr="001D1F2F" w:rsidRDefault="00A5695F" w:rsidP="00D20A1E">
            <w:pPr>
              <w:widowControl/>
              <w:tabs>
                <w:tab w:val="decimal" w:pos="567"/>
              </w:tabs>
              <w:spacing w:before="40" w:after="40"/>
              <w:rPr>
                <w:rFonts w:eastAsia="Arial Unicode MS" w:cs="Arial"/>
                <w:sz w:val="16"/>
                <w:szCs w:val="16"/>
              </w:rPr>
            </w:pPr>
          </w:p>
        </w:tc>
        <w:tc>
          <w:tcPr>
            <w:tcW w:w="321" w:type="pct"/>
            <w:shd w:val="clear" w:color="auto" w:fill="auto"/>
            <w:vAlign w:val="center"/>
          </w:tcPr>
          <w:p w14:paraId="209D9D12" w14:textId="77777777" w:rsidR="00A5695F" w:rsidRPr="001D1F2F" w:rsidRDefault="00A5695F" w:rsidP="00D20A1E">
            <w:pPr>
              <w:widowControl/>
              <w:tabs>
                <w:tab w:val="decimal" w:pos="567"/>
              </w:tabs>
              <w:spacing w:before="40" w:after="40"/>
              <w:rPr>
                <w:rFonts w:eastAsia="Arial Unicode MS" w:cs="Arial"/>
                <w:sz w:val="16"/>
                <w:szCs w:val="16"/>
              </w:rPr>
            </w:pPr>
          </w:p>
        </w:tc>
        <w:tc>
          <w:tcPr>
            <w:tcW w:w="343" w:type="pct"/>
            <w:shd w:val="clear" w:color="auto" w:fill="auto"/>
            <w:vAlign w:val="center"/>
          </w:tcPr>
          <w:p w14:paraId="599F7FA6" w14:textId="77777777" w:rsidR="00A5695F" w:rsidRPr="001D1F2F" w:rsidRDefault="00A5695F" w:rsidP="00D20A1E">
            <w:pPr>
              <w:widowControl/>
              <w:tabs>
                <w:tab w:val="decimal" w:pos="567"/>
              </w:tabs>
              <w:spacing w:before="40" w:after="40"/>
              <w:rPr>
                <w:rFonts w:eastAsia="Arial Unicode MS" w:cs="Arial"/>
                <w:sz w:val="16"/>
                <w:szCs w:val="16"/>
              </w:rPr>
            </w:pPr>
          </w:p>
        </w:tc>
        <w:tc>
          <w:tcPr>
            <w:tcW w:w="299" w:type="pct"/>
            <w:shd w:val="clear" w:color="auto" w:fill="D9D9D9" w:themeFill="background1" w:themeFillShade="D9"/>
            <w:vAlign w:val="center"/>
          </w:tcPr>
          <w:p w14:paraId="56F0E16A"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cs="Arial"/>
                <w:color w:val="000000"/>
                <w:sz w:val="16"/>
                <w:szCs w:val="16"/>
              </w:rPr>
              <w:t>49</w:t>
            </w:r>
          </w:p>
        </w:tc>
        <w:tc>
          <w:tcPr>
            <w:tcW w:w="321" w:type="pct"/>
            <w:shd w:val="clear" w:color="auto" w:fill="D9D9D9" w:themeFill="background1" w:themeFillShade="D9"/>
            <w:vAlign w:val="center"/>
          </w:tcPr>
          <w:p w14:paraId="72047EBD"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cs="Arial"/>
                <w:color w:val="000000"/>
                <w:sz w:val="16"/>
                <w:szCs w:val="16"/>
              </w:rPr>
              <w:t>35</w:t>
            </w:r>
          </w:p>
        </w:tc>
        <w:tc>
          <w:tcPr>
            <w:tcW w:w="321" w:type="pct"/>
            <w:shd w:val="clear" w:color="auto" w:fill="D9D9D9" w:themeFill="background1" w:themeFillShade="D9"/>
            <w:vAlign w:val="center"/>
          </w:tcPr>
          <w:p w14:paraId="317F13B2"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cs="Arial"/>
                <w:color w:val="000000"/>
                <w:sz w:val="16"/>
                <w:szCs w:val="16"/>
              </w:rPr>
              <w:t>30</w:t>
            </w:r>
          </w:p>
        </w:tc>
        <w:tc>
          <w:tcPr>
            <w:tcW w:w="321" w:type="pct"/>
            <w:shd w:val="clear" w:color="auto" w:fill="D9D9D9" w:themeFill="background1" w:themeFillShade="D9"/>
            <w:vAlign w:val="center"/>
          </w:tcPr>
          <w:p w14:paraId="732350E1"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cs="Arial"/>
                <w:color w:val="000000"/>
                <w:sz w:val="16"/>
                <w:szCs w:val="16"/>
              </w:rPr>
              <w:t>22</w:t>
            </w:r>
          </w:p>
        </w:tc>
        <w:tc>
          <w:tcPr>
            <w:tcW w:w="321" w:type="pct"/>
            <w:shd w:val="clear" w:color="auto" w:fill="auto"/>
            <w:vAlign w:val="center"/>
          </w:tcPr>
          <w:p w14:paraId="2CE2B0F0"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cs="Arial"/>
                <w:color w:val="000000"/>
                <w:sz w:val="16"/>
                <w:szCs w:val="16"/>
              </w:rPr>
              <w:t>18</w:t>
            </w:r>
          </w:p>
        </w:tc>
        <w:tc>
          <w:tcPr>
            <w:tcW w:w="319" w:type="pct"/>
            <w:shd w:val="clear" w:color="auto" w:fill="D9D9D9" w:themeFill="background1" w:themeFillShade="D9"/>
            <w:vAlign w:val="center"/>
          </w:tcPr>
          <w:p w14:paraId="0FAAC1EE"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cs="Arial"/>
                <w:color w:val="000000"/>
                <w:sz w:val="16"/>
                <w:szCs w:val="16"/>
              </w:rPr>
              <w:t>21</w:t>
            </w:r>
          </w:p>
        </w:tc>
      </w:tr>
      <w:tr w:rsidR="00A5695F" w:rsidRPr="001D1F2F" w14:paraId="28C7EDD6" w14:textId="77777777" w:rsidTr="00577EF3">
        <w:trPr>
          <w:trHeight w:val="264"/>
        </w:trPr>
        <w:tc>
          <w:tcPr>
            <w:tcW w:w="508" w:type="pct"/>
            <w:shd w:val="clear" w:color="auto" w:fill="D9D9D9" w:themeFill="background1" w:themeFillShade="D9"/>
            <w:noWrap/>
            <w:tcMar>
              <w:top w:w="15" w:type="dxa"/>
              <w:left w:w="15" w:type="dxa"/>
              <w:bottom w:w="0" w:type="dxa"/>
              <w:right w:w="15" w:type="dxa"/>
            </w:tcMar>
            <w:vAlign w:val="center"/>
          </w:tcPr>
          <w:p w14:paraId="05EE3D10" w14:textId="77777777" w:rsidR="00A5695F" w:rsidRPr="001D1F2F" w:rsidRDefault="00A5695F" w:rsidP="00D20A1E">
            <w:pPr>
              <w:widowControl/>
              <w:spacing w:before="40" w:after="40"/>
              <w:rPr>
                <w:rFonts w:eastAsia="Arial Unicode MS" w:cs="Arial"/>
                <w:sz w:val="16"/>
                <w:szCs w:val="16"/>
              </w:rPr>
            </w:pPr>
            <w:r w:rsidRPr="001D1F2F">
              <w:rPr>
                <w:rFonts w:cs="Arial"/>
                <w:sz w:val="16"/>
                <w:szCs w:val="16"/>
              </w:rPr>
              <w:t>Vitamin B</w:t>
            </w:r>
            <w:r w:rsidRPr="001D1F2F">
              <w:rPr>
                <w:rFonts w:cs="Arial"/>
                <w:sz w:val="16"/>
                <w:szCs w:val="16"/>
                <w:vertAlign w:val="subscript"/>
              </w:rPr>
              <w:t>6</w:t>
            </w:r>
            <w:r w:rsidRPr="001D1F2F">
              <w:rPr>
                <w:rFonts w:cs="Arial"/>
                <w:sz w:val="16"/>
                <w:szCs w:val="16"/>
              </w:rPr>
              <w:t xml:space="preserve"> </w:t>
            </w:r>
          </w:p>
        </w:tc>
        <w:tc>
          <w:tcPr>
            <w:tcW w:w="321" w:type="pct"/>
            <w:shd w:val="clear" w:color="auto" w:fill="auto"/>
            <w:noWrap/>
            <w:tcMar>
              <w:top w:w="15" w:type="dxa"/>
              <w:left w:w="15" w:type="dxa"/>
              <w:bottom w:w="0" w:type="dxa"/>
              <w:right w:w="15" w:type="dxa"/>
            </w:tcMar>
            <w:vAlign w:val="center"/>
          </w:tcPr>
          <w:p w14:paraId="1FA93B2C"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sz w:val="16"/>
                <w:szCs w:val="16"/>
              </w:rPr>
              <w:t>7</w:t>
            </w:r>
          </w:p>
        </w:tc>
        <w:tc>
          <w:tcPr>
            <w:tcW w:w="321" w:type="pct"/>
            <w:shd w:val="clear" w:color="auto" w:fill="auto"/>
            <w:noWrap/>
            <w:tcMar>
              <w:top w:w="15" w:type="dxa"/>
              <w:left w:w="15" w:type="dxa"/>
              <w:bottom w:w="0" w:type="dxa"/>
              <w:right w:w="15" w:type="dxa"/>
            </w:tcMar>
            <w:vAlign w:val="center"/>
          </w:tcPr>
          <w:p w14:paraId="3A4FCED7"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sz w:val="16"/>
                <w:szCs w:val="16"/>
              </w:rPr>
              <w:t>13</w:t>
            </w:r>
          </w:p>
        </w:tc>
        <w:tc>
          <w:tcPr>
            <w:tcW w:w="321" w:type="pct"/>
            <w:shd w:val="clear" w:color="auto" w:fill="auto"/>
            <w:noWrap/>
            <w:tcMar>
              <w:top w:w="15" w:type="dxa"/>
              <w:left w:w="15" w:type="dxa"/>
              <w:bottom w:w="0" w:type="dxa"/>
              <w:right w:w="15" w:type="dxa"/>
            </w:tcMar>
            <w:vAlign w:val="center"/>
          </w:tcPr>
          <w:p w14:paraId="22BEEF5D"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sz w:val="16"/>
                <w:szCs w:val="16"/>
              </w:rPr>
              <w:t>8</w:t>
            </w:r>
          </w:p>
        </w:tc>
        <w:tc>
          <w:tcPr>
            <w:tcW w:w="310" w:type="pct"/>
            <w:shd w:val="clear" w:color="auto" w:fill="auto"/>
            <w:noWrap/>
            <w:tcMar>
              <w:top w:w="15" w:type="dxa"/>
              <w:left w:w="15" w:type="dxa"/>
              <w:bottom w:w="0" w:type="dxa"/>
              <w:right w:w="15" w:type="dxa"/>
            </w:tcMar>
            <w:vAlign w:val="center"/>
          </w:tcPr>
          <w:p w14:paraId="11F193C9"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sz w:val="16"/>
                <w:szCs w:val="16"/>
              </w:rPr>
              <w:t>6</w:t>
            </w:r>
          </w:p>
        </w:tc>
        <w:tc>
          <w:tcPr>
            <w:tcW w:w="332" w:type="pct"/>
            <w:shd w:val="clear" w:color="auto" w:fill="auto"/>
            <w:noWrap/>
            <w:tcMar>
              <w:top w:w="15" w:type="dxa"/>
              <w:left w:w="15" w:type="dxa"/>
              <w:bottom w:w="0" w:type="dxa"/>
              <w:right w:w="15" w:type="dxa"/>
            </w:tcMar>
            <w:vAlign w:val="center"/>
          </w:tcPr>
          <w:p w14:paraId="7BBF470E"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color w:val="000000"/>
                <w:sz w:val="16"/>
                <w:szCs w:val="16"/>
              </w:rPr>
              <w:t>0</w:t>
            </w:r>
          </w:p>
        </w:tc>
        <w:tc>
          <w:tcPr>
            <w:tcW w:w="321" w:type="pct"/>
            <w:shd w:val="clear" w:color="auto" w:fill="auto"/>
            <w:vAlign w:val="center"/>
          </w:tcPr>
          <w:p w14:paraId="7415D766"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color w:val="000000"/>
                <w:sz w:val="16"/>
                <w:szCs w:val="16"/>
              </w:rPr>
              <w:t>0</w:t>
            </w:r>
          </w:p>
        </w:tc>
        <w:tc>
          <w:tcPr>
            <w:tcW w:w="321" w:type="pct"/>
            <w:shd w:val="clear" w:color="auto" w:fill="auto"/>
            <w:vAlign w:val="center"/>
          </w:tcPr>
          <w:p w14:paraId="04F552E1"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color w:val="000000"/>
                <w:sz w:val="16"/>
                <w:szCs w:val="16"/>
              </w:rPr>
              <w:t>0</w:t>
            </w:r>
          </w:p>
        </w:tc>
        <w:tc>
          <w:tcPr>
            <w:tcW w:w="343" w:type="pct"/>
            <w:shd w:val="clear" w:color="auto" w:fill="auto"/>
            <w:vAlign w:val="center"/>
          </w:tcPr>
          <w:p w14:paraId="527927BA"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color w:val="000000"/>
                <w:sz w:val="16"/>
                <w:szCs w:val="16"/>
              </w:rPr>
              <w:t>0</w:t>
            </w:r>
          </w:p>
        </w:tc>
        <w:tc>
          <w:tcPr>
            <w:tcW w:w="299" w:type="pct"/>
            <w:shd w:val="clear" w:color="auto" w:fill="D9D9D9" w:themeFill="background1" w:themeFillShade="D9"/>
            <w:vAlign w:val="center"/>
          </w:tcPr>
          <w:p w14:paraId="0CF5E7EF"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cs="Arial"/>
                <w:color w:val="000000"/>
                <w:sz w:val="16"/>
                <w:szCs w:val="16"/>
              </w:rPr>
              <w:t>20</w:t>
            </w:r>
          </w:p>
        </w:tc>
        <w:tc>
          <w:tcPr>
            <w:tcW w:w="321" w:type="pct"/>
            <w:shd w:val="clear" w:color="auto" w:fill="auto"/>
            <w:vAlign w:val="center"/>
          </w:tcPr>
          <w:p w14:paraId="50CF7BBD"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cs="Arial"/>
                <w:color w:val="000000"/>
                <w:sz w:val="16"/>
                <w:szCs w:val="16"/>
              </w:rPr>
              <w:t>12</w:t>
            </w:r>
          </w:p>
        </w:tc>
        <w:tc>
          <w:tcPr>
            <w:tcW w:w="321" w:type="pct"/>
            <w:shd w:val="clear" w:color="auto" w:fill="auto"/>
            <w:vAlign w:val="center"/>
          </w:tcPr>
          <w:p w14:paraId="42CAD92D"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cs="Arial"/>
                <w:color w:val="000000"/>
                <w:sz w:val="16"/>
                <w:szCs w:val="16"/>
              </w:rPr>
              <w:t>10</w:t>
            </w:r>
          </w:p>
        </w:tc>
        <w:tc>
          <w:tcPr>
            <w:tcW w:w="321" w:type="pct"/>
            <w:shd w:val="clear" w:color="auto" w:fill="auto"/>
            <w:vAlign w:val="center"/>
          </w:tcPr>
          <w:p w14:paraId="7AFA732D"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cs="Arial"/>
                <w:color w:val="000000"/>
                <w:sz w:val="16"/>
                <w:szCs w:val="16"/>
              </w:rPr>
              <w:t>7</w:t>
            </w:r>
          </w:p>
        </w:tc>
        <w:tc>
          <w:tcPr>
            <w:tcW w:w="321" w:type="pct"/>
            <w:shd w:val="clear" w:color="auto" w:fill="auto"/>
            <w:vAlign w:val="center"/>
          </w:tcPr>
          <w:p w14:paraId="752191C3"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cs="Arial"/>
                <w:color w:val="000000"/>
                <w:sz w:val="16"/>
                <w:szCs w:val="16"/>
              </w:rPr>
              <w:t>5</w:t>
            </w:r>
          </w:p>
        </w:tc>
        <w:tc>
          <w:tcPr>
            <w:tcW w:w="319" w:type="pct"/>
            <w:shd w:val="clear" w:color="auto" w:fill="auto"/>
            <w:vAlign w:val="center"/>
          </w:tcPr>
          <w:p w14:paraId="23E1CED1"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cs="Arial"/>
                <w:color w:val="000000"/>
                <w:sz w:val="16"/>
                <w:szCs w:val="16"/>
              </w:rPr>
              <w:t>6</w:t>
            </w:r>
          </w:p>
        </w:tc>
      </w:tr>
      <w:tr w:rsidR="00A5695F" w:rsidRPr="001D1F2F" w14:paraId="5285DC5A" w14:textId="77777777" w:rsidTr="00577EF3">
        <w:trPr>
          <w:trHeight w:val="264"/>
        </w:trPr>
        <w:tc>
          <w:tcPr>
            <w:tcW w:w="508" w:type="pct"/>
            <w:shd w:val="clear" w:color="auto" w:fill="D9D9D9" w:themeFill="background1" w:themeFillShade="D9"/>
            <w:noWrap/>
            <w:tcMar>
              <w:top w:w="15" w:type="dxa"/>
              <w:left w:w="15" w:type="dxa"/>
              <w:bottom w:w="0" w:type="dxa"/>
              <w:right w:w="15" w:type="dxa"/>
            </w:tcMar>
            <w:vAlign w:val="center"/>
          </w:tcPr>
          <w:p w14:paraId="18FBF047" w14:textId="77777777" w:rsidR="00A5695F" w:rsidRPr="001D1F2F" w:rsidRDefault="00A5695F" w:rsidP="00D20A1E">
            <w:pPr>
              <w:widowControl/>
              <w:spacing w:before="40" w:after="40"/>
              <w:rPr>
                <w:rFonts w:eastAsia="Arial Unicode MS" w:cs="Arial"/>
                <w:sz w:val="16"/>
                <w:szCs w:val="16"/>
              </w:rPr>
            </w:pPr>
            <w:r w:rsidRPr="001D1F2F">
              <w:rPr>
                <w:rFonts w:cs="Arial"/>
                <w:sz w:val="16"/>
                <w:szCs w:val="16"/>
              </w:rPr>
              <w:t xml:space="preserve">Vitamin D </w:t>
            </w:r>
          </w:p>
        </w:tc>
        <w:tc>
          <w:tcPr>
            <w:tcW w:w="321" w:type="pct"/>
            <w:shd w:val="clear" w:color="auto" w:fill="auto"/>
            <w:noWrap/>
            <w:tcMar>
              <w:top w:w="15" w:type="dxa"/>
              <w:left w:w="15" w:type="dxa"/>
              <w:bottom w:w="0" w:type="dxa"/>
              <w:right w:w="15" w:type="dxa"/>
            </w:tcMar>
            <w:vAlign w:val="center"/>
          </w:tcPr>
          <w:p w14:paraId="143D9CDA"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sz w:val="16"/>
                <w:szCs w:val="16"/>
              </w:rPr>
              <w:t>3</w:t>
            </w:r>
          </w:p>
        </w:tc>
        <w:tc>
          <w:tcPr>
            <w:tcW w:w="321" w:type="pct"/>
            <w:shd w:val="clear" w:color="auto" w:fill="auto"/>
            <w:noWrap/>
            <w:tcMar>
              <w:top w:w="15" w:type="dxa"/>
              <w:left w:w="15" w:type="dxa"/>
              <w:bottom w:w="0" w:type="dxa"/>
              <w:right w:w="15" w:type="dxa"/>
            </w:tcMar>
            <w:vAlign w:val="center"/>
          </w:tcPr>
          <w:p w14:paraId="1AB70E7F"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sz w:val="16"/>
                <w:szCs w:val="16"/>
              </w:rPr>
              <w:t>8</w:t>
            </w:r>
          </w:p>
        </w:tc>
        <w:tc>
          <w:tcPr>
            <w:tcW w:w="321" w:type="pct"/>
            <w:shd w:val="clear" w:color="auto" w:fill="auto"/>
            <w:noWrap/>
            <w:tcMar>
              <w:top w:w="15" w:type="dxa"/>
              <w:left w:w="15" w:type="dxa"/>
              <w:bottom w:w="0" w:type="dxa"/>
              <w:right w:w="15" w:type="dxa"/>
            </w:tcMar>
            <w:vAlign w:val="center"/>
          </w:tcPr>
          <w:p w14:paraId="7BB3D38F"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sz w:val="16"/>
                <w:szCs w:val="16"/>
              </w:rPr>
              <w:t>4</w:t>
            </w:r>
          </w:p>
        </w:tc>
        <w:tc>
          <w:tcPr>
            <w:tcW w:w="310" w:type="pct"/>
            <w:shd w:val="clear" w:color="auto" w:fill="auto"/>
            <w:noWrap/>
            <w:tcMar>
              <w:top w:w="15" w:type="dxa"/>
              <w:left w:w="15" w:type="dxa"/>
              <w:bottom w:w="0" w:type="dxa"/>
              <w:right w:w="15" w:type="dxa"/>
            </w:tcMar>
            <w:vAlign w:val="center"/>
          </w:tcPr>
          <w:p w14:paraId="3CC80258"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sz w:val="16"/>
                <w:szCs w:val="16"/>
              </w:rPr>
              <w:t>2</w:t>
            </w:r>
          </w:p>
        </w:tc>
        <w:tc>
          <w:tcPr>
            <w:tcW w:w="332" w:type="pct"/>
            <w:shd w:val="clear" w:color="auto" w:fill="D9D9D9" w:themeFill="background1" w:themeFillShade="D9"/>
            <w:noWrap/>
            <w:tcMar>
              <w:top w:w="15" w:type="dxa"/>
              <w:left w:w="15" w:type="dxa"/>
              <w:bottom w:w="0" w:type="dxa"/>
              <w:right w:w="15" w:type="dxa"/>
            </w:tcMar>
            <w:vAlign w:val="center"/>
          </w:tcPr>
          <w:p w14:paraId="600ECB4D"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color w:val="000000"/>
                <w:sz w:val="16"/>
                <w:szCs w:val="16"/>
              </w:rPr>
              <w:t>44</w:t>
            </w:r>
          </w:p>
        </w:tc>
        <w:tc>
          <w:tcPr>
            <w:tcW w:w="321" w:type="pct"/>
            <w:shd w:val="clear" w:color="auto" w:fill="D9D9D9" w:themeFill="background1" w:themeFillShade="D9"/>
            <w:vAlign w:val="center"/>
          </w:tcPr>
          <w:p w14:paraId="329A20F1"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color w:val="000000"/>
                <w:sz w:val="16"/>
                <w:szCs w:val="16"/>
              </w:rPr>
              <w:t>29</w:t>
            </w:r>
          </w:p>
        </w:tc>
        <w:tc>
          <w:tcPr>
            <w:tcW w:w="321" w:type="pct"/>
            <w:shd w:val="clear" w:color="auto" w:fill="D9D9D9" w:themeFill="background1" w:themeFillShade="D9"/>
            <w:vAlign w:val="center"/>
          </w:tcPr>
          <w:p w14:paraId="5DEE7A77"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color w:val="000000"/>
                <w:sz w:val="16"/>
                <w:szCs w:val="16"/>
              </w:rPr>
              <w:t>23</w:t>
            </w:r>
          </w:p>
        </w:tc>
        <w:tc>
          <w:tcPr>
            <w:tcW w:w="343" w:type="pct"/>
            <w:shd w:val="clear" w:color="auto" w:fill="D9D9D9" w:themeFill="background1" w:themeFillShade="D9"/>
            <w:vAlign w:val="center"/>
          </w:tcPr>
          <w:p w14:paraId="20DD1AEC"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color w:val="000000"/>
                <w:sz w:val="16"/>
                <w:szCs w:val="16"/>
              </w:rPr>
              <w:t>25</w:t>
            </w:r>
          </w:p>
        </w:tc>
        <w:tc>
          <w:tcPr>
            <w:tcW w:w="299" w:type="pct"/>
            <w:shd w:val="clear" w:color="auto" w:fill="auto"/>
            <w:vAlign w:val="center"/>
          </w:tcPr>
          <w:p w14:paraId="5D5E9498"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eastAsia="Arial Unicode MS" w:cs="Arial"/>
                <w:sz w:val="16"/>
                <w:szCs w:val="16"/>
              </w:rPr>
              <w:t>NA</w:t>
            </w:r>
          </w:p>
        </w:tc>
        <w:tc>
          <w:tcPr>
            <w:tcW w:w="321" w:type="pct"/>
            <w:shd w:val="clear" w:color="auto" w:fill="auto"/>
            <w:vAlign w:val="center"/>
          </w:tcPr>
          <w:p w14:paraId="1077624A"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eastAsia="Arial Unicode MS" w:cs="Arial"/>
                <w:sz w:val="16"/>
                <w:szCs w:val="16"/>
              </w:rPr>
              <w:t>NA</w:t>
            </w:r>
          </w:p>
        </w:tc>
        <w:tc>
          <w:tcPr>
            <w:tcW w:w="321" w:type="pct"/>
            <w:shd w:val="clear" w:color="auto" w:fill="auto"/>
            <w:vAlign w:val="center"/>
          </w:tcPr>
          <w:p w14:paraId="4F0266E8"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eastAsia="Arial Unicode MS" w:cs="Arial"/>
                <w:sz w:val="16"/>
                <w:szCs w:val="16"/>
              </w:rPr>
              <w:t>NA</w:t>
            </w:r>
          </w:p>
        </w:tc>
        <w:tc>
          <w:tcPr>
            <w:tcW w:w="321" w:type="pct"/>
            <w:shd w:val="clear" w:color="auto" w:fill="auto"/>
            <w:vAlign w:val="center"/>
          </w:tcPr>
          <w:p w14:paraId="2A32AAB3"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eastAsia="Arial Unicode MS" w:cs="Arial"/>
                <w:sz w:val="16"/>
                <w:szCs w:val="16"/>
              </w:rPr>
              <w:t>NA</w:t>
            </w:r>
          </w:p>
        </w:tc>
        <w:tc>
          <w:tcPr>
            <w:tcW w:w="321" w:type="pct"/>
            <w:shd w:val="clear" w:color="auto" w:fill="auto"/>
            <w:vAlign w:val="center"/>
          </w:tcPr>
          <w:p w14:paraId="74CB5563"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eastAsia="Arial Unicode MS" w:cs="Arial"/>
                <w:sz w:val="16"/>
                <w:szCs w:val="16"/>
              </w:rPr>
              <w:t>NA</w:t>
            </w:r>
          </w:p>
        </w:tc>
        <w:tc>
          <w:tcPr>
            <w:tcW w:w="319" w:type="pct"/>
            <w:shd w:val="clear" w:color="auto" w:fill="auto"/>
            <w:vAlign w:val="center"/>
          </w:tcPr>
          <w:p w14:paraId="3797B84B"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eastAsia="Arial Unicode MS" w:cs="Arial"/>
                <w:sz w:val="16"/>
                <w:szCs w:val="16"/>
              </w:rPr>
              <w:t>NA</w:t>
            </w:r>
          </w:p>
        </w:tc>
      </w:tr>
      <w:tr w:rsidR="00A5695F" w:rsidRPr="001D1F2F" w14:paraId="05D64402" w14:textId="77777777" w:rsidTr="00577EF3">
        <w:trPr>
          <w:trHeight w:val="264"/>
        </w:trPr>
        <w:tc>
          <w:tcPr>
            <w:tcW w:w="508" w:type="pct"/>
            <w:shd w:val="clear" w:color="auto" w:fill="D9D9D9" w:themeFill="background1" w:themeFillShade="D9"/>
            <w:noWrap/>
            <w:tcMar>
              <w:top w:w="15" w:type="dxa"/>
              <w:left w:w="15" w:type="dxa"/>
              <w:bottom w:w="0" w:type="dxa"/>
              <w:right w:w="15" w:type="dxa"/>
            </w:tcMar>
            <w:vAlign w:val="center"/>
          </w:tcPr>
          <w:p w14:paraId="746350FE" w14:textId="77777777" w:rsidR="00A5695F" w:rsidRPr="001D1F2F" w:rsidRDefault="00A5695F" w:rsidP="00D20A1E">
            <w:pPr>
              <w:widowControl/>
              <w:spacing w:before="40" w:after="40"/>
              <w:rPr>
                <w:rFonts w:eastAsia="Arial Unicode MS" w:cs="Arial"/>
                <w:sz w:val="16"/>
                <w:szCs w:val="16"/>
              </w:rPr>
            </w:pPr>
            <w:r w:rsidRPr="001D1F2F">
              <w:rPr>
                <w:rFonts w:cs="Arial"/>
                <w:sz w:val="16"/>
                <w:szCs w:val="16"/>
              </w:rPr>
              <w:t xml:space="preserve">Zinc </w:t>
            </w:r>
          </w:p>
        </w:tc>
        <w:tc>
          <w:tcPr>
            <w:tcW w:w="321" w:type="pct"/>
            <w:shd w:val="clear" w:color="auto" w:fill="auto"/>
            <w:noWrap/>
            <w:tcMar>
              <w:top w:w="15" w:type="dxa"/>
              <w:left w:w="15" w:type="dxa"/>
              <w:bottom w:w="0" w:type="dxa"/>
              <w:right w:w="15" w:type="dxa"/>
            </w:tcMar>
            <w:vAlign w:val="center"/>
          </w:tcPr>
          <w:p w14:paraId="21271A7C"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sz w:val="16"/>
                <w:szCs w:val="16"/>
              </w:rPr>
              <w:t>8</w:t>
            </w:r>
          </w:p>
        </w:tc>
        <w:tc>
          <w:tcPr>
            <w:tcW w:w="321" w:type="pct"/>
            <w:shd w:val="clear" w:color="auto" w:fill="D9D9D9" w:themeFill="background1" w:themeFillShade="D9"/>
            <w:noWrap/>
            <w:tcMar>
              <w:top w:w="15" w:type="dxa"/>
              <w:left w:w="15" w:type="dxa"/>
              <w:bottom w:w="0" w:type="dxa"/>
              <w:right w:w="15" w:type="dxa"/>
            </w:tcMar>
            <w:vAlign w:val="center"/>
          </w:tcPr>
          <w:p w14:paraId="742FC469"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sz w:val="16"/>
                <w:szCs w:val="16"/>
              </w:rPr>
              <w:t>20</w:t>
            </w:r>
          </w:p>
        </w:tc>
        <w:tc>
          <w:tcPr>
            <w:tcW w:w="321" w:type="pct"/>
            <w:shd w:val="clear" w:color="auto" w:fill="auto"/>
            <w:noWrap/>
            <w:tcMar>
              <w:top w:w="15" w:type="dxa"/>
              <w:left w:w="15" w:type="dxa"/>
              <w:bottom w:w="0" w:type="dxa"/>
              <w:right w:w="15" w:type="dxa"/>
            </w:tcMar>
            <w:vAlign w:val="center"/>
          </w:tcPr>
          <w:p w14:paraId="678EE747"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sz w:val="16"/>
                <w:szCs w:val="16"/>
              </w:rPr>
              <w:t>12</w:t>
            </w:r>
          </w:p>
        </w:tc>
        <w:tc>
          <w:tcPr>
            <w:tcW w:w="310" w:type="pct"/>
            <w:shd w:val="clear" w:color="auto" w:fill="auto"/>
            <w:noWrap/>
            <w:tcMar>
              <w:top w:w="15" w:type="dxa"/>
              <w:left w:w="15" w:type="dxa"/>
              <w:bottom w:w="0" w:type="dxa"/>
              <w:right w:w="15" w:type="dxa"/>
            </w:tcMar>
            <w:vAlign w:val="center"/>
          </w:tcPr>
          <w:p w14:paraId="704B87A6"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sz w:val="16"/>
                <w:szCs w:val="16"/>
              </w:rPr>
              <w:t>7</w:t>
            </w:r>
          </w:p>
        </w:tc>
        <w:tc>
          <w:tcPr>
            <w:tcW w:w="332" w:type="pct"/>
            <w:shd w:val="clear" w:color="auto" w:fill="auto"/>
            <w:noWrap/>
            <w:tcMar>
              <w:top w:w="15" w:type="dxa"/>
              <w:left w:w="15" w:type="dxa"/>
              <w:bottom w:w="0" w:type="dxa"/>
              <w:right w:w="15" w:type="dxa"/>
            </w:tcMar>
            <w:vAlign w:val="center"/>
          </w:tcPr>
          <w:p w14:paraId="1C9FEAFC"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color w:val="000000"/>
                <w:sz w:val="16"/>
                <w:szCs w:val="16"/>
              </w:rPr>
              <w:t>15</w:t>
            </w:r>
          </w:p>
        </w:tc>
        <w:tc>
          <w:tcPr>
            <w:tcW w:w="321" w:type="pct"/>
            <w:shd w:val="clear" w:color="auto" w:fill="auto"/>
            <w:vAlign w:val="center"/>
          </w:tcPr>
          <w:p w14:paraId="3E068CCE"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color w:val="000000"/>
                <w:sz w:val="16"/>
                <w:szCs w:val="16"/>
              </w:rPr>
              <w:t>10</w:t>
            </w:r>
          </w:p>
        </w:tc>
        <w:tc>
          <w:tcPr>
            <w:tcW w:w="321" w:type="pct"/>
            <w:shd w:val="clear" w:color="auto" w:fill="auto"/>
            <w:vAlign w:val="center"/>
          </w:tcPr>
          <w:p w14:paraId="1C548AB6"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color w:val="000000"/>
                <w:sz w:val="16"/>
                <w:szCs w:val="16"/>
              </w:rPr>
              <w:t>8</w:t>
            </w:r>
          </w:p>
        </w:tc>
        <w:tc>
          <w:tcPr>
            <w:tcW w:w="343" w:type="pct"/>
            <w:shd w:val="clear" w:color="auto" w:fill="auto"/>
            <w:vAlign w:val="center"/>
          </w:tcPr>
          <w:p w14:paraId="725A33B8" w14:textId="77777777" w:rsidR="00A5695F" w:rsidRPr="001D1F2F" w:rsidRDefault="00A5695F" w:rsidP="00D20A1E">
            <w:pPr>
              <w:widowControl/>
              <w:tabs>
                <w:tab w:val="decimal" w:pos="567"/>
              </w:tabs>
              <w:spacing w:before="40" w:after="40"/>
              <w:rPr>
                <w:rFonts w:eastAsia="Arial Unicode MS" w:cs="Arial"/>
                <w:sz w:val="16"/>
                <w:szCs w:val="16"/>
              </w:rPr>
            </w:pPr>
            <w:r w:rsidRPr="001D1F2F">
              <w:rPr>
                <w:rFonts w:cs="Arial"/>
                <w:color w:val="000000"/>
                <w:sz w:val="16"/>
                <w:szCs w:val="16"/>
              </w:rPr>
              <w:t>7</w:t>
            </w:r>
          </w:p>
        </w:tc>
        <w:tc>
          <w:tcPr>
            <w:tcW w:w="299" w:type="pct"/>
            <w:shd w:val="clear" w:color="auto" w:fill="auto"/>
            <w:vAlign w:val="center"/>
          </w:tcPr>
          <w:p w14:paraId="097EFE40"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cs="Arial"/>
                <w:color w:val="000000"/>
                <w:sz w:val="16"/>
                <w:szCs w:val="16"/>
              </w:rPr>
              <w:t>14</w:t>
            </w:r>
          </w:p>
        </w:tc>
        <w:tc>
          <w:tcPr>
            <w:tcW w:w="321" w:type="pct"/>
            <w:shd w:val="clear" w:color="auto" w:fill="auto"/>
            <w:vAlign w:val="center"/>
          </w:tcPr>
          <w:p w14:paraId="67ECA002"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cs="Arial"/>
                <w:color w:val="000000"/>
                <w:sz w:val="16"/>
                <w:szCs w:val="16"/>
              </w:rPr>
              <w:t>9</w:t>
            </w:r>
          </w:p>
        </w:tc>
        <w:tc>
          <w:tcPr>
            <w:tcW w:w="321" w:type="pct"/>
            <w:shd w:val="clear" w:color="auto" w:fill="auto"/>
            <w:vAlign w:val="center"/>
          </w:tcPr>
          <w:p w14:paraId="7BC366DB"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cs="Arial"/>
                <w:color w:val="000000"/>
                <w:sz w:val="16"/>
                <w:szCs w:val="16"/>
              </w:rPr>
              <w:t>8</w:t>
            </w:r>
          </w:p>
        </w:tc>
        <w:tc>
          <w:tcPr>
            <w:tcW w:w="321" w:type="pct"/>
            <w:shd w:val="clear" w:color="auto" w:fill="auto"/>
            <w:vAlign w:val="center"/>
          </w:tcPr>
          <w:p w14:paraId="124DE29C"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cs="Arial"/>
                <w:color w:val="000000"/>
                <w:sz w:val="16"/>
                <w:szCs w:val="16"/>
              </w:rPr>
              <w:t>5</w:t>
            </w:r>
          </w:p>
        </w:tc>
        <w:tc>
          <w:tcPr>
            <w:tcW w:w="321" w:type="pct"/>
            <w:shd w:val="clear" w:color="auto" w:fill="auto"/>
            <w:vAlign w:val="center"/>
          </w:tcPr>
          <w:p w14:paraId="50FB48AC"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cs="Arial"/>
                <w:color w:val="000000"/>
                <w:sz w:val="16"/>
                <w:szCs w:val="16"/>
              </w:rPr>
              <w:t>5</w:t>
            </w:r>
          </w:p>
        </w:tc>
        <w:tc>
          <w:tcPr>
            <w:tcW w:w="319" w:type="pct"/>
            <w:shd w:val="clear" w:color="auto" w:fill="auto"/>
            <w:vAlign w:val="center"/>
          </w:tcPr>
          <w:p w14:paraId="531FCBB2" w14:textId="77777777" w:rsidR="00A5695F" w:rsidRPr="002B6513" w:rsidRDefault="00A5695F" w:rsidP="00D20A1E">
            <w:pPr>
              <w:widowControl/>
              <w:tabs>
                <w:tab w:val="decimal" w:pos="567"/>
              </w:tabs>
              <w:spacing w:before="40" w:after="40"/>
              <w:rPr>
                <w:rFonts w:eastAsia="Arial Unicode MS" w:cs="Arial"/>
                <w:sz w:val="16"/>
                <w:szCs w:val="16"/>
              </w:rPr>
            </w:pPr>
            <w:r w:rsidRPr="002B6513">
              <w:rPr>
                <w:rFonts w:cs="Arial"/>
                <w:color w:val="000000"/>
                <w:sz w:val="16"/>
                <w:szCs w:val="16"/>
              </w:rPr>
              <w:t>5</w:t>
            </w:r>
          </w:p>
        </w:tc>
      </w:tr>
    </w:tbl>
    <w:p w14:paraId="7621C5D2" w14:textId="3DE0FBD9" w:rsidR="002C5AF9" w:rsidRPr="00577EF3" w:rsidRDefault="002C5AF9" w:rsidP="00D20A1E">
      <w:pPr>
        <w:pStyle w:val="FSBullet1"/>
        <w:numPr>
          <w:ilvl w:val="0"/>
          <w:numId w:val="0"/>
        </w:numPr>
        <w:spacing w:before="20" w:after="20"/>
        <w:rPr>
          <w:sz w:val="16"/>
          <w:szCs w:val="16"/>
        </w:rPr>
      </w:pPr>
      <w:r w:rsidRPr="00577EF3">
        <w:rPr>
          <w:sz w:val="16"/>
          <w:szCs w:val="16"/>
          <w:vertAlign w:val="superscript"/>
        </w:rPr>
        <w:sym w:font="Wingdings 2" w:char="F0BF"/>
      </w:r>
      <w:r w:rsidRPr="00577EF3">
        <w:rPr>
          <w:sz w:val="16"/>
          <w:szCs w:val="16"/>
        </w:rPr>
        <w:t xml:space="preserve"> All percentage contributions have been rounded to the nearest whole number</w:t>
      </w:r>
      <w:r w:rsidR="00BD6754" w:rsidRPr="00577EF3">
        <w:rPr>
          <w:sz w:val="16"/>
          <w:szCs w:val="16"/>
        </w:rPr>
        <w:t>.</w:t>
      </w:r>
    </w:p>
    <w:p w14:paraId="07FBBA20" w14:textId="1E9204F6" w:rsidR="006B2784" w:rsidRPr="00D14C65" w:rsidRDefault="00D24122" w:rsidP="00D20A1E">
      <w:pPr>
        <w:pStyle w:val="FSBullet1"/>
        <w:numPr>
          <w:ilvl w:val="0"/>
          <w:numId w:val="0"/>
        </w:numPr>
        <w:spacing w:before="20" w:after="20"/>
        <w:rPr>
          <w:sz w:val="16"/>
          <w:szCs w:val="16"/>
        </w:rPr>
      </w:pPr>
      <w:r w:rsidRPr="00D24122">
        <w:rPr>
          <w:rFonts w:eastAsia="Arial Unicode MS"/>
          <w:bCs/>
          <w:sz w:val="16"/>
          <w:szCs w:val="16"/>
        </w:rPr>
        <w:sym w:font="Webdings" w:char="F07E"/>
      </w:r>
      <w:r w:rsidR="006B2784" w:rsidRPr="008F0975">
        <w:rPr>
          <w:sz w:val="16"/>
          <w:szCs w:val="16"/>
        </w:rPr>
        <w:t xml:space="preserve"> Day 1 and 2 average</w:t>
      </w:r>
      <w:r w:rsidR="00BD6754" w:rsidRPr="008F0975">
        <w:rPr>
          <w:sz w:val="16"/>
          <w:szCs w:val="16"/>
        </w:rPr>
        <w:t>.</w:t>
      </w:r>
    </w:p>
    <w:p w14:paraId="751A438E" w14:textId="7162FB12" w:rsidR="00934B60" w:rsidRDefault="00934B60" w:rsidP="00D20A1E">
      <w:pPr>
        <w:widowControl/>
        <w:spacing w:before="20" w:after="20"/>
        <w:rPr>
          <w:sz w:val="16"/>
          <w:szCs w:val="16"/>
          <w:lang w:bidi="ar-SA"/>
        </w:rPr>
      </w:pPr>
      <w:r w:rsidRPr="00AD33AC">
        <w:rPr>
          <w:rFonts w:eastAsia="Arial Unicode MS" w:cs="Arial"/>
          <w:bCs/>
          <w:sz w:val="16"/>
          <w:szCs w:val="16"/>
          <w:vertAlign w:val="superscript"/>
        </w:rPr>
        <w:lastRenderedPageBreak/>
        <w:sym w:font="Wingdings" w:char="F07A"/>
      </w:r>
      <w:r w:rsidRPr="008F0975">
        <w:rPr>
          <w:rFonts w:eastAsia="Arial Unicode MS" w:cs="Arial"/>
          <w:bCs/>
          <w:sz w:val="16"/>
          <w:szCs w:val="16"/>
          <w:vertAlign w:val="superscript"/>
        </w:rPr>
        <w:t xml:space="preserve"> </w:t>
      </w:r>
      <w:r w:rsidRPr="00AD33AC">
        <w:rPr>
          <w:sz w:val="16"/>
          <w:szCs w:val="16"/>
          <w:lang w:bidi="ar-SA"/>
        </w:rPr>
        <w:t>Source: (ABS 2014</w:t>
      </w:r>
      <w:r w:rsidR="008F0975" w:rsidRPr="00AD33AC">
        <w:rPr>
          <w:sz w:val="16"/>
          <w:szCs w:val="16"/>
          <w:lang w:bidi="ar-SA"/>
        </w:rPr>
        <w:t>b</w:t>
      </w:r>
      <w:r w:rsidRPr="00AD33AC">
        <w:rPr>
          <w:sz w:val="16"/>
          <w:szCs w:val="16"/>
          <w:lang w:bidi="ar-SA"/>
        </w:rPr>
        <w:t>)</w:t>
      </w:r>
    </w:p>
    <w:p w14:paraId="01104194" w14:textId="6E544B6D" w:rsidR="008D629B" w:rsidRPr="008D629B" w:rsidRDefault="008D629B" w:rsidP="00D20A1E">
      <w:pPr>
        <w:widowControl/>
        <w:spacing w:before="20" w:after="20"/>
        <w:ind w:left="567" w:hanging="567"/>
        <w:rPr>
          <w:sz w:val="16"/>
          <w:szCs w:val="16"/>
          <w:lang w:bidi="ar-SA"/>
        </w:rPr>
      </w:pPr>
      <w:r w:rsidRPr="008D629B">
        <w:rPr>
          <w:rFonts w:cs="Arial"/>
          <w:sz w:val="16"/>
          <w:szCs w:val="16"/>
        </w:rPr>
        <w:t>ɸ</w:t>
      </w:r>
      <w:r>
        <w:rPr>
          <w:rFonts w:cs="Arial"/>
          <w:sz w:val="16"/>
          <w:szCs w:val="16"/>
        </w:rPr>
        <w:tab/>
        <w:t xml:space="preserve">Dietary folate equivalents </w:t>
      </w:r>
      <w:r w:rsidRPr="008D629B">
        <w:rPr>
          <w:rFonts w:cs="Arial"/>
          <w:sz w:val="16"/>
          <w:szCs w:val="16"/>
        </w:rPr>
        <w:t>recognise a differential bioavailability between folate and folic</w:t>
      </w:r>
      <w:r>
        <w:rPr>
          <w:rFonts w:cs="Arial"/>
          <w:sz w:val="16"/>
          <w:szCs w:val="16"/>
        </w:rPr>
        <w:t xml:space="preserve"> </w:t>
      </w:r>
      <w:r w:rsidRPr="008D629B">
        <w:rPr>
          <w:rFonts w:cs="Arial"/>
          <w:sz w:val="16"/>
          <w:szCs w:val="16"/>
        </w:rPr>
        <w:t>acid.</w:t>
      </w:r>
      <w:r>
        <w:rPr>
          <w:rFonts w:cs="Arial"/>
          <w:sz w:val="16"/>
          <w:szCs w:val="16"/>
        </w:rPr>
        <w:t xml:space="preserve"> Dietary folate equivalents = naturally occurring folates + (1.67 x folic acid). </w:t>
      </w:r>
      <w:r w:rsidRPr="008D629B">
        <w:rPr>
          <w:rFonts w:cs="Arial"/>
          <w:sz w:val="16"/>
          <w:szCs w:val="16"/>
        </w:rPr>
        <w:t>Currently the Code treats folic acid and folate as having</w:t>
      </w:r>
      <w:r>
        <w:rPr>
          <w:rFonts w:cs="Arial"/>
          <w:sz w:val="16"/>
          <w:szCs w:val="16"/>
        </w:rPr>
        <w:t xml:space="preserve"> </w:t>
      </w:r>
      <w:r w:rsidRPr="008D629B">
        <w:rPr>
          <w:rFonts w:cs="Arial"/>
          <w:sz w:val="16"/>
          <w:szCs w:val="16"/>
        </w:rPr>
        <w:t>equivalent bioavailability; this applies to reference amounts for nutrition labelling and the</w:t>
      </w:r>
      <w:r>
        <w:rPr>
          <w:rFonts w:cs="Arial"/>
          <w:sz w:val="16"/>
          <w:szCs w:val="16"/>
        </w:rPr>
        <w:t xml:space="preserve"> </w:t>
      </w:r>
      <w:r w:rsidRPr="008D629B">
        <w:rPr>
          <w:rFonts w:cs="Arial"/>
          <w:sz w:val="16"/>
          <w:szCs w:val="16"/>
        </w:rPr>
        <w:t>derivative criteria for health and nutrition claims as well as indirectly controlling voluntary</w:t>
      </w:r>
      <w:r>
        <w:rPr>
          <w:rFonts w:cs="Arial"/>
          <w:sz w:val="16"/>
          <w:szCs w:val="16"/>
        </w:rPr>
        <w:t xml:space="preserve"> </w:t>
      </w:r>
      <w:r w:rsidRPr="008D629B">
        <w:rPr>
          <w:rFonts w:cs="Arial"/>
          <w:sz w:val="16"/>
          <w:szCs w:val="16"/>
        </w:rPr>
        <w:t>fortification.</w:t>
      </w:r>
    </w:p>
    <w:p w14:paraId="5F201658" w14:textId="4C4E7465" w:rsidR="006B2784" w:rsidRPr="00AD33AC" w:rsidRDefault="00D24122" w:rsidP="00D20A1E">
      <w:pPr>
        <w:widowControl/>
        <w:spacing w:before="20" w:after="20"/>
        <w:rPr>
          <w:sz w:val="16"/>
          <w:szCs w:val="16"/>
        </w:rPr>
      </w:pPr>
      <w:r w:rsidRPr="00D24122">
        <w:rPr>
          <w:rFonts w:cs="Arial"/>
          <w:sz w:val="16"/>
          <w:szCs w:val="16"/>
        </w:rPr>
        <w:sym w:font="Wingdings" w:char="F0A9"/>
      </w:r>
      <w:r w:rsidR="006B2784" w:rsidRPr="008F0975">
        <w:rPr>
          <w:sz w:val="16"/>
          <w:szCs w:val="16"/>
        </w:rPr>
        <w:t xml:space="preserve"> For Iodine in the 1995 AusNNS, ‘</w:t>
      </w:r>
      <w:r w:rsidR="006B2784" w:rsidRPr="00D14C65">
        <w:rPr>
          <w:sz w:val="16"/>
          <w:szCs w:val="16"/>
        </w:rPr>
        <w:t>M</w:t>
      </w:r>
      <w:r w:rsidR="006B2784" w:rsidRPr="00AD33AC">
        <w:rPr>
          <w:sz w:val="16"/>
          <w:szCs w:val="16"/>
        </w:rPr>
        <w:t>ilk’ includes all milks, yoghurts, cheese, ice cream, butter and their use in recipes.</w:t>
      </w:r>
    </w:p>
    <w:p w14:paraId="35E17DB9" w14:textId="77777777" w:rsidR="00E4287E" w:rsidRDefault="00E4287E" w:rsidP="00D20A1E">
      <w:pPr>
        <w:widowControl/>
        <w:spacing w:before="20" w:after="20"/>
        <w:rPr>
          <w:sz w:val="16"/>
          <w:szCs w:val="16"/>
        </w:rPr>
      </w:pPr>
      <w:r>
        <w:rPr>
          <w:sz w:val="16"/>
          <w:szCs w:val="16"/>
        </w:rPr>
        <w:t>Notes:</w:t>
      </w:r>
    </w:p>
    <w:p w14:paraId="20A8EFE8" w14:textId="0CF86BF1" w:rsidR="00E4287E" w:rsidRDefault="00D84540" w:rsidP="00D20A1E">
      <w:pPr>
        <w:pStyle w:val="ListParagraph"/>
        <w:widowControl/>
        <w:numPr>
          <w:ilvl w:val="0"/>
          <w:numId w:val="27"/>
        </w:numPr>
        <w:spacing w:before="20" w:after="20"/>
        <w:ind w:left="567"/>
        <w:rPr>
          <w:sz w:val="16"/>
          <w:szCs w:val="16"/>
        </w:rPr>
      </w:pPr>
      <w:r w:rsidRPr="00E4287E">
        <w:rPr>
          <w:sz w:val="16"/>
          <w:szCs w:val="16"/>
        </w:rPr>
        <w:t>Gr</w:t>
      </w:r>
      <w:r w:rsidR="00D60EE0">
        <w:rPr>
          <w:sz w:val="16"/>
          <w:szCs w:val="16"/>
        </w:rPr>
        <w:t>e</w:t>
      </w:r>
      <w:r w:rsidRPr="00E4287E">
        <w:rPr>
          <w:sz w:val="16"/>
          <w:szCs w:val="16"/>
        </w:rPr>
        <w:t>y shading indicates that milk is a major contributing food</w:t>
      </w:r>
      <w:r w:rsidR="00050BE9" w:rsidRPr="00E4287E">
        <w:rPr>
          <w:sz w:val="16"/>
          <w:szCs w:val="16"/>
        </w:rPr>
        <w:t xml:space="preserve"> (</w:t>
      </w:r>
      <w:r w:rsidR="00050BE9" w:rsidRPr="00E4287E">
        <w:rPr>
          <w:rFonts w:cs="Arial"/>
          <w:sz w:val="16"/>
        </w:rPr>
        <w:t>≥</w:t>
      </w:r>
      <w:r w:rsidR="00050BE9" w:rsidRPr="00E4287E">
        <w:rPr>
          <w:sz w:val="16"/>
        </w:rPr>
        <w:t>20%)</w:t>
      </w:r>
      <w:r w:rsidRPr="00E4287E">
        <w:rPr>
          <w:sz w:val="16"/>
          <w:szCs w:val="16"/>
        </w:rPr>
        <w:t xml:space="preserve"> to the intake of the nutrient for the population group listed.</w:t>
      </w:r>
    </w:p>
    <w:p w14:paraId="6D061B10" w14:textId="77777777" w:rsidR="006B2784" w:rsidRPr="00E4287E" w:rsidRDefault="006B2784" w:rsidP="00D20A1E">
      <w:pPr>
        <w:pStyle w:val="ListParagraph"/>
        <w:widowControl/>
        <w:numPr>
          <w:ilvl w:val="0"/>
          <w:numId w:val="27"/>
        </w:numPr>
        <w:spacing w:before="20" w:after="20"/>
        <w:ind w:left="567"/>
        <w:rPr>
          <w:sz w:val="16"/>
          <w:szCs w:val="16"/>
        </w:rPr>
      </w:pPr>
      <w:r w:rsidRPr="00E4287E">
        <w:rPr>
          <w:sz w:val="16"/>
          <w:szCs w:val="16"/>
        </w:rPr>
        <w:t>For all other vitamins and minerals and for iodine in the 2007 ANCNPAS and 2011-12 NNPAS, milk includes fluid milk, evaporated milk, condensed milk and milk powder (including undiluted and dry forms). Milkshakes, flavoured milks and milk used in recipes are not included.</w:t>
      </w:r>
    </w:p>
    <w:p w14:paraId="5167014C" w14:textId="6EF130C9" w:rsidR="00686EE1" w:rsidRDefault="00686EE1" w:rsidP="00D20A1E">
      <w:pPr>
        <w:widowControl/>
      </w:pPr>
      <w:bookmarkStart w:id="200" w:name="_Ref417649128"/>
      <w:r>
        <w:br w:type="page"/>
      </w:r>
    </w:p>
    <w:p w14:paraId="7675CF60" w14:textId="786A8025" w:rsidR="006B2784" w:rsidRDefault="006B2784" w:rsidP="00D20A1E">
      <w:pPr>
        <w:pStyle w:val="FSTableTitle"/>
        <w:keepNext/>
        <w:keepLines/>
        <w:widowControl/>
      </w:pPr>
      <w:bookmarkStart w:id="201" w:name="_Ref421190165"/>
      <w:r>
        <w:lastRenderedPageBreak/>
        <w:t>Table A1.</w:t>
      </w:r>
      <w:fldSimple w:instr=" SEQ Table_A1. \* ARABIC ">
        <w:r w:rsidR="00047581">
          <w:rPr>
            <w:noProof/>
          </w:rPr>
          <w:t>5</w:t>
        </w:r>
      </w:fldSimple>
      <w:bookmarkEnd w:id="200"/>
      <w:bookmarkEnd w:id="201"/>
      <w:r>
        <w:t>:</w:t>
      </w:r>
      <w:r w:rsidR="00F6296A">
        <w:t xml:space="preserve"> </w:t>
      </w:r>
      <w:r w:rsidRPr="00CB55F8">
        <w:t>Percentage contribution of milk</w:t>
      </w:r>
      <w:r w:rsidR="001E67B0">
        <w:rPr>
          <w:rStyle w:val="FootnoteReference"/>
        </w:rPr>
        <w:footnoteReference w:id="18"/>
      </w:r>
      <w:r w:rsidRPr="00CB55F8">
        <w:t xml:space="preserve"> to estimated nutrient intakes for New Zealand</w:t>
      </w:r>
    </w:p>
    <w:p w14:paraId="57140638" w14:textId="77777777" w:rsidR="0023423F" w:rsidRPr="0023423F" w:rsidRDefault="0023423F" w:rsidP="002342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1"/>
        <w:gridCol w:w="1624"/>
        <w:gridCol w:w="1624"/>
        <w:gridCol w:w="1624"/>
        <w:gridCol w:w="1630"/>
        <w:gridCol w:w="1624"/>
        <w:gridCol w:w="1624"/>
        <w:gridCol w:w="1697"/>
      </w:tblGrid>
      <w:tr w:rsidR="006B2784" w:rsidRPr="00E052B2" w14:paraId="4954AECD" w14:textId="77777777" w:rsidTr="00577EF3">
        <w:trPr>
          <w:trHeight w:val="276"/>
          <w:tblHeader/>
        </w:trPr>
        <w:tc>
          <w:tcPr>
            <w:tcW w:w="905" w:type="pct"/>
            <w:vMerge w:val="restart"/>
            <w:shd w:val="clear" w:color="auto" w:fill="B8CCE4" w:themeFill="accent1" w:themeFillTint="66"/>
            <w:noWrap/>
            <w:tcMar>
              <w:top w:w="15" w:type="dxa"/>
              <w:left w:w="15" w:type="dxa"/>
              <w:bottom w:w="0" w:type="dxa"/>
              <w:right w:w="15" w:type="dxa"/>
            </w:tcMar>
            <w:vAlign w:val="center"/>
          </w:tcPr>
          <w:p w14:paraId="20A17EA1" w14:textId="77777777" w:rsidR="006B2784" w:rsidRPr="00E052B2" w:rsidRDefault="006B2784" w:rsidP="00D20A1E">
            <w:pPr>
              <w:keepNext/>
              <w:keepLines/>
              <w:widowControl/>
              <w:spacing w:before="40" w:after="40"/>
              <w:rPr>
                <w:rFonts w:eastAsia="Arial Unicode MS" w:cs="Arial"/>
                <w:b/>
                <w:bCs/>
                <w:sz w:val="16"/>
                <w:szCs w:val="16"/>
              </w:rPr>
            </w:pPr>
            <w:r w:rsidRPr="00E052B2">
              <w:rPr>
                <w:rFonts w:cs="Arial"/>
                <w:b/>
                <w:bCs/>
                <w:sz w:val="16"/>
                <w:szCs w:val="16"/>
              </w:rPr>
              <w:t>Nutrient</w:t>
            </w:r>
          </w:p>
        </w:tc>
        <w:tc>
          <w:tcPr>
            <w:tcW w:w="4095" w:type="pct"/>
            <w:gridSpan w:val="7"/>
            <w:shd w:val="clear" w:color="auto" w:fill="B8CCE4" w:themeFill="accent1" w:themeFillTint="66"/>
          </w:tcPr>
          <w:p w14:paraId="6E83976A" w14:textId="77777777" w:rsidR="006B2784" w:rsidRPr="00E052B2" w:rsidRDefault="006B2784" w:rsidP="00D20A1E">
            <w:pPr>
              <w:keepNext/>
              <w:keepLines/>
              <w:widowControl/>
              <w:spacing w:before="40" w:after="40"/>
              <w:jc w:val="center"/>
              <w:rPr>
                <w:rFonts w:cs="Arial"/>
                <w:b/>
                <w:bCs/>
                <w:sz w:val="16"/>
                <w:szCs w:val="16"/>
              </w:rPr>
            </w:pPr>
            <w:r w:rsidRPr="00E052B2">
              <w:rPr>
                <w:rFonts w:cs="Arial"/>
                <w:b/>
                <w:bCs/>
                <w:sz w:val="16"/>
                <w:szCs w:val="16"/>
              </w:rPr>
              <w:t>Percent contribution of milk (%)</w:t>
            </w:r>
          </w:p>
        </w:tc>
      </w:tr>
      <w:tr w:rsidR="006B2784" w:rsidRPr="00E052B2" w14:paraId="118FFFDB" w14:textId="77777777" w:rsidTr="00577EF3">
        <w:trPr>
          <w:trHeight w:val="276"/>
          <w:tblHeader/>
        </w:trPr>
        <w:tc>
          <w:tcPr>
            <w:tcW w:w="905" w:type="pct"/>
            <w:vMerge/>
            <w:shd w:val="clear" w:color="auto" w:fill="B8CCE4" w:themeFill="accent1" w:themeFillTint="66"/>
            <w:noWrap/>
            <w:tcMar>
              <w:top w:w="15" w:type="dxa"/>
              <w:left w:w="15" w:type="dxa"/>
              <w:bottom w:w="0" w:type="dxa"/>
              <w:right w:w="15" w:type="dxa"/>
            </w:tcMar>
            <w:vAlign w:val="center"/>
          </w:tcPr>
          <w:p w14:paraId="50C2BA86" w14:textId="77777777" w:rsidR="006B2784" w:rsidRPr="00E052B2" w:rsidRDefault="006B2784" w:rsidP="00D20A1E">
            <w:pPr>
              <w:keepNext/>
              <w:keepLines/>
              <w:widowControl/>
              <w:spacing w:before="40" w:after="40"/>
              <w:rPr>
                <w:rFonts w:eastAsia="Arial Unicode MS" w:cs="Arial"/>
                <w:b/>
                <w:bCs/>
                <w:sz w:val="16"/>
                <w:szCs w:val="16"/>
              </w:rPr>
            </w:pPr>
          </w:p>
        </w:tc>
        <w:tc>
          <w:tcPr>
            <w:tcW w:w="581" w:type="pct"/>
            <w:shd w:val="clear" w:color="auto" w:fill="B8CCE4" w:themeFill="accent1" w:themeFillTint="66"/>
            <w:vAlign w:val="center"/>
          </w:tcPr>
          <w:p w14:paraId="597A8E87" w14:textId="03D8B3B8" w:rsidR="006B2784" w:rsidRPr="00E052B2" w:rsidRDefault="006B2784" w:rsidP="00D20A1E">
            <w:pPr>
              <w:keepNext/>
              <w:keepLines/>
              <w:widowControl/>
              <w:spacing w:before="40" w:after="40"/>
              <w:jc w:val="center"/>
              <w:rPr>
                <w:rFonts w:eastAsia="Arial Unicode MS" w:cs="Arial"/>
                <w:b/>
                <w:bCs/>
                <w:sz w:val="16"/>
                <w:szCs w:val="16"/>
              </w:rPr>
            </w:pPr>
          </w:p>
        </w:tc>
        <w:tc>
          <w:tcPr>
            <w:tcW w:w="3514" w:type="pct"/>
            <w:gridSpan w:val="6"/>
            <w:shd w:val="clear" w:color="auto" w:fill="B8CCE4" w:themeFill="accent1" w:themeFillTint="66"/>
            <w:noWrap/>
            <w:tcMar>
              <w:top w:w="15" w:type="dxa"/>
              <w:left w:w="15" w:type="dxa"/>
              <w:bottom w:w="0" w:type="dxa"/>
              <w:right w:w="15" w:type="dxa"/>
            </w:tcMar>
            <w:vAlign w:val="center"/>
          </w:tcPr>
          <w:p w14:paraId="4DBAC7CE" w14:textId="10DB087A" w:rsidR="006B2784" w:rsidRPr="00E052B2" w:rsidRDefault="00BD6754" w:rsidP="00D20A1E">
            <w:pPr>
              <w:keepNext/>
              <w:keepLines/>
              <w:widowControl/>
              <w:spacing w:before="40" w:after="40"/>
              <w:jc w:val="center"/>
              <w:rPr>
                <w:rFonts w:eastAsia="Arial Unicode MS" w:cs="Arial"/>
                <w:b/>
                <w:bCs/>
                <w:sz w:val="16"/>
                <w:szCs w:val="16"/>
              </w:rPr>
            </w:pPr>
            <w:r w:rsidRPr="00E052B2">
              <w:rPr>
                <w:rFonts w:eastAsia="Arial Unicode MS" w:cs="Arial"/>
                <w:b/>
                <w:bCs/>
                <w:sz w:val="16"/>
                <w:szCs w:val="16"/>
              </w:rPr>
              <w:t>More recent data</w:t>
            </w:r>
          </w:p>
        </w:tc>
      </w:tr>
      <w:tr w:rsidR="006B2784" w:rsidRPr="00E052B2" w14:paraId="629913EF" w14:textId="77777777" w:rsidTr="00577EF3">
        <w:trPr>
          <w:trHeight w:val="276"/>
          <w:tblHeader/>
        </w:trPr>
        <w:tc>
          <w:tcPr>
            <w:tcW w:w="905" w:type="pct"/>
            <w:vMerge/>
            <w:shd w:val="clear" w:color="auto" w:fill="B8CCE4" w:themeFill="accent1" w:themeFillTint="66"/>
            <w:noWrap/>
            <w:tcMar>
              <w:top w:w="15" w:type="dxa"/>
              <w:left w:w="15" w:type="dxa"/>
              <w:bottom w:w="0" w:type="dxa"/>
              <w:right w:w="15" w:type="dxa"/>
            </w:tcMar>
            <w:vAlign w:val="center"/>
          </w:tcPr>
          <w:p w14:paraId="5C573C1D" w14:textId="77777777" w:rsidR="006B2784" w:rsidRPr="00E052B2" w:rsidRDefault="006B2784" w:rsidP="00D20A1E">
            <w:pPr>
              <w:keepNext/>
              <w:keepLines/>
              <w:widowControl/>
              <w:spacing w:before="40" w:after="40"/>
              <w:rPr>
                <w:rFonts w:cs="Arial"/>
                <w:b/>
                <w:bCs/>
                <w:sz w:val="16"/>
                <w:szCs w:val="16"/>
              </w:rPr>
            </w:pPr>
          </w:p>
        </w:tc>
        <w:tc>
          <w:tcPr>
            <w:tcW w:w="581" w:type="pct"/>
            <w:shd w:val="clear" w:color="auto" w:fill="B8CCE4" w:themeFill="accent1" w:themeFillTint="66"/>
            <w:vAlign w:val="center"/>
          </w:tcPr>
          <w:p w14:paraId="19AA1049" w14:textId="77777777" w:rsidR="006B2784" w:rsidRPr="00E052B2" w:rsidRDefault="006B2784" w:rsidP="00D20A1E">
            <w:pPr>
              <w:keepNext/>
              <w:keepLines/>
              <w:widowControl/>
              <w:spacing w:before="40" w:after="40"/>
              <w:jc w:val="center"/>
              <w:rPr>
                <w:rFonts w:cs="Arial"/>
                <w:b/>
                <w:bCs/>
                <w:sz w:val="16"/>
                <w:szCs w:val="16"/>
              </w:rPr>
            </w:pPr>
            <w:r w:rsidRPr="00E052B2">
              <w:rPr>
                <w:rFonts w:cs="Arial"/>
                <w:b/>
                <w:bCs/>
                <w:sz w:val="16"/>
                <w:szCs w:val="16"/>
              </w:rPr>
              <w:t>1997 NZNNS</w:t>
            </w:r>
          </w:p>
        </w:tc>
        <w:tc>
          <w:tcPr>
            <w:tcW w:w="1745" w:type="pct"/>
            <w:gridSpan w:val="3"/>
            <w:shd w:val="clear" w:color="auto" w:fill="B8CCE4" w:themeFill="accent1" w:themeFillTint="66"/>
            <w:noWrap/>
            <w:tcMar>
              <w:top w:w="15" w:type="dxa"/>
              <w:left w:w="15" w:type="dxa"/>
              <w:bottom w:w="0" w:type="dxa"/>
              <w:right w:w="15" w:type="dxa"/>
            </w:tcMar>
            <w:vAlign w:val="center"/>
          </w:tcPr>
          <w:p w14:paraId="2C3F7BA4" w14:textId="17D487A0" w:rsidR="006B2784" w:rsidRPr="00E052B2" w:rsidRDefault="00064C03" w:rsidP="00D20A1E">
            <w:pPr>
              <w:keepNext/>
              <w:keepLines/>
              <w:widowControl/>
              <w:spacing w:before="40" w:after="40"/>
              <w:jc w:val="center"/>
              <w:rPr>
                <w:rFonts w:eastAsia="Arial Unicode MS" w:cs="Arial"/>
                <w:b/>
                <w:bCs/>
                <w:sz w:val="16"/>
                <w:szCs w:val="16"/>
              </w:rPr>
            </w:pPr>
            <w:r>
              <w:rPr>
                <w:rFonts w:cs="Arial"/>
                <w:b/>
                <w:bCs/>
                <w:sz w:val="16"/>
                <w:szCs w:val="16"/>
              </w:rPr>
              <w:t>2002 NZCNS</w:t>
            </w:r>
          </w:p>
        </w:tc>
        <w:tc>
          <w:tcPr>
            <w:tcW w:w="1769" w:type="pct"/>
            <w:gridSpan w:val="3"/>
            <w:shd w:val="clear" w:color="auto" w:fill="B8CCE4" w:themeFill="accent1" w:themeFillTint="66"/>
          </w:tcPr>
          <w:p w14:paraId="1A77021F" w14:textId="77777777" w:rsidR="006B2784" w:rsidRPr="00E052B2" w:rsidRDefault="006B2784" w:rsidP="00D20A1E">
            <w:pPr>
              <w:keepNext/>
              <w:keepLines/>
              <w:widowControl/>
              <w:spacing w:before="40" w:after="40"/>
              <w:jc w:val="center"/>
              <w:rPr>
                <w:rFonts w:cs="Arial"/>
                <w:b/>
                <w:bCs/>
                <w:sz w:val="16"/>
                <w:szCs w:val="16"/>
              </w:rPr>
            </w:pPr>
            <w:r w:rsidRPr="00E052B2">
              <w:rPr>
                <w:rFonts w:cs="Arial"/>
                <w:b/>
                <w:bCs/>
                <w:sz w:val="16"/>
                <w:szCs w:val="16"/>
              </w:rPr>
              <w:t>2008 NZANS</w:t>
            </w:r>
          </w:p>
        </w:tc>
      </w:tr>
      <w:tr w:rsidR="006B2784" w:rsidRPr="00E052B2" w14:paraId="64987A91" w14:textId="77777777" w:rsidTr="00577EF3">
        <w:trPr>
          <w:trHeight w:val="276"/>
          <w:tblHeader/>
        </w:trPr>
        <w:tc>
          <w:tcPr>
            <w:tcW w:w="905" w:type="pct"/>
            <w:vMerge/>
            <w:shd w:val="clear" w:color="auto" w:fill="B8CCE4" w:themeFill="accent1" w:themeFillTint="66"/>
            <w:noWrap/>
            <w:tcMar>
              <w:top w:w="15" w:type="dxa"/>
              <w:left w:w="15" w:type="dxa"/>
              <w:bottom w:w="0" w:type="dxa"/>
              <w:right w:w="15" w:type="dxa"/>
            </w:tcMar>
            <w:vAlign w:val="center"/>
          </w:tcPr>
          <w:p w14:paraId="259EAC44" w14:textId="77777777" w:rsidR="006B2784" w:rsidRPr="00E052B2" w:rsidRDefault="006B2784" w:rsidP="00D20A1E">
            <w:pPr>
              <w:keepNext/>
              <w:keepLines/>
              <w:widowControl/>
              <w:spacing w:before="40" w:after="40"/>
              <w:rPr>
                <w:rFonts w:eastAsia="Arial Unicode MS" w:cs="Arial"/>
                <w:b/>
                <w:bCs/>
                <w:sz w:val="16"/>
                <w:szCs w:val="16"/>
              </w:rPr>
            </w:pPr>
          </w:p>
        </w:tc>
        <w:tc>
          <w:tcPr>
            <w:tcW w:w="581" w:type="pct"/>
            <w:shd w:val="clear" w:color="auto" w:fill="B8CCE4" w:themeFill="accent1" w:themeFillTint="66"/>
            <w:vAlign w:val="center"/>
          </w:tcPr>
          <w:p w14:paraId="53436A85" w14:textId="77777777" w:rsidR="006B2784" w:rsidRPr="00E052B2" w:rsidRDefault="006B2784" w:rsidP="00D20A1E">
            <w:pPr>
              <w:keepNext/>
              <w:keepLines/>
              <w:widowControl/>
              <w:spacing w:before="40" w:after="40"/>
              <w:jc w:val="center"/>
              <w:rPr>
                <w:rFonts w:eastAsia="Arial Unicode MS" w:cs="Arial"/>
                <w:b/>
                <w:bCs/>
                <w:sz w:val="16"/>
                <w:szCs w:val="16"/>
              </w:rPr>
            </w:pPr>
            <w:r w:rsidRPr="00E052B2">
              <w:rPr>
                <w:rFonts w:cs="Arial"/>
                <w:b/>
                <w:bCs/>
                <w:sz w:val="16"/>
                <w:szCs w:val="16"/>
              </w:rPr>
              <w:t>15 years and above</w:t>
            </w:r>
          </w:p>
        </w:tc>
        <w:tc>
          <w:tcPr>
            <w:tcW w:w="581" w:type="pct"/>
            <w:shd w:val="clear" w:color="auto" w:fill="B8CCE4" w:themeFill="accent1" w:themeFillTint="66"/>
            <w:noWrap/>
            <w:tcMar>
              <w:top w:w="15" w:type="dxa"/>
              <w:left w:w="15" w:type="dxa"/>
              <w:bottom w:w="0" w:type="dxa"/>
              <w:right w:w="15" w:type="dxa"/>
            </w:tcMar>
            <w:vAlign w:val="center"/>
          </w:tcPr>
          <w:p w14:paraId="5C5A4489" w14:textId="77777777" w:rsidR="006B2784" w:rsidRPr="00E052B2" w:rsidRDefault="006B2784" w:rsidP="00D20A1E">
            <w:pPr>
              <w:keepNext/>
              <w:keepLines/>
              <w:widowControl/>
              <w:spacing w:before="40" w:after="40"/>
              <w:jc w:val="center"/>
              <w:rPr>
                <w:rFonts w:eastAsia="Arial Unicode MS" w:cs="Arial"/>
                <w:b/>
                <w:bCs/>
                <w:sz w:val="16"/>
                <w:szCs w:val="16"/>
              </w:rPr>
            </w:pPr>
            <w:r w:rsidRPr="00E052B2">
              <w:rPr>
                <w:rFonts w:eastAsia="Arial Unicode MS" w:cs="Arial"/>
                <w:b/>
                <w:bCs/>
                <w:sz w:val="16"/>
                <w:szCs w:val="16"/>
              </w:rPr>
              <w:t>5-8 years</w:t>
            </w:r>
          </w:p>
        </w:tc>
        <w:tc>
          <w:tcPr>
            <w:tcW w:w="581" w:type="pct"/>
            <w:shd w:val="clear" w:color="auto" w:fill="B8CCE4" w:themeFill="accent1" w:themeFillTint="66"/>
            <w:noWrap/>
            <w:tcMar>
              <w:top w:w="15" w:type="dxa"/>
              <w:left w:w="15" w:type="dxa"/>
              <w:bottom w:w="0" w:type="dxa"/>
              <w:right w:w="15" w:type="dxa"/>
            </w:tcMar>
            <w:vAlign w:val="center"/>
          </w:tcPr>
          <w:p w14:paraId="0E041BE8" w14:textId="77777777" w:rsidR="006B2784" w:rsidRPr="00E052B2" w:rsidRDefault="006B2784" w:rsidP="00D20A1E">
            <w:pPr>
              <w:keepNext/>
              <w:keepLines/>
              <w:widowControl/>
              <w:spacing w:before="40" w:after="40"/>
              <w:jc w:val="center"/>
              <w:rPr>
                <w:rFonts w:eastAsia="Arial Unicode MS" w:cs="Arial"/>
                <w:b/>
                <w:bCs/>
                <w:sz w:val="16"/>
                <w:szCs w:val="16"/>
              </w:rPr>
            </w:pPr>
            <w:r w:rsidRPr="00E052B2">
              <w:rPr>
                <w:rFonts w:eastAsia="Arial Unicode MS" w:cs="Arial"/>
                <w:b/>
                <w:bCs/>
                <w:sz w:val="16"/>
                <w:szCs w:val="16"/>
              </w:rPr>
              <w:t>9-13 years</w:t>
            </w:r>
          </w:p>
        </w:tc>
        <w:tc>
          <w:tcPr>
            <w:tcW w:w="583" w:type="pct"/>
            <w:shd w:val="clear" w:color="auto" w:fill="B8CCE4" w:themeFill="accent1" w:themeFillTint="66"/>
            <w:noWrap/>
            <w:tcMar>
              <w:top w:w="15" w:type="dxa"/>
              <w:left w:w="15" w:type="dxa"/>
              <w:bottom w:w="0" w:type="dxa"/>
              <w:right w:w="15" w:type="dxa"/>
            </w:tcMar>
            <w:vAlign w:val="center"/>
          </w:tcPr>
          <w:p w14:paraId="4EAF487B" w14:textId="77777777" w:rsidR="006B2784" w:rsidRPr="00E052B2" w:rsidRDefault="006B2784" w:rsidP="00D20A1E">
            <w:pPr>
              <w:keepNext/>
              <w:keepLines/>
              <w:widowControl/>
              <w:spacing w:before="40" w:after="40"/>
              <w:jc w:val="center"/>
              <w:rPr>
                <w:rFonts w:eastAsia="Arial Unicode MS" w:cs="Arial"/>
                <w:b/>
                <w:bCs/>
                <w:sz w:val="16"/>
                <w:szCs w:val="16"/>
              </w:rPr>
            </w:pPr>
            <w:r w:rsidRPr="00E052B2">
              <w:rPr>
                <w:rFonts w:eastAsia="Arial Unicode MS" w:cs="Arial"/>
                <w:b/>
                <w:bCs/>
                <w:sz w:val="16"/>
                <w:szCs w:val="16"/>
              </w:rPr>
              <w:t>5-14 years</w:t>
            </w:r>
          </w:p>
        </w:tc>
        <w:tc>
          <w:tcPr>
            <w:tcW w:w="581" w:type="pct"/>
            <w:shd w:val="clear" w:color="auto" w:fill="B8CCE4" w:themeFill="accent1" w:themeFillTint="66"/>
          </w:tcPr>
          <w:p w14:paraId="357C6F2D" w14:textId="77777777" w:rsidR="006B2784" w:rsidRPr="00E052B2" w:rsidRDefault="006B2784" w:rsidP="00D20A1E">
            <w:pPr>
              <w:keepNext/>
              <w:keepLines/>
              <w:widowControl/>
              <w:spacing w:before="40" w:after="40"/>
              <w:jc w:val="center"/>
              <w:rPr>
                <w:rFonts w:eastAsia="Arial Unicode MS" w:cs="Arial"/>
                <w:b/>
                <w:bCs/>
                <w:sz w:val="16"/>
                <w:szCs w:val="16"/>
              </w:rPr>
            </w:pPr>
            <w:r w:rsidRPr="00E052B2">
              <w:rPr>
                <w:rFonts w:eastAsia="Arial Unicode MS" w:cs="Arial"/>
                <w:b/>
                <w:bCs/>
                <w:sz w:val="16"/>
                <w:szCs w:val="16"/>
              </w:rPr>
              <w:t>15-18 years</w:t>
            </w:r>
          </w:p>
        </w:tc>
        <w:tc>
          <w:tcPr>
            <w:tcW w:w="581" w:type="pct"/>
            <w:shd w:val="clear" w:color="auto" w:fill="B8CCE4" w:themeFill="accent1" w:themeFillTint="66"/>
          </w:tcPr>
          <w:p w14:paraId="01C1D8AF" w14:textId="77777777" w:rsidR="006B2784" w:rsidRPr="00E052B2" w:rsidRDefault="006B2784" w:rsidP="00D20A1E">
            <w:pPr>
              <w:keepNext/>
              <w:keepLines/>
              <w:widowControl/>
              <w:spacing w:before="40" w:after="40"/>
              <w:jc w:val="center"/>
              <w:rPr>
                <w:rFonts w:eastAsia="Arial Unicode MS" w:cs="Arial"/>
                <w:b/>
                <w:bCs/>
                <w:sz w:val="16"/>
                <w:szCs w:val="16"/>
              </w:rPr>
            </w:pPr>
            <w:r w:rsidRPr="00E052B2">
              <w:rPr>
                <w:rFonts w:eastAsia="Arial Unicode MS" w:cs="Arial"/>
                <w:b/>
                <w:bCs/>
                <w:sz w:val="16"/>
                <w:szCs w:val="16"/>
              </w:rPr>
              <w:t>19 years and above</w:t>
            </w:r>
          </w:p>
        </w:tc>
        <w:tc>
          <w:tcPr>
            <w:tcW w:w="607" w:type="pct"/>
            <w:shd w:val="clear" w:color="auto" w:fill="B8CCE4" w:themeFill="accent1" w:themeFillTint="66"/>
          </w:tcPr>
          <w:p w14:paraId="04A2620F" w14:textId="77777777" w:rsidR="006B2784" w:rsidRPr="00E052B2" w:rsidRDefault="006B2784" w:rsidP="00D20A1E">
            <w:pPr>
              <w:keepNext/>
              <w:keepLines/>
              <w:widowControl/>
              <w:spacing w:before="40" w:after="40"/>
              <w:jc w:val="center"/>
              <w:rPr>
                <w:rFonts w:eastAsia="Arial Unicode MS" w:cs="Arial"/>
                <w:b/>
                <w:bCs/>
                <w:sz w:val="16"/>
                <w:szCs w:val="16"/>
              </w:rPr>
            </w:pPr>
            <w:r w:rsidRPr="00E052B2">
              <w:rPr>
                <w:rFonts w:eastAsia="Arial Unicode MS" w:cs="Arial"/>
                <w:b/>
                <w:bCs/>
                <w:sz w:val="16"/>
                <w:szCs w:val="16"/>
              </w:rPr>
              <w:t>15 years and above</w:t>
            </w:r>
          </w:p>
        </w:tc>
      </w:tr>
      <w:tr w:rsidR="006B2784" w:rsidRPr="00E052B2" w14:paraId="43AB0112" w14:textId="77777777" w:rsidTr="00577EF3">
        <w:trPr>
          <w:trHeight w:val="276"/>
          <w:tblHeader/>
        </w:trPr>
        <w:tc>
          <w:tcPr>
            <w:tcW w:w="905" w:type="pct"/>
            <w:vMerge/>
            <w:shd w:val="clear" w:color="auto" w:fill="B8CCE4" w:themeFill="accent1" w:themeFillTint="66"/>
            <w:noWrap/>
            <w:tcMar>
              <w:top w:w="15" w:type="dxa"/>
              <w:left w:w="15" w:type="dxa"/>
              <w:bottom w:w="0" w:type="dxa"/>
              <w:right w:w="15" w:type="dxa"/>
            </w:tcMar>
            <w:vAlign w:val="center"/>
          </w:tcPr>
          <w:p w14:paraId="48A30874" w14:textId="77777777" w:rsidR="006B2784" w:rsidRPr="00E052B2" w:rsidRDefault="006B2784" w:rsidP="00D20A1E">
            <w:pPr>
              <w:keepNext/>
              <w:keepLines/>
              <w:widowControl/>
              <w:spacing w:before="40" w:after="40"/>
              <w:rPr>
                <w:rFonts w:eastAsia="Arial Unicode MS" w:cs="Arial"/>
                <w:b/>
                <w:bCs/>
                <w:sz w:val="16"/>
                <w:szCs w:val="16"/>
              </w:rPr>
            </w:pPr>
          </w:p>
        </w:tc>
        <w:tc>
          <w:tcPr>
            <w:tcW w:w="581" w:type="pct"/>
            <w:shd w:val="clear" w:color="auto" w:fill="B8CCE4" w:themeFill="accent1" w:themeFillTint="66"/>
            <w:vAlign w:val="center"/>
          </w:tcPr>
          <w:p w14:paraId="31881F09" w14:textId="77777777" w:rsidR="006B2784" w:rsidRPr="00E052B2" w:rsidRDefault="006B2784" w:rsidP="00D20A1E">
            <w:pPr>
              <w:keepNext/>
              <w:keepLines/>
              <w:widowControl/>
              <w:spacing w:before="40" w:after="40"/>
              <w:jc w:val="center"/>
              <w:rPr>
                <w:rFonts w:cs="Arial"/>
                <w:b/>
                <w:bCs/>
                <w:sz w:val="16"/>
                <w:szCs w:val="16"/>
              </w:rPr>
            </w:pPr>
            <w:r w:rsidRPr="00E052B2">
              <w:rPr>
                <w:rFonts w:cs="Arial"/>
                <w:b/>
                <w:bCs/>
                <w:sz w:val="16"/>
                <w:szCs w:val="16"/>
              </w:rPr>
              <w:t>(n=4,636)</w:t>
            </w:r>
          </w:p>
        </w:tc>
        <w:tc>
          <w:tcPr>
            <w:tcW w:w="581" w:type="pct"/>
            <w:shd w:val="clear" w:color="auto" w:fill="B8CCE4" w:themeFill="accent1" w:themeFillTint="66"/>
            <w:noWrap/>
            <w:tcMar>
              <w:top w:w="15" w:type="dxa"/>
              <w:left w:w="15" w:type="dxa"/>
              <w:bottom w:w="0" w:type="dxa"/>
              <w:right w:w="15" w:type="dxa"/>
            </w:tcMar>
            <w:vAlign w:val="center"/>
          </w:tcPr>
          <w:p w14:paraId="4E1B6E64" w14:textId="77777777" w:rsidR="006B2784" w:rsidRPr="00E052B2" w:rsidRDefault="006B2784" w:rsidP="00D20A1E">
            <w:pPr>
              <w:keepNext/>
              <w:keepLines/>
              <w:widowControl/>
              <w:spacing w:before="40" w:after="40"/>
              <w:jc w:val="center"/>
              <w:rPr>
                <w:rFonts w:eastAsia="Arial Unicode MS" w:cs="Arial"/>
                <w:b/>
                <w:bCs/>
                <w:sz w:val="16"/>
                <w:szCs w:val="16"/>
              </w:rPr>
            </w:pPr>
            <w:r w:rsidRPr="00E052B2">
              <w:rPr>
                <w:rFonts w:eastAsia="Arial Unicode MS" w:cs="Arial"/>
                <w:b/>
                <w:bCs/>
                <w:sz w:val="16"/>
                <w:szCs w:val="16"/>
              </w:rPr>
              <w:t>(n=1,286)</w:t>
            </w:r>
          </w:p>
        </w:tc>
        <w:tc>
          <w:tcPr>
            <w:tcW w:w="581" w:type="pct"/>
            <w:shd w:val="clear" w:color="auto" w:fill="B8CCE4" w:themeFill="accent1" w:themeFillTint="66"/>
            <w:noWrap/>
            <w:tcMar>
              <w:top w:w="15" w:type="dxa"/>
              <w:left w:w="15" w:type="dxa"/>
              <w:bottom w:w="0" w:type="dxa"/>
              <w:right w:w="15" w:type="dxa"/>
            </w:tcMar>
            <w:vAlign w:val="center"/>
          </w:tcPr>
          <w:p w14:paraId="0D66CF2B" w14:textId="77777777" w:rsidR="006B2784" w:rsidRPr="00E052B2" w:rsidRDefault="006B2784" w:rsidP="00D20A1E">
            <w:pPr>
              <w:keepNext/>
              <w:keepLines/>
              <w:widowControl/>
              <w:spacing w:before="40" w:after="40"/>
              <w:jc w:val="center"/>
              <w:rPr>
                <w:rFonts w:eastAsia="Arial Unicode MS" w:cs="Arial"/>
                <w:b/>
                <w:bCs/>
                <w:sz w:val="16"/>
                <w:szCs w:val="16"/>
              </w:rPr>
            </w:pPr>
            <w:r w:rsidRPr="00E052B2">
              <w:rPr>
                <w:rFonts w:eastAsia="Arial Unicode MS" w:cs="Arial"/>
                <w:b/>
                <w:bCs/>
                <w:sz w:val="16"/>
                <w:szCs w:val="16"/>
              </w:rPr>
              <w:t>(n=1,675)</w:t>
            </w:r>
          </w:p>
        </w:tc>
        <w:tc>
          <w:tcPr>
            <w:tcW w:w="583" w:type="pct"/>
            <w:shd w:val="clear" w:color="auto" w:fill="B8CCE4" w:themeFill="accent1" w:themeFillTint="66"/>
            <w:noWrap/>
            <w:tcMar>
              <w:top w:w="15" w:type="dxa"/>
              <w:left w:w="15" w:type="dxa"/>
              <w:bottom w:w="0" w:type="dxa"/>
              <w:right w:w="15" w:type="dxa"/>
            </w:tcMar>
            <w:vAlign w:val="center"/>
          </w:tcPr>
          <w:p w14:paraId="3C265A1F" w14:textId="77777777" w:rsidR="006B2784" w:rsidRPr="00E052B2" w:rsidRDefault="006B2784" w:rsidP="00D20A1E">
            <w:pPr>
              <w:keepNext/>
              <w:keepLines/>
              <w:widowControl/>
              <w:spacing w:before="40" w:after="40"/>
              <w:jc w:val="center"/>
              <w:rPr>
                <w:rFonts w:eastAsia="Arial Unicode MS" w:cs="Arial"/>
                <w:b/>
                <w:bCs/>
                <w:sz w:val="16"/>
                <w:szCs w:val="16"/>
              </w:rPr>
            </w:pPr>
            <w:r w:rsidRPr="00E052B2">
              <w:rPr>
                <w:rFonts w:eastAsia="Arial Unicode MS" w:cs="Arial"/>
                <w:b/>
                <w:bCs/>
                <w:sz w:val="16"/>
                <w:szCs w:val="16"/>
              </w:rPr>
              <w:t>(n=3,275)</w:t>
            </w:r>
          </w:p>
        </w:tc>
        <w:tc>
          <w:tcPr>
            <w:tcW w:w="581" w:type="pct"/>
            <w:shd w:val="clear" w:color="auto" w:fill="B8CCE4" w:themeFill="accent1" w:themeFillTint="66"/>
          </w:tcPr>
          <w:p w14:paraId="265C2544" w14:textId="77777777" w:rsidR="006B2784" w:rsidRPr="00E052B2" w:rsidRDefault="006B2784" w:rsidP="00D20A1E">
            <w:pPr>
              <w:keepNext/>
              <w:keepLines/>
              <w:widowControl/>
              <w:spacing w:before="40" w:after="40"/>
              <w:jc w:val="center"/>
              <w:rPr>
                <w:rFonts w:eastAsia="Arial Unicode MS" w:cs="Arial"/>
                <w:b/>
                <w:bCs/>
                <w:sz w:val="16"/>
                <w:szCs w:val="16"/>
              </w:rPr>
            </w:pPr>
            <w:r w:rsidRPr="00E052B2">
              <w:rPr>
                <w:rFonts w:eastAsia="Arial Unicode MS" w:cs="Arial"/>
                <w:b/>
                <w:bCs/>
                <w:sz w:val="16"/>
                <w:szCs w:val="16"/>
              </w:rPr>
              <w:t>(n=347)</w:t>
            </w:r>
          </w:p>
        </w:tc>
        <w:tc>
          <w:tcPr>
            <w:tcW w:w="581" w:type="pct"/>
            <w:shd w:val="clear" w:color="auto" w:fill="B8CCE4" w:themeFill="accent1" w:themeFillTint="66"/>
          </w:tcPr>
          <w:p w14:paraId="380E588D" w14:textId="77777777" w:rsidR="006B2784" w:rsidRPr="00E052B2" w:rsidRDefault="006B2784" w:rsidP="00D20A1E">
            <w:pPr>
              <w:keepNext/>
              <w:keepLines/>
              <w:widowControl/>
              <w:spacing w:before="40" w:after="40"/>
              <w:jc w:val="center"/>
              <w:rPr>
                <w:rFonts w:eastAsia="Arial Unicode MS" w:cs="Arial"/>
                <w:b/>
                <w:bCs/>
                <w:sz w:val="16"/>
                <w:szCs w:val="16"/>
              </w:rPr>
            </w:pPr>
            <w:r w:rsidRPr="00E052B2">
              <w:rPr>
                <w:rFonts w:eastAsia="Arial Unicode MS" w:cs="Arial"/>
                <w:b/>
                <w:bCs/>
                <w:sz w:val="16"/>
                <w:szCs w:val="16"/>
              </w:rPr>
              <w:t>(n=4,374)</w:t>
            </w:r>
          </w:p>
        </w:tc>
        <w:tc>
          <w:tcPr>
            <w:tcW w:w="607" w:type="pct"/>
            <w:shd w:val="clear" w:color="auto" w:fill="B8CCE4" w:themeFill="accent1" w:themeFillTint="66"/>
          </w:tcPr>
          <w:p w14:paraId="1967F191" w14:textId="77777777" w:rsidR="006B2784" w:rsidRPr="00E052B2" w:rsidRDefault="006B2784" w:rsidP="00D20A1E">
            <w:pPr>
              <w:keepNext/>
              <w:keepLines/>
              <w:widowControl/>
              <w:spacing w:before="40" w:after="40"/>
              <w:jc w:val="center"/>
              <w:rPr>
                <w:rFonts w:eastAsia="Arial Unicode MS" w:cs="Arial"/>
                <w:b/>
                <w:bCs/>
                <w:sz w:val="16"/>
                <w:szCs w:val="16"/>
              </w:rPr>
            </w:pPr>
            <w:r w:rsidRPr="00E052B2">
              <w:rPr>
                <w:rFonts w:eastAsia="Arial Unicode MS" w:cs="Arial"/>
                <w:b/>
                <w:bCs/>
                <w:sz w:val="16"/>
                <w:szCs w:val="16"/>
              </w:rPr>
              <w:t>(n=4,721)</w:t>
            </w:r>
          </w:p>
        </w:tc>
      </w:tr>
      <w:tr w:rsidR="006B2784" w:rsidRPr="00E052B2" w14:paraId="257B3847" w14:textId="77777777" w:rsidTr="00577EF3">
        <w:trPr>
          <w:trHeight w:val="264"/>
        </w:trPr>
        <w:tc>
          <w:tcPr>
            <w:tcW w:w="905" w:type="pct"/>
            <w:shd w:val="clear" w:color="auto" w:fill="D9D9D9" w:themeFill="background1" w:themeFillShade="D9"/>
            <w:noWrap/>
            <w:tcMar>
              <w:top w:w="15" w:type="dxa"/>
              <w:left w:w="15" w:type="dxa"/>
              <w:bottom w:w="0" w:type="dxa"/>
              <w:right w:w="15" w:type="dxa"/>
            </w:tcMar>
            <w:vAlign w:val="center"/>
          </w:tcPr>
          <w:p w14:paraId="1254EEA0" w14:textId="77777777" w:rsidR="006B2784" w:rsidRPr="00E052B2" w:rsidRDefault="006B2784" w:rsidP="00D20A1E">
            <w:pPr>
              <w:keepNext/>
              <w:keepLines/>
              <w:widowControl/>
              <w:spacing w:before="40" w:after="40"/>
              <w:rPr>
                <w:rFonts w:eastAsia="Arial Unicode MS" w:cs="Arial"/>
                <w:sz w:val="16"/>
                <w:szCs w:val="16"/>
              </w:rPr>
            </w:pPr>
            <w:r w:rsidRPr="00E052B2">
              <w:rPr>
                <w:rFonts w:cs="Arial"/>
                <w:sz w:val="16"/>
                <w:szCs w:val="16"/>
              </w:rPr>
              <w:t>Calcium</w:t>
            </w:r>
          </w:p>
        </w:tc>
        <w:tc>
          <w:tcPr>
            <w:tcW w:w="581" w:type="pct"/>
            <w:shd w:val="clear" w:color="auto" w:fill="D9D9D9" w:themeFill="background1" w:themeFillShade="D9"/>
            <w:vAlign w:val="center"/>
          </w:tcPr>
          <w:p w14:paraId="5F5336DB" w14:textId="4E4A30E8" w:rsidR="006B2784" w:rsidRPr="00E052B2" w:rsidRDefault="006B2784" w:rsidP="00D20A1E">
            <w:pPr>
              <w:keepNext/>
              <w:keepLines/>
              <w:widowControl/>
              <w:tabs>
                <w:tab w:val="decimal" w:pos="1029"/>
              </w:tabs>
              <w:spacing w:before="40" w:after="40"/>
              <w:rPr>
                <w:rFonts w:eastAsia="Arial Unicode MS" w:cs="Arial"/>
                <w:sz w:val="16"/>
                <w:szCs w:val="16"/>
              </w:rPr>
            </w:pPr>
            <w:r w:rsidRPr="00E052B2">
              <w:rPr>
                <w:rFonts w:cs="Arial"/>
                <w:sz w:val="16"/>
                <w:szCs w:val="16"/>
              </w:rPr>
              <w:t>3</w:t>
            </w:r>
            <w:r w:rsidR="002664F2">
              <w:rPr>
                <w:rFonts w:cs="Arial"/>
                <w:sz w:val="16"/>
                <w:szCs w:val="16"/>
              </w:rPr>
              <w:t>8</w:t>
            </w:r>
          </w:p>
        </w:tc>
        <w:tc>
          <w:tcPr>
            <w:tcW w:w="581" w:type="pct"/>
            <w:shd w:val="clear" w:color="auto" w:fill="D9D9D9" w:themeFill="background1" w:themeFillShade="D9"/>
            <w:noWrap/>
            <w:tcMar>
              <w:top w:w="15" w:type="dxa"/>
              <w:left w:w="15" w:type="dxa"/>
              <w:bottom w:w="0" w:type="dxa"/>
              <w:right w:w="15" w:type="dxa"/>
            </w:tcMar>
            <w:vAlign w:val="center"/>
          </w:tcPr>
          <w:p w14:paraId="166C5B62" w14:textId="77777777" w:rsidR="006B2784" w:rsidRPr="00E052B2" w:rsidRDefault="006B2784" w:rsidP="00D20A1E">
            <w:pPr>
              <w:keepNext/>
              <w:keepLines/>
              <w:widowControl/>
              <w:tabs>
                <w:tab w:val="decimal" w:pos="1029"/>
              </w:tabs>
              <w:spacing w:before="40" w:after="40"/>
              <w:rPr>
                <w:rFonts w:eastAsia="Arial Unicode MS" w:cs="Arial"/>
                <w:sz w:val="16"/>
                <w:szCs w:val="16"/>
              </w:rPr>
            </w:pPr>
            <w:r w:rsidRPr="00E052B2">
              <w:rPr>
                <w:rFonts w:cs="Arial"/>
                <w:color w:val="000000"/>
                <w:sz w:val="16"/>
                <w:szCs w:val="16"/>
              </w:rPr>
              <w:t>33</w:t>
            </w:r>
          </w:p>
        </w:tc>
        <w:tc>
          <w:tcPr>
            <w:tcW w:w="581" w:type="pct"/>
            <w:shd w:val="clear" w:color="auto" w:fill="D9D9D9" w:themeFill="background1" w:themeFillShade="D9"/>
            <w:noWrap/>
            <w:tcMar>
              <w:top w:w="15" w:type="dxa"/>
              <w:left w:w="15" w:type="dxa"/>
              <w:bottom w:w="0" w:type="dxa"/>
              <w:right w:w="15" w:type="dxa"/>
            </w:tcMar>
            <w:vAlign w:val="center"/>
          </w:tcPr>
          <w:p w14:paraId="55FA80B0" w14:textId="77777777" w:rsidR="006B2784" w:rsidRPr="00E052B2" w:rsidRDefault="006B2784" w:rsidP="00D20A1E">
            <w:pPr>
              <w:keepNext/>
              <w:keepLines/>
              <w:widowControl/>
              <w:tabs>
                <w:tab w:val="decimal" w:pos="1029"/>
              </w:tabs>
              <w:spacing w:before="40" w:after="40"/>
              <w:rPr>
                <w:rFonts w:eastAsia="Arial Unicode MS" w:cs="Arial"/>
                <w:sz w:val="16"/>
                <w:szCs w:val="16"/>
              </w:rPr>
            </w:pPr>
            <w:r w:rsidRPr="00E052B2">
              <w:rPr>
                <w:rFonts w:cs="Arial"/>
                <w:color w:val="000000"/>
                <w:sz w:val="16"/>
                <w:szCs w:val="16"/>
              </w:rPr>
              <w:t>32</w:t>
            </w:r>
          </w:p>
        </w:tc>
        <w:tc>
          <w:tcPr>
            <w:tcW w:w="583" w:type="pct"/>
            <w:shd w:val="clear" w:color="auto" w:fill="D9D9D9" w:themeFill="background1" w:themeFillShade="D9"/>
            <w:noWrap/>
            <w:tcMar>
              <w:top w:w="15" w:type="dxa"/>
              <w:left w:w="15" w:type="dxa"/>
              <w:bottom w:w="0" w:type="dxa"/>
              <w:right w:w="15" w:type="dxa"/>
            </w:tcMar>
            <w:vAlign w:val="center"/>
          </w:tcPr>
          <w:p w14:paraId="0627C1B9" w14:textId="77777777" w:rsidR="006B2784" w:rsidRPr="00E052B2" w:rsidRDefault="006B2784" w:rsidP="00D20A1E">
            <w:pPr>
              <w:keepNext/>
              <w:keepLines/>
              <w:widowControl/>
              <w:tabs>
                <w:tab w:val="decimal" w:pos="1029"/>
              </w:tabs>
              <w:spacing w:before="40" w:after="40"/>
              <w:rPr>
                <w:rFonts w:eastAsia="Arial Unicode MS" w:cs="Arial"/>
                <w:sz w:val="16"/>
                <w:szCs w:val="16"/>
              </w:rPr>
            </w:pPr>
            <w:r w:rsidRPr="00E052B2">
              <w:rPr>
                <w:rFonts w:cs="Arial"/>
                <w:color w:val="000000"/>
                <w:sz w:val="16"/>
                <w:szCs w:val="16"/>
              </w:rPr>
              <w:t>33</w:t>
            </w:r>
          </w:p>
        </w:tc>
        <w:tc>
          <w:tcPr>
            <w:tcW w:w="581" w:type="pct"/>
            <w:shd w:val="clear" w:color="auto" w:fill="D9D9D9" w:themeFill="background1" w:themeFillShade="D9"/>
            <w:vAlign w:val="bottom"/>
          </w:tcPr>
          <w:p w14:paraId="3E3F8B42" w14:textId="77777777" w:rsidR="006B2784" w:rsidRPr="00E052B2" w:rsidRDefault="006B2784" w:rsidP="00D20A1E">
            <w:pPr>
              <w:keepNext/>
              <w:keepLines/>
              <w:widowControl/>
              <w:tabs>
                <w:tab w:val="decimal" w:pos="1029"/>
              </w:tabs>
              <w:spacing w:before="40" w:after="40"/>
              <w:rPr>
                <w:rFonts w:cs="Arial"/>
                <w:color w:val="000000"/>
                <w:sz w:val="16"/>
                <w:szCs w:val="16"/>
              </w:rPr>
            </w:pPr>
            <w:r w:rsidRPr="00E052B2">
              <w:rPr>
                <w:rFonts w:cs="Arial"/>
                <w:color w:val="000000"/>
                <w:sz w:val="16"/>
                <w:szCs w:val="16"/>
              </w:rPr>
              <w:t>22</w:t>
            </w:r>
          </w:p>
        </w:tc>
        <w:tc>
          <w:tcPr>
            <w:tcW w:w="581" w:type="pct"/>
            <w:shd w:val="clear" w:color="auto" w:fill="D9D9D9" w:themeFill="background1" w:themeFillShade="D9"/>
            <w:vAlign w:val="bottom"/>
          </w:tcPr>
          <w:p w14:paraId="26CE2D88" w14:textId="77777777" w:rsidR="006B2784" w:rsidRPr="00E052B2" w:rsidRDefault="006B2784" w:rsidP="00D20A1E">
            <w:pPr>
              <w:keepNext/>
              <w:keepLines/>
              <w:widowControl/>
              <w:tabs>
                <w:tab w:val="decimal" w:pos="1029"/>
              </w:tabs>
              <w:spacing w:before="40" w:after="40"/>
              <w:rPr>
                <w:rFonts w:cs="Arial"/>
                <w:color w:val="000000"/>
                <w:sz w:val="16"/>
                <w:szCs w:val="16"/>
              </w:rPr>
            </w:pPr>
            <w:r w:rsidRPr="00E052B2">
              <w:rPr>
                <w:rFonts w:cs="Arial"/>
                <w:color w:val="000000"/>
                <w:sz w:val="16"/>
                <w:szCs w:val="16"/>
              </w:rPr>
              <w:t>28</w:t>
            </w:r>
          </w:p>
        </w:tc>
        <w:tc>
          <w:tcPr>
            <w:tcW w:w="607" w:type="pct"/>
            <w:shd w:val="clear" w:color="auto" w:fill="D9D9D9" w:themeFill="background1" w:themeFillShade="D9"/>
            <w:vAlign w:val="bottom"/>
          </w:tcPr>
          <w:p w14:paraId="4EB589FB" w14:textId="77777777" w:rsidR="006B2784" w:rsidRPr="00E052B2" w:rsidRDefault="006B2784" w:rsidP="00D20A1E">
            <w:pPr>
              <w:keepNext/>
              <w:keepLines/>
              <w:widowControl/>
              <w:tabs>
                <w:tab w:val="decimal" w:pos="1029"/>
              </w:tabs>
              <w:spacing w:before="40" w:after="40"/>
              <w:rPr>
                <w:rFonts w:cs="Arial"/>
                <w:color w:val="000000"/>
                <w:sz w:val="16"/>
                <w:szCs w:val="16"/>
              </w:rPr>
            </w:pPr>
            <w:r w:rsidRPr="00E052B2">
              <w:rPr>
                <w:rFonts w:cs="Arial"/>
                <w:color w:val="000000"/>
                <w:sz w:val="16"/>
                <w:szCs w:val="16"/>
              </w:rPr>
              <w:t>28</w:t>
            </w:r>
          </w:p>
        </w:tc>
      </w:tr>
      <w:tr w:rsidR="006B2784" w:rsidRPr="00E052B2" w14:paraId="6764801C" w14:textId="77777777" w:rsidTr="00577EF3">
        <w:trPr>
          <w:trHeight w:val="264"/>
        </w:trPr>
        <w:tc>
          <w:tcPr>
            <w:tcW w:w="905" w:type="pct"/>
            <w:noWrap/>
            <w:tcMar>
              <w:top w:w="15" w:type="dxa"/>
              <w:left w:w="15" w:type="dxa"/>
              <w:bottom w:w="0" w:type="dxa"/>
              <w:right w:w="15" w:type="dxa"/>
            </w:tcMar>
            <w:vAlign w:val="center"/>
          </w:tcPr>
          <w:p w14:paraId="032ACA52" w14:textId="77777777" w:rsidR="006B2784" w:rsidRPr="00E052B2" w:rsidRDefault="006B2784" w:rsidP="00D20A1E">
            <w:pPr>
              <w:keepNext/>
              <w:keepLines/>
              <w:widowControl/>
              <w:spacing w:before="40" w:after="40"/>
              <w:rPr>
                <w:rFonts w:cs="Arial"/>
                <w:sz w:val="16"/>
                <w:szCs w:val="16"/>
              </w:rPr>
            </w:pPr>
            <w:r w:rsidRPr="00E052B2">
              <w:rPr>
                <w:rFonts w:cs="Arial"/>
                <w:sz w:val="16"/>
                <w:szCs w:val="16"/>
              </w:rPr>
              <w:t>Energy</w:t>
            </w:r>
          </w:p>
        </w:tc>
        <w:tc>
          <w:tcPr>
            <w:tcW w:w="581" w:type="pct"/>
            <w:shd w:val="clear" w:color="auto" w:fill="auto"/>
            <w:vAlign w:val="center"/>
          </w:tcPr>
          <w:p w14:paraId="1BA06D0E" w14:textId="04502E11" w:rsidR="006B2784" w:rsidRPr="00E052B2" w:rsidRDefault="002664F2" w:rsidP="00D20A1E">
            <w:pPr>
              <w:keepNext/>
              <w:keepLines/>
              <w:widowControl/>
              <w:tabs>
                <w:tab w:val="decimal" w:pos="1029"/>
              </w:tabs>
              <w:spacing w:before="40" w:after="40"/>
              <w:rPr>
                <w:rFonts w:cs="Arial"/>
                <w:sz w:val="16"/>
                <w:szCs w:val="16"/>
              </w:rPr>
            </w:pPr>
            <w:r>
              <w:rPr>
                <w:rFonts w:cs="Arial"/>
                <w:sz w:val="16"/>
                <w:szCs w:val="16"/>
              </w:rPr>
              <w:t>6</w:t>
            </w:r>
          </w:p>
        </w:tc>
        <w:tc>
          <w:tcPr>
            <w:tcW w:w="581" w:type="pct"/>
            <w:shd w:val="clear" w:color="auto" w:fill="auto"/>
            <w:noWrap/>
            <w:tcMar>
              <w:top w:w="15" w:type="dxa"/>
              <w:left w:w="15" w:type="dxa"/>
              <w:bottom w:w="0" w:type="dxa"/>
              <w:right w:w="15" w:type="dxa"/>
            </w:tcMar>
            <w:vAlign w:val="center"/>
          </w:tcPr>
          <w:p w14:paraId="74846D94" w14:textId="77777777" w:rsidR="006B2784" w:rsidRPr="00E052B2" w:rsidRDefault="006B2784" w:rsidP="00D20A1E">
            <w:pPr>
              <w:keepNext/>
              <w:keepLines/>
              <w:widowControl/>
              <w:tabs>
                <w:tab w:val="decimal" w:pos="1029"/>
              </w:tabs>
              <w:spacing w:before="40" w:after="40"/>
              <w:rPr>
                <w:rFonts w:eastAsia="Arial Unicode MS" w:cs="Arial"/>
                <w:sz w:val="16"/>
                <w:szCs w:val="16"/>
              </w:rPr>
            </w:pPr>
            <w:r w:rsidRPr="00E052B2">
              <w:rPr>
                <w:rFonts w:cs="Arial"/>
                <w:color w:val="000000"/>
                <w:sz w:val="16"/>
                <w:szCs w:val="16"/>
              </w:rPr>
              <w:t>6</w:t>
            </w:r>
          </w:p>
        </w:tc>
        <w:tc>
          <w:tcPr>
            <w:tcW w:w="581" w:type="pct"/>
            <w:shd w:val="clear" w:color="auto" w:fill="auto"/>
            <w:noWrap/>
            <w:tcMar>
              <w:top w:w="15" w:type="dxa"/>
              <w:left w:w="15" w:type="dxa"/>
              <w:bottom w:w="0" w:type="dxa"/>
              <w:right w:w="15" w:type="dxa"/>
            </w:tcMar>
            <w:vAlign w:val="center"/>
          </w:tcPr>
          <w:p w14:paraId="176CC027" w14:textId="77777777" w:rsidR="006B2784" w:rsidRPr="00E052B2" w:rsidRDefault="006B2784" w:rsidP="00D20A1E">
            <w:pPr>
              <w:keepNext/>
              <w:keepLines/>
              <w:widowControl/>
              <w:tabs>
                <w:tab w:val="decimal" w:pos="1029"/>
              </w:tabs>
              <w:spacing w:before="40" w:after="40"/>
              <w:rPr>
                <w:rFonts w:eastAsia="Arial Unicode MS" w:cs="Arial"/>
                <w:sz w:val="16"/>
                <w:szCs w:val="16"/>
              </w:rPr>
            </w:pPr>
            <w:r w:rsidRPr="00E052B2">
              <w:rPr>
                <w:rFonts w:cs="Arial"/>
                <w:color w:val="000000"/>
                <w:sz w:val="16"/>
                <w:szCs w:val="16"/>
              </w:rPr>
              <w:t>5</w:t>
            </w:r>
          </w:p>
        </w:tc>
        <w:tc>
          <w:tcPr>
            <w:tcW w:w="583" w:type="pct"/>
            <w:shd w:val="clear" w:color="auto" w:fill="auto"/>
            <w:noWrap/>
            <w:tcMar>
              <w:top w:w="15" w:type="dxa"/>
              <w:left w:w="15" w:type="dxa"/>
              <w:bottom w:w="0" w:type="dxa"/>
              <w:right w:w="15" w:type="dxa"/>
            </w:tcMar>
            <w:vAlign w:val="center"/>
          </w:tcPr>
          <w:p w14:paraId="42145589" w14:textId="77777777" w:rsidR="006B2784" w:rsidRPr="00E052B2" w:rsidRDefault="006B2784" w:rsidP="00D20A1E">
            <w:pPr>
              <w:keepNext/>
              <w:keepLines/>
              <w:widowControl/>
              <w:tabs>
                <w:tab w:val="decimal" w:pos="1029"/>
              </w:tabs>
              <w:spacing w:before="40" w:after="40"/>
              <w:rPr>
                <w:rFonts w:eastAsia="Arial Unicode MS" w:cs="Arial"/>
                <w:sz w:val="16"/>
                <w:szCs w:val="16"/>
              </w:rPr>
            </w:pPr>
            <w:r w:rsidRPr="00E052B2">
              <w:rPr>
                <w:rFonts w:cs="Arial"/>
                <w:color w:val="000000"/>
                <w:sz w:val="16"/>
                <w:szCs w:val="16"/>
              </w:rPr>
              <w:t>6</w:t>
            </w:r>
          </w:p>
        </w:tc>
        <w:tc>
          <w:tcPr>
            <w:tcW w:w="581" w:type="pct"/>
            <w:shd w:val="clear" w:color="auto" w:fill="auto"/>
            <w:vAlign w:val="bottom"/>
          </w:tcPr>
          <w:p w14:paraId="2122398B" w14:textId="77777777" w:rsidR="006B2784" w:rsidRPr="00E052B2" w:rsidRDefault="006B2784" w:rsidP="00D20A1E">
            <w:pPr>
              <w:keepNext/>
              <w:keepLines/>
              <w:widowControl/>
              <w:tabs>
                <w:tab w:val="decimal" w:pos="1029"/>
              </w:tabs>
              <w:spacing w:before="40" w:after="40"/>
              <w:rPr>
                <w:rFonts w:cs="Arial"/>
                <w:color w:val="000000"/>
                <w:sz w:val="16"/>
                <w:szCs w:val="16"/>
              </w:rPr>
            </w:pPr>
            <w:r w:rsidRPr="00E052B2">
              <w:rPr>
                <w:rFonts w:cs="Arial"/>
                <w:color w:val="000000"/>
                <w:sz w:val="16"/>
                <w:szCs w:val="16"/>
              </w:rPr>
              <w:t>3</w:t>
            </w:r>
          </w:p>
        </w:tc>
        <w:tc>
          <w:tcPr>
            <w:tcW w:w="581" w:type="pct"/>
            <w:shd w:val="clear" w:color="auto" w:fill="auto"/>
            <w:vAlign w:val="bottom"/>
          </w:tcPr>
          <w:p w14:paraId="39065BFE" w14:textId="77777777" w:rsidR="006B2784" w:rsidRPr="00E052B2" w:rsidRDefault="006B2784" w:rsidP="00D20A1E">
            <w:pPr>
              <w:keepNext/>
              <w:keepLines/>
              <w:widowControl/>
              <w:tabs>
                <w:tab w:val="decimal" w:pos="1029"/>
              </w:tabs>
              <w:spacing w:before="40" w:after="40"/>
              <w:rPr>
                <w:rFonts w:cs="Arial"/>
                <w:color w:val="000000"/>
                <w:sz w:val="16"/>
                <w:szCs w:val="16"/>
              </w:rPr>
            </w:pPr>
            <w:r w:rsidRPr="00E052B2">
              <w:rPr>
                <w:rFonts w:cs="Arial"/>
                <w:color w:val="000000"/>
                <w:sz w:val="16"/>
                <w:szCs w:val="16"/>
              </w:rPr>
              <w:t>4</w:t>
            </w:r>
          </w:p>
        </w:tc>
        <w:tc>
          <w:tcPr>
            <w:tcW w:w="607" w:type="pct"/>
            <w:shd w:val="clear" w:color="auto" w:fill="auto"/>
            <w:vAlign w:val="bottom"/>
          </w:tcPr>
          <w:p w14:paraId="4403F897" w14:textId="77777777" w:rsidR="006B2784" w:rsidRPr="00E052B2" w:rsidRDefault="006B2784" w:rsidP="00D20A1E">
            <w:pPr>
              <w:keepNext/>
              <w:keepLines/>
              <w:widowControl/>
              <w:tabs>
                <w:tab w:val="decimal" w:pos="1029"/>
              </w:tabs>
              <w:spacing w:before="40" w:after="40"/>
              <w:rPr>
                <w:rFonts w:cs="Arial"/>
                <w:color w:val="000000"/>
                <w:sz w:val="16"/>
                <w:szCs w:val="16"/>
              </w:rPr>
            </w:pPr>
            <w:r w:rsidRPr="00E052B2">
              <w:rPr>
                <w:rFonts w:cs="Arial"/>
                <w:color w:val="000000"/>
                <w:sz w:val="16"/>
                <w:szCs w:val="16"/>
              </w:rPr>
              <w:t>4</w:t>
            </w:r>
          </w:p>
        </w:tc>
      </w:tr>
      <w:tr w:rsidR="006B2784" w:rsidRPr="00E052B2" w14:paraId="2378B756" w14:textId="77777777" w:rsidTr="00577EF3">
        <w:trPr>
          <w:trHeight w:val="264"/>
        </w:trPr>
        <w:tc>
          <w:tcPr>
            <w:tcW w:w="905" w:type="pct"/>
            <w:noWrap/>
            <w:tcMar>
              <w:top w:w="15" w:type="dxa"/>
              <w:left w:w="15" w:type="dxa"/>
              <w:bottom w:w="0" w:type="dxa"/>
              <w:right w:w="15" w:type="dxa"/>
            </w:tcMar>
            <w:vAlign w:val="center"/>
          </w:tcPr>
          <w:p w14:paraId="1593A869" w14:textId="77777777" w:rsidR="006B2784" w:rsidRPr="00E052B2" w:rsidRDefault="006B2784" w:rsidP="00D20A1E">
            <w:pPr>
              <w:keepNext/>
              <w:keepLines/>
              <w:widowControl/>
              <w:spacing w:before="40" w:after="40"/>
              <w:rPr>
                <w:rFonts w:cs="Arial"/>
                <w:sz w:val="16"/>
                <w:szCs w:val="16"/>
              </w:rPr>
            </w:pPr>
            <w:r w:rsidRPr="00E052B2">
              <w:rPr>
                <w:rFonts w:cs="Arial"/>
                <w:sz w:val="16"/>
                <w:szCs w:val="16"/>
              </w:rPr>
              <w:t>Fat</w:t>
            </w:r>
          </w:p>
        </w:tc>
        <w:tc>
          <w:tcPr>
            <w:tcW w:w="581" w:type="pct"/>
            <w:shd w:val="clear" w:color="auto" w:fill="auto"/>
            <w:vAlign w:val="center"/>
          </w:tcPr>
          <w:p w14:paraId="5CB08FBF" w14:textId="6C186E46" w:rsidR="006B2784" w:rsidRPr="00E052B2" w:rsidRDefault="002664F2" w:rsidP="00D20A1E">
            <w:pPr>
              <w:keepNext/>
              <w:keepLines/>
              <w:widowControl/>
              <w:tabs>
                <w:tab w:val="decimal" w:pos="1029"/>
              </w:tabs>
              <w:spacing w:before="40" w:after="40"/>
              <w:rPr>
                <w:rFonts w:cs="Arial"/>
                <w:sz w:val="16"/>
                <w:szCs w:val="16"/>
              </w:rPr>
            </w:pPr>
            <w:r>
              <w:rPr>
                <w:rFonts w:cs="Arial"/>
                <w:sz w:val="16"/>
                <w:szCs w:val="16"/>
              </w:rPr>
              <w:t>6</w:t>
            </w:r>
          </w:p>
        </w:tc>
        <w:tc>
          <w:tcPr>
            <w:tcW w:w="581" w:type="pct"/>
            <w:shd w:val="clear" w:color="auto" w:fill="auto"/>
            <w:noWrap/>
            <w:tcMar>
              <w:top w:w="15" w:type="dxa"/>
              <w:left w:w="15" w:type="dxa"/>
              <w:bottom w:w="0" w:type="dxa"/>
              <w:right w:w="15" w:type="dxa"/>
            </w:tcMar>
            <w:vAlign w:val="center"/>
          </w:tcPr>
          <w:p w14:paraId="7C8776CA" w14:textId="77777777" w:rsidR="006B2784" w:rsidRPr="00E052B2" w:rsidRDefault="006B2784" w:rsidP="00D20A1E">
            <w:pPr>
              <w:keepNext/>
              <w:keepLines/>
              <w:widowControl/>
              <w:tabs>
                <w:tab w:val="decimal" w:pos="1029"/>
              </w:tabs>
              <w:spacing w:before="40" w:after="40"/>
              <w:rPr>
                <w:rFonts w:eastAsia="Arial Unicode MS" w:cs="Arial"/>
                <w:sz w:val="16"/>
                <w:szCs w:val="16"/>
              </w:rPr>
            </w:pPr>
            <w:r w:rsidRPr="00E052B2">
              <w:rPr>
                <w:rFonts w:cs="Arial"/>
                <w:color w:val="000000"/>
                <w:sz w:val="16"/>
                <w:szCs w:val="16"/>
              </w:rPr>
              <w:t>8</w:t>
            </w:r>
          </w:p>
        </w:tc>
        <w:tc>
          <w:tcPr>
            <w:tcW w:w="581" w:type="pct"/>
            <w:shd w:val="clear" w:color="auto" w:fill="auto"/>
            <w:noWrap/>
            <w:tcMar>
              <w:top w:w="15" w:type="dxa"/>
              <w:left w:w="15" w:type="dxa"/>
              <w:bottom w:w="0" w:type="dxa"/>
              <w:right w:w="15" w:type="dxa"/>
            </w:tcMar>
            <w:vAlign w:val="center"/>
          </w:tcPr>
          <w:p w14:paraId="73E50C81" w14:textId="77777777" w:rsidR="006B2784" w:rsidRPr="00E052B2" w:rsidRDefault="006B2784" w:rsidP="00D20A1E">
            <w:pPr>
              <w:keepNext/>
              <w:keepLines/>
              <w:widowControl/>
              <w:tabs>
                <w:tab w:val="decimal" w:pos="1029"/>
              </w:tabs>
              <w:spacing w:before="40" w:after="40"/>
              <w:rPr>
                <w:rFonts w:eastAsia="Arial Unicode MS" w:cs="Arial"/>
                <w:sz w:val="16"/>
                <w:szCs w:val="16"/>
              </w:rPr>
            </w:pPr>
            <w:r w:rsidRPr="00E052B2">
              <w:rPr>
                <w:rFonts w:cs="Arial"/>
                <w:color w:val="000000"/>
                <w:sz w:val="16"/>
                <w:szCs w:val="16"/>
              </w:rPr>
              <w:t>7</w:t>
            </w:r>
          </w:p>
        </w:tc>
        <w:tc>
          <w:tcPr>
            <w:tcW w:w="583" w:type="pct"/>
            <w:shd w:val="clear" w:color="auto" w:fill="auto"/>
            <w:noWrap/>
            <w:tcMar>
              <w:top w:w="15" w:type="dxa"/>
              <w:left w:w="15" w:type="dxa"/>
              <w:bottom w:w="0" w:type="dxa"/>
              <w:right w:w="15" w:type="dxa"/>
            </w:tcMar>
            <w:vAlign w:val="center"/>
          </w:tcPr>
          <w:p w14:paraId="351DAB13" w14:textId="77777777" w:rsidR="006B2784" w:rsidRPr="00E052B2" w:rsidRDefault="006B2784" w:rsidP="00D20A1E">
            <w:pPr>
              <w:keepNext/>
              <w:keepLines/>
              <w:widowControl/>
              <w:tabs>
                <w:tab w:val="decimal" w:pos="1029"/>
              </w:tabs>
              <w:spacing w:before="40" w:after="40"/>
              <w:rPr>
                <w:rFonts w:eastAsia="Arial Unicode MS" w:cs="Arial"/>
                <w:sz w:val="16"/>
                <w:szCs w:val="16"/>
              </w:rPr>
            </w:pPr>
            <w:r w:rsidRPr="00E052B2">
              <w:rPr>
                <w:rFonts w:cs="Arial"/>
                <w:color w:val="000000"/>
                <w:sz w:val="16"/>
                <w:szCs w:val="16"/>
              </w:rPr>
              <w:t>7</w:t>
            </w:r>
          </w:p>
        </w:tc>
        <w:tc>
          <w:tcPr>
            <w:tcW w:w="581" w:type="pct"/>
            <w:shd w:val="clear" w:color="auto" w:fill="auto"/>
            <w:vAlign w:val="bottom"/>
          </w:tcPr>
          <w:p w14:paraId="4E38B545" w14:textId="77777777" w:rsidR="006B2784" w:rsidRPr="00E052B2" w:rsidRDefault="006B2784" w:rsidP="00D20A1E">
            <w:pPr>
              <w:keepNext/>
              <w:keepLines/>
              <w:widowControl/>
              <w:tabs>
                <w:tab w:val="decimal" w:pos="1029"/>
              </w:tabs>
              <w:spacing w:before="40" w:after="40"/>
              <w:rPr>
                <w:rFonts w:cs="Arial"/>
                <w:color w:val="000000"/>
                <w:sz w:val="16"/>
                <w:szCs w:val="16"/>
              </w:rPr>
            </w:pPr>
            <w:r w:rsidRPr="00E052B2">
              <w:rPr>
                <w:rFonts w:cs="Arial"/>
                <w:color w:val="000000"/>
                <w:sz w:val="16"/>
                <w:szCs w:val="16"/>
              </w:rPr>
              <w:t>4</w:t>
            </w:r>
          </w:p>
        </w:tc>
        <w:tc>
          <w:tcPr>
            <w:tcW w:w="581" w:type="pct"/>
            <w:shd w:val="clear" w:color="auto" w:fill="auto"/>
            <w:vAlign w:val="bottom"/>
          </w:tcPr>
          <w:p w14:paraId="708EE8D6" w14:textId="77777777" w:rsidR="006B2784" w:rsidRPr="00E052B2" w:rsidRDefault="006B2784" w:rsidP="00D20A1E">
            <w:pPr>
              <w:keepNext/>
              <w:keepLines/>
              <w:widowControl/>
              <w:tabs>
                <w:tab w:val="decimal" w:pos="1029"/>
              </w:tabs>
              <w:spacing w:before="40" w:after="40"/>
              <w:rPr>
                <w:rFonts w:cs="Arial"/>
                <w:color w:val="000000"/>
                <w:sz w:val="16"/>
                <w:szCs w:val="16"/>
              </w:rPr>
            </w:pPr>
            <w:r w:rsidRPr="00E052B2">
              <w:rPr>
                <w:rFonts w:cs="Arial"/>
                <w:color w:val="000000"/>
                <w:sz w:val="16"/>
                <w:szCs w:val="16"/>
              </w:rPr>
              <w:t>4</w:t>
            </w:r>
          </w:p>
        </w:tc>
        <w:tc>
          <w:tcPr>
            <w:tcW w:w="607" w:type="pct"/>
            <w:shd w:val="clear" w:color="auto" w:fill="auto"/>
            <w:vAlign w:val="bottom"/>
          </w:tcPr>
          <w:p w14:paraId="3587529A" w14:textId="77777777" w:rsidR="006B2784" w:rsidRPr="00E052B2" w:rsidRDefault="006B2784" w:rsidP="00D20A1E">
            <w:pPr>
              <w:keepNext/>
              <w:keepLines/>
              <w:widowControl/>
              <w:tabs>
                <w:tab w:val="decimal" w:pos="1029"/>
              </w:tabs>
              <w:spacing w:before="40" w:after="40"/>
              <w:rPr>
                <w:rFonts w:cs="Arial"/>
                <w:color w:val="000000"/>
                <w:sz w:val="16"/>
                <w:szCs w:val="16"/>
              </w:rPr>
            </w:pPr>
            <w:r w:rsidRPr="00E052B2">
              <w:rPr>
                <w:rFonts w:cs="Arial"/>
                <w:color w:val="000000"/>
                <w:sz w:val="16"/>
                <w:szCs w:val="16"/>
              </w:rPr>
              <w:t>4</w:t>
            </w:r>
          </w:p>
        </w:tc>
      </w:tr>
      <w:tr w:rsidR="006B2784" w:rsidRPr="00E052B2" w14:paraId="536B9EF8" w14:textId="77777777" w:rsidTr="00577EF3">
        <w:trPr>
          <w:trHeight w:val="264"/>
        </w:trPr>
        <w:tc>
          <w:tcPr>
            <w:tcW w:w="905" w:type="pct"/>
            <w:noWrap/>
            <w:tcMar>
              <w:top w:w="15" w:type="dxa"/>
              <w:left w:w="15" w:type="dxa"/>
              <w:bottom w:w="0" w:type="dxa"/>
              <w:right w:w="15" w:type="dxa"/>
            </w:tcMar>
            <w:vAlign w:val="center"/>
          </w:tcPr>
          <w:p w14:paraId="691E2C77" w14:textId="2079E4A8" w:rsidR="006B2784" w:rsidRPr="00E052B2" w:rsidRDefault="006B2784" w:rsidP="00D20A1E">
            <w:pPr>
              <w:keepNext/>
              <w:keepLines/>
              <w:widowControl/>
              <w:spacing w:before="40" w:after="40"/>
              <w:rPr>
                <w:rFonts w:eastAsia="Arial Unicode MS" w:cs="Arial"/>
                <w:sz w:val="16"/>
                <w:szCs w:val="16"/>
              </w:rPr>
            </w:pPr>
            <w:r w:rsidRPr="00E052B2">
              <w:rPr>
                <w:rFonts w:cs="Arial"/>
                <w:sz w:val="16"/>
                <w:szCs w:val="16"/>
              </w:rPr>
              <w:t>Folate</w:t>
            </w:r>
            <w:r w:rsidR="00541C82">
              <w:rPr>
                <w:rFonts w:cs="Arial"/>
                <w:sz w:val="16"/>
                <w:szCs w:val="16"/>
              </w:rPr>
              <w:t>, naturally occurring</w:t>
            </w:r>
          </w:p>
        </w:tc>
        <w:tc>
          <w:tcPr>
            <w:tcW w:w="581" w:type="pct"/>
            <w:shd w:val="clear" w:color="auto" w:fill="auto"/>
            <w:vAlign w:val="center"/>
          </w:tcPr>
          <w:p w14:paraId="459CC359" w14:textId="77777777" w:rsidR="006B2784" w:rsidRPr="00E052B2" w:rsidRDefault="006B2784" w:rsidP="00D20A1E">
            <w:pPr>
              <w:keepNext/>
              <w:keepLines/>
              <w:widowControl/>
              <w:tabs>
                <w:tab w:val="decimal" w:pos="1029"/>
              </w:tabs>
              <w:spacing w:before="40" w:after="40"/>
              <w:rPr>
                <w:rFonts w:eastAsia="Arial Unicode MS" w:cs="Arial"/>
                <w:sz w:val="16"/>
                <w:szCs w:val="16"/>
              </w:rPr>
            </w:pPr>
            <w:r w:rsidRPr="00E052B2">
              <w:rPr>
                <w:rFonts w:cs="Arial"/>
                <w:sz w:val="16"/>
                <w:szCs w:val="16"/>
              </w:rPr>
              <w:t>4</w:t>
            </w:r>
          </w:p>
        </w:tc>
        <w:tc>
          <w:tcPr>
            <w:tcW w:w="581" w:type="pct"/>
            <w:shd w:val="clear" w:color="auto" w:fill="auto"/>
            <w:noWrap/>
            <w:tcMar>
              <w:top w:w="15" w:type="dxa"/>
              <w:left w:w="15" w:type="dxa"/>
              <w:bottom w:w="0" w:type="dxa"/>
              <w:right w:w="15" w:type="dxa"/>
            </w:tcMar>
            <w:vAlign w:val="center"/>
          </w:tcPr>
          <w:p w14:paraId="29FEF950" w14:textId="77777777" w:rsidR="006B2784" w:rsidRPr="00E052B2" w:rsidRDefault="006B2784" w:rsidP="00D20A1E">
            <w:pPr>
              <w:keepNext/>
              <w:keepLines/>
              <w:widowControl/>
              <w:tabs>
                <w:tab w:val="decimal" w:pos="1029"/>
              </w:tabs>
              <w:spacing w:before="40" w:after="40"/>
              <w:rPr>
                <w:rFonts w:eastAsia="Arial Unicode MS" w:cs="Arial"/>
                <w:sz w:val="16"/>
                <w:szCs w:val="16"/>
              </w:rPr>
            </w:pPr>
          </w:p>
        </w:tc>
        <w:tc>
          <w:tcPr>
            <w:tcW w:w="581" w:type="pct"/>
            <w:shd w:val="clear" w:color="auto" w:fill="auto"/>
            <w:noWrap/>
            <w:tcMar>
              <w:top w:w="15" w:type="dxa"/>
              <w:left w:w="15" w:type="dxa"/>
              <w:bottom w:w="0" w:type="dxa"/>
              <w:right w:w="15" w:type="dxa"/>
            </w:tcMar>
            <w:vAlign w:val="center"/>
          </w:tcPr>
          <w:p w14:paraId="35AF2C95" w14:textId="77777777" w:rsidR="006B2784" w:rsidRPr="00E052B2" w:rsidRDefault="006B2784" w:rsidP="00D20A1E">
            <w:pPr>
              <w:keepNext/>
              <w:keepLines/>
              <w:widowControl/>
              <w:tabs>
                <w:tab w:val="decimal" w:pos="1029"/>
              </w:tabs>
              <w:spacing w:before="40" w:after="40"/>
              <w:rPr>
                <w:rFonts w:eastAsia="Arial Unicode MS" w:cs="Arial"/>
                <w:sz w:val="16"/>
                <w:szCs w:val="16"/>
              </w:rPr>
            </w:pPr>
          </w:p>
        </w:tc>
        <w:tc>
          <w:tcPr>
            <w:tcW w:w="583" w:type="pct"/>
            <w:shd w:val="clear" w:color="auto" w:fill="auto"/>
            <w:noWrap/>
            <w:tcMar>
              <w:top w:w="15" w:type="dxa"/>
              <w:left w:w="15" w:type="dxa"/>
              <w:bottom w:w="0" w:type="dxa"/>
              <w:right w:w="15" w:type="dxa"/>
            </w:tcMar>
            <w:vAlign w:val="center"/>
          </w:tcPr>
          <w:p w14:paraId="1C4E24A7" w14:textId="77777777" w:rsidR="006B2784" w:rsidRPr="00E052B2" w:rsidRDefault="006B2784" w:rsidP="00D20A1E">
            <w:pPr>
              <w:keepNext/>
              <w:keepLines/>
              <w:widowControl/>
              <w:tabs>
                <w:tab w:val="decimal" w:pos="1029"/>
              </w:tabs>
              <w:spacing w:before="40" w:after="40"/>
              <w:rPr>
                <w:rFonts w:eastAsia="Arial Unicode MS" w:cs="Arial"/>
                <w:sz w:val="16"/>
                <w:szCs w:val="16"/>
              </w:rPr>
            </w:pPr>
          </w:p>
        </w:tc>
        <w:tc>
          <w:tcPr>
            <w:tcW w:w="581" w:type="pct"/>
            <w:shd w:val="clear" w:color="auto" w:fill="auto"/>
          </w:tcPr>
          <w:p w14:paraId="7CE0C9F2" w14:textId="77777777" w:rsidR="006B2784" w:rsidRPr="00E052B2" w:rsidRDefault="006B2784" w:rsidP="00D20A1E">
            <w:pPr>
              <w:keepNext/>
              <w:keepLines/>
              <w:widowControl/>
              <w:tabs>
                <w:tab w:val="decimal" w:pos="1029"/>
              </w:tabs>
              <w:spacing w:before="40" w:after="40"/>
              <w:rPr>
                <w:rFonts w:eastAsia="Arial Unicode MS" w:cs="Arial"/>
                <w:sz w:val="16"/>
                <w:szCs w:val="16"/>
              </w:rPr>
            </w:pPr>
          </w:p>
        </w:tc>
        <w:tc>
          <w:tcPr>
            <w:tcW w:w="581" w:type="pct"/>
            <w:shd w:val="clear" w:color="auto" w:fill="auto"/>
          </w:tcPr>
          <w:p w14:paraId="56B03A5B" w14:textId="77777777" w:rsidR="006B2784" w:rsidRPr="00E052B2" w:rsidRDefault="006B2784" w:rsidP="00D20A1E">
            <w:pPr>
              <w:keepNext/>
              <w:keepLines/>
              <w:widowControl/>
              <w:tabs>
                <w:tab w:val="decimal" w:pos="1029"/>
              </w:tabs>
              <w:spacing w:before="40" w:after="40"/>
              <w:rPr>
                <w:rFonts w:eastAsia="Arial Unicode MS" w:cs="Arial"/>
                <w:sz w:val="16"/>
                <w:szCs w:val="16"/>
              </w:rPr>
            </w:pPr>
          </w:p>
        </w:tc>
        <w:tc>
          <w:tcPr>
            <w:tcW w:w="607" w:type="pct"/>
            <w:shd w:val="clear" w:color="auto" w:fill="auto"/>
          </w:tcPr>
          <w:p w14:paraId="41BB8F0C" w14:textId="77777777" w:rsidR="006B2784" w:rsidRPr="00E052B2" w:rsidRDefault="006B2784" w:rsidP="00D20A1E">
            <w:pPr>
              <w:keepNext/>
              <w:keepLines/>
              <w:widowControl/>
              <w:tabs>
                <w:tab w:val="decimal" w:pos="1029"/>
              </w:tabs>
              <w:spacing w:before="40" w:after="40"/>
              <w:rPr>
                <w:rFonts w:eastAsia="Arial Unicode MS" w:cs="Arial"/>
                <w:sz w:val="16"/>
                <w:szCs w:val="16"/>
              </w:rPr>
            </w:pPr>
          </w:p>
        </w:tc>
      </w:tr>
      <w:tr w:rsidR="006B2784" w:rsidRPr="00E052B2" w14:paraId="6C2ECB0E" w14:textId="77777777" w:rsidTr="00577EF3">
        <w:trPr>
          <w:trHeight w:val="324"/>
        </w:trPr>
        <w:tc>
          <w:tcPr>
            <w:tcW w:w="905" w:type="pct"/>
            <w:noWrap/>
            <w:tcMar>
              <w:top w:w="15" w:type="dxa"/>
              <w:left w:w="15" w:type="dxa"/>
              <w:bottom w:w="0" w:type="dxa"/>
              <w:right w:w="15" w:type="dxa"/>
            </w:tcMar>
            <w:vAlign w:val="center"/>
          </w:tcPr>
          <w:p w14:paraId="62BE613D" w14:textId="573FF335" w:rsidR="006B2784" w:rsidRPr="00E052B2" w:rsidRDefault="006B2784" w:rsidP="00D20A1E">
            <w:pPr>
              <w:widowControl/>
              <w:spacing w:before="40" w:after="40"/>
              <w:rPr>
                <w:rFonts w:cs="Arial"/>
                <w:sz w:val="16"/>
                <w:szCs w:val="16"/>
              </w:rPr>
            </w:pPr>
            <w:r w:rsidRPr="00E052B2">
              <w:rPr>
                <w:rFonts w:cs="Arial"/>
                <w:sz w:val="16"/>
                <w:szCs w:val="16"/>
              </w:rPr>
              <w:t>Dietary folate equivalents</w:t>
            </w:r>
            <w:r w:rsidR="008D629B" w:rsidRPr="008D629B">
              <w:rPr>
                <w:rFonts w:cs="Arial"/>
                <w:sz w:val="16"/>
                <w:szCs w:val="16"/>
                <w:vertAlign w:val="superscript"/>
              </w:rPr>
              <w:t>ɸ</w:t>
            </w:r>
          </w:p>
        </w:tc>
        <w:tc>
          <w:tcPr>
            <w:tcW w:w="581" w:type="pct"/>
            <w:shd w:val="clear" w:color="auto" w:fill="auto"/>
            <w:vAlign w:val="center"/>
          </w:tcPr>
          <w:p w14:paraId="3CA55680" w14:textId="19D63897" w:rsidR="006B2784" w:rsidRPr="00E052B2" w:rsidRDefault="002664F2" w:rsidP="00D20A1E">
            <w:pPr>
              <w:widowControl/>
              <w:tabs>
                <w:tab w:val="decimal" w:pos="1029"/>
              </w:tabs>
              <w:spacing w:before="40" w:after="40"/>
              <w:rPr>
                <w:rFonts w:cs="Arial"/>
                <w:sz w:val="16"/>
                <w:szCs w:val="16"/>
              </w:rPr>
            </w:pPr>
            <w:r>
              <w:rPr>
                <w:rFonts w:cs="Arial"/>
                <w:sz w:val="16"/>
                <w:szCs w:val="16"/>
              </w:rPr>
              <w:t>3</w:t>
            </w:r>
          </w:p>
        </w:tc>
        <w:tc>
          <w:tcPr>
            <w:tcW w:w="581" w:type="pct"/>
            <w:shd w:val="clear" w:color="auto" w:fill="auto"/>
            <w:noWrap/>
            <w:tcMar>
              <w:top w:w="15" w:type="dxa"/>
              <w:left w:w="15" w:type="dxa"/>
              <w:bottom w:w="0" w:type="dxa"/>
              <w:right w:w="15" w:type="dxa"/>
            </w:tcMar>
            <w:vAlign w:val="center"/>
          </w:tcPr>
          <w:p w14:paraId="2DF43136" w14:textId="1E4ABF0A" w:rsidR="006B2784" w:rsidRPr="00E052B2" w:rsidRDefault="006B2784" w:rsidP="00D20A1E">
            <w:pPr>
              <w:widowControl/>
              <w:tabs>
                <w:tab w:val="decimal" w:pos="1029"/>
              </w:tabs>
              <w:spacing w:before="40" w:after="40"/>
              <w:rPr>
                <w:rFonts w:cs="Arial"/>
                <w:color w:val="000000"/>
                <w:sz w:val="16"/>
                <w:szCs w:val="16"/>
              </w:rPr>
            </w:pPr>
          </w:p>
        </w:tc>
        <w:tc>
          <w:tcPr>
            <w:tcW w:w="581" w:type="pct"/>
            <w:shd w:val="clear" w:color="auto" w:fill="auto"/>
            <w:noWrap/>
            <w:tcMar>
              <w:top w:w="15" w:type="dxa"/>
              <w:left w:w="15" w:type="dxa"/>
              <w:bottom w:w="0" w:type="dxa"/>
              <w:right w:w="15" w:type="dxa"/>
            </w:tcMar>
            <w:vAlign w:val="center"/>
          </w:tcPr>
          <w:p w14:paraId="0C10ADC0" w14:textId="348FABB0" w:rsidR="006B2784" w:rsidRPr="00E052B2" w:rsidRDefault="006B2784" w:rsidP="00D20A1E">
            <w:pPr>
              <w:widowControl/>
              <w:tabs>
                <w:tab w:val="decimal" w:pos="1029"/>
              </w:tabs>
              <w:spacing w:before="40" w:after="40"/>
              <w:rPr>
                <w:rFonts w:cs="Arial"/>
                <w:color w:val="000000"/>
                <w:sz w:val="16"/>
                <w:szCs w:val="16"/>
              </w:rPr>
            </w:pPr>
          </w:p>
        </w:tc>
        <w:tc>
          <w:tcPr>
            <w:tcW w:w="583" w:type="pct"/>
            <w:shd w:val="clear" w:color="auto" w:fill="auto"/>
            <w:noWrap/>
            <w:tcMar>
              <w:top w:w="15" w:type="dxa"/>
              <w:left w:w="15" w:type="dxa"/>
              <w:bottom w:w="0" w:type="dxa"/>
              <w:right w:w="15" w:type="dxa"/>
            </w:tcMar>
            <w:vAlign w:val="center"/>
          </w:tcPr>
          <w:p w14:paraId="76E65D03" w14:textId="06BA5C9A" w:rsidR="006B2784" w:rsidRPr="00E052B2" w:rsidRDefault="006B2784" w:rsidP="00D20A1E">
            <w:pPr>
              <w:widowControl/>
              <w:tabs>
                <w:tab w:val="decimal" w:pos="1029"/>
              </w:tabs>
              <w:spacing w:before="40" w:after="40"/>
              <w:rPr>
                <w:rFonts w:cs="Arial"/>
                <w:color w:val="000000"/>
                <w:sz w:val="16"/>
                <w:szCs w:val="16"/>
              </w:rPr>
            </w:pPr>
          </w:p>
        </w:tc>
        <w:tc>
          <w:tcPr>
            <w:tcW w:w="581" w:type="pct"/>
            <w:shd w:val="clear" w:color="auto" w:fill="auto"/>
            <w:vAlign w:val="bottom"/>
          </w:tcPr>
          <w:p w14:paraId="7E8B3A1E"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5</w:t>
            </w:r>
          </w:p>
        </w:tc>
        <w:tc>
          <w:tcPr>
            <w:tcW w:w="581" w:type="pct"/>
            <w:shd w:val="clear" w:color="auto" w:fill="auto"/>
            <w:vAlign w:val="bottom"/>
          </w:tcPr>
          <w:p w14:paraId="3E417EAB"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6</w:t>
            </w:r>
          </w:p>
        </w:tc>
        <w:tc>
          <w:tcPr>
            <w:tcW w:w="607" w:type="pct"/>
            <w:shd w:val="clear" w:color="auto" w:fill="auto"/>
            <w:vAlign w:val="bottom"/>
          </w:tcPr>
          <w:p w14:paraId="71A54401"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5</w:t>
            </w:r>
          </w:p>
        </w:tc>
      </w:tr>
      <w:tr w:rsidR="006B2784" w:rsidRPr="00E052B2" w14:paraId="39157BFE" w14:textId="77777777" w:rsidTr="00577EF3">
        <w:trPr>
          <w:trHeight w:val="324"/>
        </w:trPr>
        <w:tc>
          <w:tcPr>
            <w:tcW w:w="905" w:type="pct"/>
            <w:shd w:val="clear" w:color="auto" w:fill="D9D9D9" w:themeFill="background1" w:themeFillShade="D9"/>
            <w:noWrap/>
            <w:tcMar>
              <w:top w:w="15" w:type="dxa"/>
              <w:left w:w="15" w:type="dxa"/>
              <w:bottom w:w="0" w:type="dxa"/>
              <w:right w:w="15" w:type="dxa"/>
            </w:tcMar>
            <w:vAlign w:val="center"/>
          </w:tcPr>
          <w:p w14:paraId="5A30B91E" w14:textId="77777777" w:rsidR="006B2784" w:rsidRPr="00E052B2" w:rsidRDefault="006B2784" w:rsidP="00D20A1E">
            <w:pPr>
              <w:widowControl/>
              <w:spacing w:before="40" w:after="40"/>
              <w:rPr>
                <w:rFonts w:eastAsia="Arial Unicode MS" w:cs="Arial"/>
                <w:sz w:val="16"/>
                <w:szCs w:val="16"/>
              </w:rPr>
            </w:pPr>
            <w:r w:rsidRPr="00E052B2">
              <w:rPr>
                <w:rFonts w:cs="Arial"/>
                <w:sz w:val="16"/>
                <w:szCs w:val="16"/>
              </w:rPr>
              <w:t>Iodine</w:t>
            </w:r>
          </w:p>
        </w:tc>
        <w:tc>
          <w:tcPr>
            <w:tcW w:w="581" w:type="pct"/>
            <w:shd w:val="clear" w:color="auto" w:fill="D9D9D9" w:themeFill="background1" w:themeFillShade="D9"/>
            <w:vAlign w:val="center"/>
          </w:tcPr>
          <w:p w14:paraId="1A3A966F" w14:textId="1A988BE7" w:rsidR="006B2784" w:rsidRPr="00E052B2" w:rsidRDefault="002664F2" w:rsidP="00D20A1E">
            <w:pPr>
              <w:widowControl/>
              <w:tabs>
                <w:tab w:val="decimal" w:pos="1029"/>
              </w:tabs>
              <w:spacing w:before="40" w:after="40"/>
              <w:rPr>
                <w:rFonts w:eastAsia="Arial Unicode MS" w:cs="Arial"/>
                <w:sz w:val="16"/>
                <w:szCs w:val="16"/>
              </w:rPr>
            </w:pPr>
            <w:r>
              <w:rPr>
                <w:rFonts w:cs="Arial"/>
                <w:sz w:val="16"/>
                <w:szCs w:val="16"/>
              </w:rPr>
              <w:t>31</w:t>
            </w:r>
          </w:p>
        </w:tc>
        <w:tc>
          <w:tcPr>
            <w:tcW w:w="581" w:type="pct"/>
            <w:shd w:val="clear" w:color="auto" w:fill="D9D9D9" w:themeFill="background1" w:themeFillShade="D9"/>
            <w:noWrap/>
            <w:tcMar>
              <w:top w:w="15" w:type="dxa"/>
              <w:left w:w="15" w:type="dxa"/>
              <w:bottom w:w="0" w:type="dxa"/>
              <w:right w:w="15" w:type="dxa"/>
            </w:tcMar>
            <w:vAlign w:val="center"/>
          </w:tcPr>
          <w:p w14:paraId="54A9CE54"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31</w:t>
            </w:r>
          </w:p>
        </w:tc>
        <w:tc>
          <w:tcPr>
            <w:tcW w:w="581" w:type="pct"/>
            <w:shd w:val="clear" w:color="auto" w:fill="D9D9D9" w:themeFill="background1" w:themeFillShade="D9"/>
            <w:noWrap/>
            <w:tcMar>
              <w:top w:w="15" w:type="dxa"/>
              <w:left w:w="15" w:type="dxa"/>
              <w:bottom w:w="0" w:type="dxa"/>
              <w:right w:w="15" w:type="dxa"/>
            </w:tcMar>
            <w:vAlign w:val="center"/>
          </w:tcPr>
          <w:p w14:paraId="115D5A97"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29</w:t>
            </w:r>
          </w:p>
        </w:tc>
        <w:tc>
          <w:tcPr>
            <w:tcW w:w="583" w:type="pct"/>
            <w:shd w:val="clear" w:color="auto" w:fill="D9D9D9" w:themeFill="background1" w:themeFillShade="D9"/>
            <w:noWrap/>
            <w:tcMar>
              <w:top w:w="15" w:type="dxa"/>
              <w:left w:w="15" w:type="dxa"/>
              <w:bottom w:w="0" w:type="dxa"/>
              <w:right w:w="15" w:type="dxa"/>
            </w:tcMar>
            <w:vAlign w:val="center"/>
          </w:tcPr>
          <w:p w14:paraId="4568FFD0"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30</w:t>
            </w:r>
          </w:p>
        </w:tc>
        <w:tc>
          <w:tcPr>
            <w:tcW w:w="581" w:type="pct"/>
            <w:shd w:val="clear" w:color="auto" w:fill="auto"/>
            <w:vAlign w:val="bottom"/>
          </w:tcPr>
          <w:p w14:paraId="682AA7CD"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16</w:t>
            </w:r>
          </w:p>
        </w:tc>
        <w:tc>
          <w:tcPr>
            <w:tcW w:w="581" w:type="pct"/>
            <w:shd w:val="clear" w:color="auto" w:fill="auto"/>
            <w:vAlign w:val="bottom"/>
          </w:tcPr>
          <w:p w14:paraId="47744A20"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17</w:t>
            </w:r>
          </w:p>
        </w:tc>
        <w:tc>
          <w:tcPr>
            <w:tcW w:w="607" w:type="pct"/>
            <w:shd w:val="clear" w:color="auto" w:fill="auto"/>
            <w:vAlign w:val="bottom"/>
          </w:tcPr>
          <w:p w14:paraId="534C819E"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17</w:t>
            </w:r>
          </w:p>
        </w:tc>
      </w:tr>
      <w:tr w:rsidR="006B2784" w:rsidRPr="00E052B2" w14:paraId="0205F427" w14:textId="77777777" w:rsidTr="00577EF3">
        <w:trPr>
          <w:trHeight w:val="264"/>
        </w:trPr>
        <w:tc>
          <w:tcPr>
            <w:tcW w:w="905" w:type="pct"/>
            <w:noWrap/>
            <w:tcMar>
              <w:top w:w="15" w:type="dxa"/>
              <w:left w:w="15" w:type="dxa"/>
              <w:bottom w:w="0" w:type="dxa"/>
              <w:right w:w="15" w:type="dxa"/>
            </w:tcMar>
            <w:vAlign w:val="center"/>
          </w:tcPr>
          <w:p w14:paraId="084280D7" w14:textId="77777777" w:rsidR="006B2784" w:rsidRPr="00E052B2" w:rsidRDefault="006B2784" w:rsidP="00D20A1E">
            <w:pPr>
              <w:widowControl/>
              <w:spacing w:before="40" w:after="40"/>
              <w:rPr>
                <w:rFonts w:eastAsia="Arial Unicode MS" w:cs="Arial"/>
                <w:sz w:val="16"/>
                <w:szCs w:val="16"/>
              </w:rPr>
            </w:pPr>
            <w:r w:rsidRPr="00E052B2">
              <w:rPr>
                <w:rFonts w:cs="Arial"/>
                <w:sz w:val="16"/>
                <w:szCs w:val="16"/>
              </w:rPr>
              <w:t>Magnesium</w:t>
            </w:r>
          </w:p>
        </w:tc>
        <w:tc>
          <w:tcPr>
            <w:tcW w:w="581" w:type="pct"/>
            <w:shd w:val="clear" w:color="auto" w:fill="auto"/>
            <w:vAlign w:val="center"/>
          </w:tcPr>
          <w:p w14:paraId="7A55691B"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sz w:val="16"/>
                <w:szCs w:val="16"/>
              </w:rPr>
              <w:t>8</w:t>
            </w:r>
          </w:p>
        </w:tc>
        <w:tc>
          <w:tcPr>
            <w:tcW w:w="581" w:type="pct"/>
            <w:shd w:val="clear" w:color="auto" w:fill="auto"/>
            <w:noWrap/>
            <w:tcMar>
              <w:top w:w="15" w:type="dxa"/>
              <w:left w:w="15" w:type="dxa"/>
              <w:bottom w:w="0" w:type="dxa"/>
              <w:right w:w="15" w:type="dxa"/>
            </w:tcMar>
            <w:vAlign w:val="center"/>
          </w:tcPr>
          <w:p w14:paraId="39AE2912"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9</w:t>
            </w:r>
          </w:p>
        </w:tc>
        <w:tc>
          <w:tcPr>
            <w:tcW w:w="581" w:type="pct"/>
            <w:shd w:val="clear" w:color="auto" w:fill="auto"/>
            <w:noWrap/>
            <w:tcMar>
              <w:top w:w="15" w:type="dxa"/>
              <w:left w:w="15" w:type="dxa"/>
              <w:bottom w:w="0" w:type="dxa"/>
              <w:right w:w="15" w:type="dxa"/>
            </w:tcMar>
            <w:vAlign w:val="center"/>
          </w:tcPr>
          <w:p w14:paraId="696A5F8B"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8</w:t>
            </w:r>
          </w:p>
        </w:tc>
        <w:tc>
          <w:tcPr>
            <w:tcW w:w="583" w:type="pct"/>
            <w:shd w:val="clear" w:color="auto" w:fill="auto"/>
            <w:noWrap/>
            <w:tcMar>
              <w:top w:w="15" w:type="dxa"/>
              <w:left w:w="15" w:type="dxa"/>
              <w:bottom w:w="0" w:type="dxa"/>
              <w:right w:w="15" w:type="dxa"/>
            </w:tcMar>
            <w:vAlign w:val="center"/>
          </w:tcPr>
          <w:p w14:paraId="30E046B1"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9</w:t>
            </w:r>
          </w:p>
        </w:tc>
        <w:tc>
          <w:tcPr>
            <w:tcW w:w="581" w:type="pct"/>
            <w:shd w:val="clear" w:color="auto" w:fill="auto"/>
            <w:vAlign w:val="bottom"/>
          </w:tcPr>
          <w:p w14:paraId="2704BD0F"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6</w:t>
            </w:r>
          </w:p>
        </w:tc>
        <w:tc>
          <w:tcPr>
            <w:tcW w:w="581" w:type="pct"/>
            <w:shd w:val="clear" w:color="auto" w:fill="auto"/>
            <w:vAlign w:val="bottom"/>
          </w:tcPr>
          <w:p w14:paraId="7BD5AA3C"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7</w:t>
            </w:r>
          </w:p>
        </w:tc>
        <w:tc>
          <w:tcPr>
            <w:tcW w:w="607" w:type="pct"/>
            <w:shd w:val="clear" w:color="auto" w:fill="auto"/>
            <w:vAlign w:val="bottom"/>
          </w:tcPr>
          <w:p w14:paraId="4EF0AC11"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7</w:t>
            </w:r>
          </w:p>
        </w:tc>
      </w:tr>
      <w:tr w:rsidR="006B2784" w:rsidRPr="00E052B2" w14:paraId="4605CB19" w14:textId="77777777" w:rsidTr="00577EF3">
        <w:trPr>
          <w:trHeight w:val="264"/>
        </w:trPr>
        <w:tc>
          <w:tcPr>
            <w:tcW w:w="905" w:type="pct"/>
            <w:noWrap/>
            <w:tcMar>
              <w:top w:w="15" w:type="dxa"/>
              <w:left w:w="15" w:type="dxa"/>
              <w:bottom w:w="0" w:type="dxa"/>
              <w:right w:w="15" w:type="dxa"/>
            </w:tcMar>
            <w:vAlign w:val="center"/>
          </w:tcPr>
          <w:p w14:paraId="397425D4" w14:textId="77777777" w:rsidR="006B2784" w:rsidRPr="00E052B2" w:rsidRDefault="006B2784" w:rsidP="00D20A1E">
            <w:pPr>
              <w:widowControl/>
              <w:spacing w:before="40" w:after="40"/>
              <w:rPr>
                <w:rFonts w:eastAsia="Arial Unicode MS" w:cs="Arial"/>
                <w:sz w:val="16"/>
                <w:szCs w:val="16"/>
              </w:rPr>
            </w:pPr>
            <w:r w:rsidRPr="00E052B2">
              <w:rPr>
                <w:rFonts w:cs="Arial"/>
                <w:sz w:val="16"/>
                <w:szCs w:val="16"/>
              </w:rPr>
              <w:t>Phosphorus</w:t>
            </w:r>
          </w:p>
        </w:tc>
        <w:tc>
          <w:tcPr>
            <w:tcW w:w="581" w:type="pct"/>
            <w:shd w:val="clear" w:color="auto" w:fill="auto"/>
            <w:vAlign w:val="center"/>
          </w:tcPr>
          <w:p w14:paraId="37DC0F8F"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sz w:val="16"/>
                <w:szCs w:val="16"/>
              </w:rPr>
              <w:t>16</w:t>
            </w:r>
          </w:p>
        </w:tc>
        <w:tc>
          <w:tcPr>
            <w:tcW w:w="581" w:type="pct"/>
            <w:shd w:val="clear" w:color="auto" w:fill="auto"/>
            <w:noWrap/>
            <w:tcMar>
              <w:top w:w="15" w:type="dxa"/>
              <w:left w:w="15" w:type="dxa"/>
              <w:bottom w:w="0" w:type="dxa"/>
              <w:right w:w="15" w:type="dxa"/>
            </w:tcMar>
            <w:vAlign w:val="center"/>
          </w:tcPr>
          <w:p w14:paraId="104DADC1"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17</w:t>
            </w:r>
          </w:p>
        </w:tc>
        <w:tc>
          <w:tcPr>
            <w:tcW w:w="581" w:type="pct"/>
            <w:shd w:val="clear" w:color="auto" w:fill="auto"/>
            <w:noWrap/>
            <w:tcMar>
              <w:top w:w="15" w:type="dxa"/>
              <w:left w:w="15" w:type="dxa"/>
              <w:bottom w:w="0" w:type="dxa"/>
              <w:right w:w="15" w:type="dxa"/>
            </w:tcMar>
            <w:vAlign w:val="center"/>
          </w:tcPr>
          <w:p w14:paraId="0F0F7F90"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16</w:t>
            </w:r>
          </w:p>
        </w:tc>
        <w:tc>
          <w:tcPr>
            <w:tcW w:w="583" w:type="pct"/>
            <w:shd w:val="clear" w:color="auto" w:fill="auto"/>
            <w:noWrap/>
            <w:tcMar>
              <w:top w:w="15" w:type="dxa"/>
              <w:left w:w="15" w:type="dxa"/>
              <w:bottom w:w="0" w:type="dxa"/>
              <w:right w:w="15" w:type="dxa"/>
            </w:tcMar>
            <w:vAlign w:val="center"/>
          </w:tcPr>
          <w:p w14:paraId="609D5E80"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17</w:t>
            </w:r>
          </w:p>
        </w:tc>
        <w:tc>
          <w:tcPr>
            <w:tcW w:w="581" w:type="pct"/>
            <w:shd w:val="clear" w:color="auto" w:fill="auto"/>
            <w:vAlign w:val="bottom"/>
          </w:tcPr>
          <w:p w14:paraId="103F2E44"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10</w:t>
            </w:r>
          </w:p>
        </w:tc>
        <w:tc>
          <w:tcPr>
            <w:tcW w:w="581" w:type="pct"/>
            <w:shd w:val="clear" w:color="auto" w:fill="auto"/>
            <w:vAlign w:val="bottom"/>
          </w:tcPr>
          <w:p w14:paraId="62DEB168"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13</w:t>
            </w:r>
          </w:p>
        </w:tc>
        <w:tc>
          <w:tcPr>
            <w:tcW w:w="607" w:type="pct"/>
            <w:shd w:val="clear" w:color="auto" w:fill="auto"/>
            <w:vAlign w:val="bottom"/>
          </w:tcPr>
          <w:p w14:paraId="1448C04B"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13</w:t>
            </w:r>
          </w:p>
        </w:tc>
      </w:tr>
      <w:tr w:rsidR="006B2784" w:rsidRPr="00E052B2" w14:paraId="653216A6" w14:textId="77777777" w:rsidTr="00577EF3">
        <w:trPr>
          <w:trHeight w:val="264"/>
        </w:trPr>
        <w:tc>
          <w:tcPr>
            <w:tcW w:w="905" w:type="pct"/>
            <w:noWrap/>
            <w:tcMar>
              <w:top w:w="15" w:type="dxa"/>
              <w:left w:w="15" w:type="dxa"/>
              <w:bottom w:w="0" w:type="dxa"/>
              <w:right w:w="15" w:type="dxa"/>
            </w:tcMar>
            <w:vAlign w:val="center"/>
          </w:tcPr>
          <w:p w14:paraId="674D4D5B" w14:textId="77777777" w:rsidR="006B2784" w:rsidRPr="00E052B2" w:rsidRDefault="006B2784" w:rsidP="00D20A1E">
            <w:pPr>
              <w:widowControl/>
              <w:spacing w:before="40" w:after="40"/>
              <w:rPr>
                <w:rFonts w:eastAsia="Arial Unicode MS" w:cs="Arial"/>
                <w:sz w:val="16"/>
                <w:szCs w:val="16"/>
              </w:rPr>
            </w:pPr>
            <w:r w:rsidRPr="00E052B2">
              <w:rPr>
                <w:rFonts w:cs="Arial"/>
                <w:sz w:val="16"/>
                <w:szCs w:val="16"/>
              </w:rPr>
              <w:t>Protein</w:t>
            </w:r>
          </w:p>
        </w:tc>
        <w:tc>
          <w:tcPr>
            <w:tcW w:w="581" w:type="pct"/>
            <w:shd w:val="clear" w:color="auto" w:fill="auto"/>
            <w:vAlign w:val="center"/>
          </w:tcPr>
          <w:p w14:paraId="1B9D7CA5" w14:textId="77777777" w:rsidR="006B2784" w:rsidRPr="00E052B2" w:rsidRDefault="006B2784" w:rsidP="00D20A1E">
            <w:pPr>
              <w:pStyle w:val="E-mailSignature"/>
              <w:tabs>
                <w:tab w:val="decimal" w:pos="1029"/>
              </w:tabs>
              <w:spacing w:before="40" w:after="40"/>
              <w:rPr>
                <w:rFonts w:eastAsia="Arial Unicode MS" w:cs="Arial"/>
                <w:sz w:val="16"/>
                <w:szCs w:val="16"/>
                <w:lang w:bidi="ar-SA"/>
              </w:rPr>
            </w:pPr>
            <w:r w:rsidRPr="00E052B2">
              <w:rPr>
                <w:rFonts w:cs="Arial"/>
                <w:sz w:val="16"/>
                <w:szCs w:val="16"/>
              </w:rPr>
              <w:t>10</w:t>
            </w:r>
          </w:p>
        </w:tc>
        <w:tc>
          <w:tcPr>
            <w:tcW w:w="581" w:type="pct"/>
            <w:shd w:val="clear" w:color="auto" w:fill="auto"/>
            <w:noWrap/>
            <w:tcMar>
              <w:top w:w="15" w:type="dxa"/>
              <w:left w:w="15" w:type="dxa"/>
              <w:bottom w:w="0" w:type="dxa"/>
              <w:right w:w="15" w:type="dxa"/>
            </w:tcMar>
            <w:vAlign w:val="center"/>
          </w:tcPr>
          <w:p w14:paraId="03C37E97" w14:textId="77777777" w:rsidR="006B2784" w:rsidRPr="00E052B2" w:rsidRDefault="006B2784" w:rsidP="00D20A1E">
            <w:pPr>
              <w:pStyle w:val="E-mailSignature"/>
              <w:tabs>
                <w:tab w:val="decimal" w:pos="1029"/>
              </w:tabs>
              <w:spacing w:before="40" w:after="40"/>
              <w:rPr>
                <w:rFonts w:eastAsia="Arial Unicode MS" w:cs="Arial"/>
                <w:sz w:val="16"/>
                <w:szCs w:val="16"/>
                <w:lang w:bidi="ar-SA"/>
              </w:rPr>
            </w:pPr>
            <w:r w:rsidRPr="00E052B2">
              <w:rPr>
                <w:rFonts w:cs="Arial"/>
                <w:color w:val="000000"/>
                <w:sz w:val="16"/>
                <w:szCs w:val="16"/>
              </w:rPr>
              <w:t>11</w:t>
            </w:r>
          </w:p>
        </w:tc>
        <w:tc>
          <w:tcPr>
            <w:tcW w:w="581" w:type="pct"/>
            <w:shd w:val="clear" w:color="auto" w:fill="auto"/>
            <w:noWrap/>
            <w:tcMar>
              <w:top w:w="15" w:type="dxa"/>
              <w:left w:w="15" w:type="dxa"/>
              <w:bottom w:w="0" w:type="dxa"/>
              <w:right w:w="15" w:type="dxa"/>
            </w:tcMar>
            <w:vAlign w:val="center"/>
          </w:tcPr>
          <w:p w14:paraId="7DDC269E"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10</w:t>
            </w:r>
          </w:p>
        </w:tc>
        <w:tc>
          <w:tcPr>
            <w:tcW w:w="583" w:type="pct"/>
            <w:shd w:val="clear" w:color="auto" w:fill="auto"/>
            <w:noWrap/>
            <w:tcMar>
              <w:top w:w="15" w:type="dxa"/>
              <w:left w:w="15" w:type="dxa"/>
              <w:bottom w:w="0" w:type="dxa"/>
              <w:right w:w="15" w:type="dxa"/>
            </w:tcMar>
            <w:vAlign w:val="center"/>
          </w:tcPr>
          <w:p w14:paraId="01C26B58"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10</w:t>
            </w:r>
          </w:p>
        </w:tc>
        <w:tc>
          <w:tcPr>
            <w:tcW w:w="581" w:type="pct"/>
            <w:shd w:val="clear" w:color="auto" w:fill="auto"/>
            <w:vAlign w:val="bottom"/>
          </w:tcPr>
          <w:p w14:paraId="1A9CD0AF"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6</w:t>
            </w:r>
          </w:p>
        </w:tc>
        <w:tc>
          <w:tcPr>
            <w:tcW w:w="581" w:type="pct"/>
            <w:shd w:val="clear" w:color="auto" w:fill="auto"/>
            <w:vAlign w:val="bottom"/>
          </w:tcPr>
          <w:p w14:paraId="0CFE8885"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8</w:t>
            </w:r>
          </w:p>
        </w:tc>
        <w:tc>
          <w:tcPr>
            <w:tcW w:w="607" w:type="pct"/>
            <w:shd w:val="clear" w:color="auto" w:fill="auto"/>
            <w:vAlign w:val="bottom"/>
          </w:tcPr>
          <w:p w14:paraId="1BC8109D"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8</w:t>
            </w:r>
          </w:p>
        </w:tc>
      </w:tr>
      <w:tr w:rsidR="006B2784" w:rsidRPr="00E052B2" w14:paraId="7FC3A3A7" w14:textId="77777777" w:rsidTr="00577EF3">
        <w:trPr>
          <w:trHeight w:val="264"/>
        </w:trPr>
        <w:tc>
          <w:tcPr>
            <w:tcW w:w="905" w:type="pct"/>
            <w:noWrap/>
            <w:tcMar>
              <w:top w:w="15" w:type="dxa"/>
              <w:left w:w="15" w:type="dxa"/>
              <w:bottom w:w="0" w:type="dxa"/>
              <w:right w:w="15" w:type="dxa"/>
            </w:tcMar>
            <w:vAlign w:val="center"/>
          </w:tcPr>
          <w:p w14:paraId="4D9BC04F" w14:textId="210DF6DA" w:rsidR="006B2784" w:rsidRPr="00E052B2" w:rsidRDefault="00326E1B" w:rsidP="00D20A1E">
            <w:pPr>
              <w:widowControl/>
              <w:spacing w:before="40" w:after="40"/>
              <w:rPr>
                <w:rFonts w:cs="Arial"/>
                <w:sz w:val="16"/>
                <w:szCs w:val="16"/>
              </w:rPr>
            </w:pPr>
            <w:r>
              <w:rPr>
                <w:rFonts w:cs="Arial"/>
                <w:sz w:val="16"/>
                <w:szCs w:val="16"/>
              </w:rPr>
              <w:t>Retinol equivalents</w:t>
            </w:r>
          </w:p>
        </w:tc>
        <w:tc>
          <w:tcPr>
            <w:tcW w:w="581" w:type="pct"/>
            <w:shd w:val="clear" w:color="auto" w:fill="auto"/>
            <w:vAlign w:val="center"/>
          </w:tcPr>
          <w:p w14:paraId="6B2D8704" w14:textId="38799194" w:rsidR="006B2784" w:rsidRPr="00E052B2" w:rsidRDefault="002664F2" w:rsidP="00D20A1E">
            <w:pPr>
              <w:widowControl/>
              <w:tabs>
                <w:tab w:val="decimal" w:pos="1029"/>
              </w:tabs>
              <w:spacing w:before="40" w:after="40"/>
              <w:rPr>
                <w:rFonts w:cs="Arial"/>
                <w:sz w:val="16"/>
                <w:szCs w:val="16"/>
              </w:rPr>
            </w:pPr>
            <w:r>
              <w:rPr>
                <w:rFonts w:cs="Arial"/>
                <w:sz w:val="16"/>
                <w:szCs w:val="16"/>
              </w:rPr>
              <w:t>6</w:t>
            </w:r>
          </w:p>
        </w:tc>
        <w:tc>
          <w:tcPr>
            <w:tcW w:w="581" w:type="pct"/>
            <w:shd w:val="clear" w:color="auto" w:fill="auto"/>
            <w:noWrap/>
            <w:tcMar>
              <w:top w:w="15" w:type="dxa"/>
              <w:left w:w="15" w:type="dxa"/>
              <w:bottom w:w="0" w:type="dxa"/>
              <w:right w:w="15" w:type="dxa"/>
            </w:tcMar>
            <w:vAlign w:val="center"/>
          </w:tcPr>
          <w:p w14:paraId="4CA18902"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13</w:t>
            </w:r>
          </w:p>
        </w:tc>
        <w:tc>
          <w:tcPr>
            <w:tcW w:w="581" w:type="pct"/>
            <w:shd w:val="clear" w:color="auto" w:fill="auto"/>
            <w:noWrap/>
            <w:tcMar>
              <w:top w:w="15" w:type="dxa"/>
              <w:left w:w="15" w:type="dxa"/>
              <w:bottom w:w="0" w:type="dxa"/>
              <w:right w:w="15" w:type="dxa"/>
            </w:tcMar>
            <w:vAlign w:val="center"/>
          </w:tcPr>
          <w:p w14:paraId="6C11E26C"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11</w:t>
            </w:r>
          </w:p>
        </w:tc>
        <w:tc>
          <w:tcPr>
            <w:tcW w:w="583" w:type="pct"/>
            <w:shd w:val="clear" w:color="auto" w:fill="auto"/>
            <w:noWrap/>
            <w:tcMar>
              <w:top w:w="15" w:type="dxa"/>
              <w:left w:w="15" w:type="dxa"/>
              <w:bottom w:w="0" w:type="dxa"/>
              <w:right w:w="15" w:type="dxa"/>
            </w:tcMar>
            <w:vAlign w:val="center"/>
          </w:tcPr>
          <w:p w14:paraId="05283B21" w14:textId="77777777" w:rsidR="006B2784" w:rsidRPr="00E052B2" w:rsidRDefault="006B2784" w:rsidP="00D20A1E">
            <w:pPr>
              <w:pStyle w:val="E-mailSignature"/>
              <w:tabs>
                <w:tab w:val="decimal" w:pos="1029"/>
              </w:tabs>
              <w:spacing w:before="40" w:after="40"/>
              <w:rPr>
                <w:rFonts w:eastAsia="Arial Unicode MS" w:cs="Arial"/>
                <w:sz w:val="16"/>
                <w:szCs w:val="16"/>
                <w:lang w:bidi="ar-SA"/>
              </w:rPr>
            </w:pPr>
            <w:r w:rsidRPr="00E052B2">
              <w:rPr>
                <w:rFonts w:cs="Arial"/>
                <w:color w:val="000000"/>
                <w:sz w:val="16"/>
                <w:szCs w:val="16"/>
              </w:rPr>
              <w:t>12</w:t>
            </w:r>
          </w:p>
        </w:tc>
        <w:tc>
          <w:tcPr>
            <w:tcW w:w="581" w:type="pct"/>
            <w:shd w:val="clear" w:color="auto" w:fill="auto"/>
            <w:vAlign w:val="bottom"/>
          </w:tcPr>
          <w:p w14:paraId="7371180F" w14:textId="77777777" w:rsidR="006B2784" w:rsidRPr="00E052B2" w:rsidRDefault="006B2784" w:rsidP="00D20A1E">
            <w:pPr>
              <w:pStyle w:val="E-mailSignature"/>
              <w:tabs>
                <w:tab w:val="decimal" w:pos="1029"/>
              </w:tabs>
              <w:spacing w:before="40" w:after="40"/>
              <w:rPr>
                <w:rFonts w:cs="Arial"/>
                <w:color w:val="000000"/>
                <w:sz w:val="16"/>
                <w:szCs w:val="16"/>
              </w:rPr>
            </w:pPr>
            <w:r w:rsidRPr="00E052B2">
              <w:rPr>
                <w:rFonts w:cs="Arial"/>
                <w:color w:val="000000"/>
                <w:sz w:val="16"/>
                <w:szCs w:val="16"/>
              </w:rPr>
              <w:t>5</w:t>
            </w:r>
          </w:p>
        </w:tc>
        <w:tc>
          <w:tcPr>
            <w:tcW w:w="581" w:type="pct"/>
            <w:shd w:val="clear" w:color="auto" w:fill="auto"/>
            <w:vAlign w:val="bottom"/>
          </w:tcPr>
          <w:p w14:paraId="54B4E4B2" w14:textId="77777777" w:rsidR="006B2784" w:rsidRPr="00E052B2" w:rsidRDefault="006B2784" w:rsidP="00D20A1E">
            <w:pPr>
              <w:pStyle w:val="E-mailSignature"/>
              <w:tabs>
                <w:tab w:val="decimal" w:pos="1029"/>
              </w:tabs>
              <w:spacing w:before="40" w:after="40"/>
              <w:rPr>
                <w:rFonts w:cs="Arial"/>
                <w:color w:val="000000"/>
                <w:sz w:val="16"/>
                <w:szCs w:val="16"/>
              </w:rPr>
            </w:pPr>
            <w:r w:rsidRPr="00E052B2">
              <w:rPr>
                <w:rFonts w:cs="Arial"/>
                <w:color w:val="000000"/>
                <w:sz w:val="16"/>
                <w:szCs w:val="16"/>
              </w:rPr>
              <w:t>4</w:t>
            </w:r>
          </w:p>
        </w:tc>
        <w:tc>
          <w:tcPr>
            <w:tcW w:w="607" w:type="pct"/>
            <w:shd w:val="clear" w:color="auto" w:fill="auto"/>
            <w:vAlign w:val="bottom"/>
          </w:tcPr>
          <w:p w14:paraId="3AB6540F" w14:textId="77777777" w:rsidR="006B2784" w:rsidRPr="00E052B2" w:rsidRDefault="006B2784" w:rsidP="00D20A1E">
            <w:pPr>
              <w:pStyle w:val="E-mailSignature"/>
              <w:tabs>
                <w:tab w:val="decimal" w:pos="1029"/>
              </w:tabs>
              <w:spacing w:before="40" w:after="40"/>
              <w:rPr>
                <w:rFonts w:cs="Arial"/>
                <w:color w:val="000000"/>
                <w:sz w:val="16"/>
                <w:szCs w:val="16"/>
              </w:rPr>
            </w:pPr>
            <w:r w:rsidRPr="00E052B2">
              <w:rPr>
                <w:rFonts w:cs="Arial"/>
                <w:color w:val="000000"/>
                <w:sz w:val="16"/>
                <w:szCs w:val="16"/>
              </w:rPr>
              <w:t>4</w:t>
            </w:r>
          </w:p>
        </w:tc>
      </w:tr>
      <w:tr w:rsidR="006B2784" w:rsidRPr="00E052B2" w14:paraId="4D672E5C" w14:textId="77777777" w:rsidTr="00577EF3">
        <w:trPr>
          <w:trHeight w:val="264"/>
        </w:trPr>
        <w:tc>
          <w:tcPr>
            <w:tcW w:w="905" w:type="pct"/>
            <w:shd w:val="clear" w:color="auto" w:fill="D9D9D9" w:themeFill="background1" w:themeFillShade="D9"/>
            <w:noWrap/>
            <w:tcMar>
              <w:top w:w="15" w:type="dxa"/>
              <w:left w:w="15" w:type="dxa"/>
              <w:bottom w:w="0" w:type="dxa"/>
              <w:right w:w="15" w:type="dxa"/>
            </w:tcMar>
            <w:vAlign w:val="center"/>
          </w:tcPr>
          <w:p w14:paraId="0F6A4691" w14:textId="77777777" w:rsidR="006B2784" w:rsidRPr="00E052B2" w:rsidRDefault="006B2784" w:rsidP="00D20A1E">
            <w:pPr>
              <w:widowControl/>
              <w:spacing w:before="40" w:after="40"/>
              <w:rPr>
                <w:rFonts w:eastAsia="Arial Unicode MS" w:cs="Arial"/>
                <w:sz w:val="16"/>
                <w:szCs w:val="16"/>
              </w:rPr>
            </w:pPr>
            <w:r w:rsidRPr="00E052B2">
              <w:rPr>
                <w:rFonts w:cs="Arial"/>
                <w:sz w:val="16"/>
                <w:szCs w:val="16"/>
              </w:rPr>
              <w:t>Riboflavin</w:t>
            </w:r>
          </w:p>
        </w:tc>
        <w:tc>
          <w:tcPr>
            <w:tcW w:w="581" w:type="pct"/>
            <w:shd w:val="clear" w:color="auto" w:fill="D9D9D9" w:themeFill="background1" w:themeFillShade="D9"/>
            <w:vAlign w:val="center"/>
          </w:tcPr>
          <w:p w14:paraId="7B21D6C1" w14:textId="693BD556"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sz w:val="16"/>
                <w:szCs w:val="16"/>
              </w:rPr>
              <w:t>2</w:t>
            </w:r>
            <w:r w:rsidR="002664F2">
              <w:rPr>
                <w:rFonts w:cs="Arial"/>
                <w:sz w:val="16"/>
                <w:szCs w:val="16"/>
              </w:rPr>
              <w:t>7</w:t>
            </w:r>
          </w:p>
        </w:tc>
        <w:tc>
          <w:tcPr>
            <w:tcW w:w="581" w:type="pct"/>
            <w:shd w:val="clear" w:color="auto" w:fill="D9D9D9" w:themeFill="background1" w:themeFillShade="D9"/>
            <w:noWrap/>
            <w:tcMar>
              <w:top w:w="15" w:type="dxa"/>
              <w:left w:w="15" w:type="dxa"/>
              <w:bottom w:w="0" w:type="dxa"/>
              <w:right w:w="15" w:type="dxa"/>
            </w:tcMar>
            <w:vAlign w:val="center"/>
          </w:tcPr>
          <w:p w14:paraId="5C389F26"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23</w:t>
            </w:r>
          </w:p>
        </w:tc>
        <w:tc>
          <w:tcPr>
            <w:tcW w:w="581" w:type="pct"/>
            <w:shd w:val="clear" w:color="auto" w:fill="D9D9D9" w:themeFill="background1" w:themeFillShade="D9"/>
            <w:noWrap/>
            <w:tcMar>
              <w:top w:w="15" w:type="dxa"/>
              <w:left w:w="15" w:type="dxa"/>
              <w:bottom w:w="0" w:type="dxa"/>
              <w:right w:w="15" w:type="dxa"/>
            </w:tcMar>
            <w:vAlign w:val="center"/>
          </w:tcPr>
          <w:p w14:paraId="033E6A5F"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21</w:t>
            </w:r>
          </w:p>
        </w:tc>
        <w:tc>
          <w:tcPr>
            <w:tcW w:w="583" w:type="pct"/>
            <w:shd w:val="clear" w:color="auto" w:fill="D9D9D9" w:themeFill="background1" w:themeFillShade="D9"/>
            <w:noWrap/>
            <w:tcMar>
              <w:top w:w="15" w:type="dxa"/>
              <w:left w:w="15" w:type="dxa"/>
              <w:bottom w:w="0" w:type="dxa"/>
              <w:right w:w="15" w:type="dxa"/>
            </w:tcMar>
            <w:vAlign w:val="center"/>
          </w:tcPr>
          <w:p w14:paraId="0C8371C4" w14:textId="77777777" w:rsidR="006B2784" w:rsidRPr="00E052B2" w:rsidRDefault="006B2784" w:rsidP="00D20A1E">
            <w:pPr>
              <w:pStyle w:val="E-mailSignature"/>
              <w:tabs>
                <w:tab w:val="decimal" w:pos="1029"/>
              </w:tabs>
              <w:spacing w:before="40" w:after="40"/>
              <w:rPr>
                <w:rFonts w:eastAsia="Arial Unicode MS" w:cs="Arial"/>
                <w:sz w:val="16"/>
                <w:szCs w:val="16"/>
                <w:lang w:bidi="ar-SA"/>
              </w:rPr>
            </w:pPr>
            <w:r w:rsidRPr="00E052B2">
              <w:rPr>
                <w:rFonts w:cs="Arial"/>
                <w:color w:val="000000"/>
                <w:sz w:val="16"/>
                <w:szCs w:val="16"/>
              </w:rPr>
              <w:t>22</w:t>
            </w:r>
          </w:p>
        </w:tc>
        <w:tc>
          <w:tcPr>
            <w:tcW w:w="581" w:type="pct"/>
            <w:shd w:val="clear" w:color="auto" w:fill="D9D9D9" w:themeFill="background1" w:themeFillShade="D9"/>
            <w:vAlign w:val="bottom"/>
          </w:tcPr>
          <w:p w14:paraId="29B028F9" w14:textId="77777777" w:rsidR="006B2784" w:rsidRPr="00E052B2" w:rsidRDefault="006B2784" w:rsidP="00D20A1E">
            <w:pPr>
              <w:pStyle w:val="E-mailSignature"/>
              <w:tabs>
                <w:tab w:val="decimal" w:pos="1029"/>
              </w:tabs>
              <w:spacing w:before="40" w:after="40"/>
              <w:rPr>
                <w:rFonts w:cs="Arial"/>
                <w:color w:val="000000"/>
                <w:sz w:val="16"/>
                <w:szCs w:val="16"/>
              </w:rPr>
            </w:pPr>
            <w:r w:rsidRPr="00E052B2">
              <w:rPr>
                <w:rFonts w:cs="Arial"/>
                <w:color w:val="000000"/>
                <w:sz w:val="16"/>
                <w:szCs w:val="16"/>
              </w:rPr>
              <w:t>20</w:t>
            </w:r>
          </w:p>
        </w:tc>
        <w:tc>
          <w:tcPr>
            <w:tcW w:w="581" w:type="pct"/>
            <w:shd w:val="clear" w:color="auto" w:fill="D9D9D9" w:themeFill="background1" w:themeFillShade="D9"/>
            <w:vAlign w:val="bottom"/>
          </w:tcPr>
          <w:p w14:paraId="6620AED7" w14:textId="77777777" w:rsidR="006B2784" w:rsidRPr="00E052B2" w:rsidRDefault="006B2784" w:rsidP="00D20A1E">
            <w:pPr>
              <w:pStyle w:val="E-mailSignature"/>
              <w:tabs>
                <w:tab w:val="decimal" w:pos="1029"/>
              </w:tabs>
              <w:spacing w:before="40" w:after="40"/>
              <w:rPr>
                <w:rFonts w:cs="Arial"/>
                <w:color w:val="000000"/>
                <w:sz w:val="16"/>
                <w:szCs w:val="16"/>
              </w:rPr>
            </w:pPr>
            <w:r w:rsidRPr="00E052B2">
              <w:rPr>
                <w:rFonts w:cs="Arial"/>
                <w:color w:val="000000"/>
                <w:sz w:val="16"/>
                <w:szCs w:val="16"/>
              </w:rPr>
              <w:t>24</w:t>
            </w:r>
          </w:p>
        </w:tc>
        <w:tc>
          <w:tcPr>
            <w:tcW w:w="607" w:type="pct"/>
            <w:shd w:val="clear" w:color="auto" w:fill="D9D9D9" w:themeFill="background1" w:themeFillShade="D9"/>
            <w:vAlign w:val="bottom"/>
          </w:tcPr>
          <w:p w14:paraId="0EE04942" w14:textId="77777777" w:rsidR="006B2784" w:rsidRPr="00E052B2" w:rsidRDefault="006B2784" w:rsidP="00D20A1E">
            <w:pPr>
              <w:pStyle w:val="E-mailSignature"/>
              <w:tabs>
                <w:tab w:val="decimal" w:pos="1029"/>
              </w:tabs>
              <w:spacing w:before="40" w:after="40"/>
              <w:rPr>
                <w:rFonts w:cs="Arial"/>
                <w:color w:val="000000"/>
                <w:sz w:val="16"/>
                <w:szCs w:val="16"/>
              </w:rPr>
            </w:pPr>
            <w:r w:rsidRPr="00E052B2">
              <w:rPr>
                <w:rFonts w:cs="Arial"/>
                <w:color w:val="000000"/>
                <w:sz w:val="16"/>
                <w:szCs w:val="16"/>
              </w:rPr>
              <w:t>24</w:t>
            </w:r>
          </w:p>
        </w:tc>
      </w:tr>
      <w:tr w:rsidR="006B2784" w:rsidRPr="00E052B2" w14:paraId="108BFEF1" w14:textId="77777777" w:rsidTr="00577EF3">
        <w:trPr>
          <w:trHeight w:val="264"/>
        </w:trPr>
        <w:tc>
          <w:tcPr>
            <w:tcW w:w="905" w:type="pct"/>
            <w:noWrap/>
            <w:tcMar>
              <w:top w:w="15" w:type="dxa"/>
              <w:left w:w="15" w:type="dxa"/>
              <w:bottom w:w="0" w:type="dxa"/>
              <w:right w:w="15" w:type="dxa"/>
            </w:tcMar>
            <w:vAlign w:val="center"/>
          </w:tcPr>
          <w:p w14:paraId="0A6A60E8" w14:textId="77777777" w:rsidR="006B2784" w:rsidRPr="00E052B2" w:rsidRDefault="006B2784" w:rsidP="00D20A1E">
            <w:pPr>
              <w:widowControl/>
              <w:spacing w:before="40" w:after="40"/>
              <w:rPr>
                <w:rFonts w:eastAsia="Arial Unicode MS" w:cs="Arial"/>
                <w:sz w:val="16"/>
                <w:szCs w:val="16"/>
              </w:rPr>
            </w:pPr>
            <w:r w:rsidRPr="00E052B2">
              <w:rPr>
                <w:rFonts w:cs="Arial"/>
                <w:sz w:val="16"/>
                <w:szCs w:val="16"/>
              </w:rPr>
              <w:t>Thiamin</w:t>
            </w:r>
          </w:p>
        </w:tc>
        <w:tc>
          <w:tcPr>
            <w:tcW w:w="581" w:type="pct"/>
            <w:shd w:val="clear" w:color="auto" w:fill="auto"/>
            <w:vAlign w:val="center"/>
          </w:tcPr>
          <w:p w14:paraId="2E1463D2"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sz w:val="16"/>
                <w:szCs w:val="16"/>
              </w:rPr>
              <w:t>5</w:t>
            </w:r>
          </w:p>
        </w:tc>
        <w:tc>
          <w:tcPr>
            <w:tcW w:w="581" w:type="pct"/>
            <w:shd w:val="clear" w:color="auto" w:fill="auto"/>
            <w:noWrap/>
            <w:tcMar>
              <w:top w:w="15" w:type="dxa"/>
              <w:left w:w="15" w:type="dxa"/>
              <w:bottom w:w="0" w:type="dxa"/>
              <w:right w:w="15" w:type="dxa"/>
            </w:tcMar>
            <w:vAlign w:val="center"/>
          </w:tcPr>
          <w:p w14:paraId="5F464A53"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4</w:t>
            </w:r>
          </w:p>
        </w:tc>
        <w:tc>
          <w:tcPr>
            <w:tcW w:w="581" w:type="pct"/>
            <w:shd w:val="clear" w:color="auto" w:fill="auto"/>
            <w:noWrap/>
            <w:tcMar>
              <w:top w:w="15" w:type="dxa"/>
              <w:left w:w="15" w:type="dxa"/>
              <w:bottom w:w="0" w:type="dxa"/>
              <w:right w:w="15" w:type="dxa"/>
            </w:tcMar>
            <w:vAlign w:val="center"/>
          </w:tcPr>
          <w:p w14:paraId="269E4698"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3</w:t>
            </w:r>
          </w:p>
        </w:tc>
        <w:tc>
          <w:tcPr>
            <w:tcW w:w="583" w:type="pct"/>
            <w:shd w:val="clear" w:color="auto" w:fill="auto"/>
            <w:noWrap/>
            <w:tcMar>
              <w:top w:w="15" w:type="dxa"/>
              <w:left w:w="15" w:type="dxa"/>
              <w:bottom w:w="0" w:type="dxa"/>
              <w:right w:w="15" w:type="dxa"/>
            </w:tcMar>
            <w:vAlign w:val="center"/>
          </w:tcPr>
          <w:p w14:paraId="2106F309"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4</w:t>
            </w:r>
          </w:p>
        </w:tc>
        <w:tc>
          <w:tcPr>
            <w:tcW w:w="581" w:type="pct"/>
            <w:shd w:val="clear" w:color="auto" w:fill="auto"/>
            <w:vAlign w:val="bottom"/>
          </w:tcPr>
          <w:p w14:paraId="22A6747E"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3</w:t>
            </w:r>
          </w:p>
        </w:tc>
        <w:tc>
          <w:tcPr>
            <w:tcW w:w="581" w:type="pct"/>
            <w:shd w:val="clear" w:color="auto" w:fill="auto"/>
            <w:vAlign w:val="bottom"/>
          </w:tcPr>
          <w:p w14:paraId="66CFBF8B"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4</w:t>
            </w:r>
          </w:p>
        </w:tc>
        <w:tc>
          <w:tcPr>
            <w:tcW w:w="607" w:type="pct"/>
            <w:shd w:val="clear" w:color="auto" w:fill="auto"/>
            <w:vAlign w:val="bottom"/>
          </w:tcPr>
          <w:p w14:paraId="4AF4130F"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4</w:t>
            </w:r>
          </w:p>
        </w:tc>
      </w:tr>
      <w:tr w:rsidR="006B2784" w:rsidRPr="00E052B2" w14:paraId="06644201" w14:textId="77777777" w:rsidTr="00577EF3">
        <w:trPr>
          <w:trHeight w:val="264"/>
        </w:trPr>
        <w:tc>
          <w:tcPr>
            <w:tcW w:w="905" w:type="pct"/>
            <w:noWrap/>
            <w:tcMar>
              <w:top w:w="15" w:type="dxa"/>
              <w:left w:w="15" w:type="dxa"/>
              <w:bottom w:w="0" w:type="dxa"/>
              <w:right w:w="15" w:type="dxa"/>
            </w:tcMar>
            <w:vAlign w:val="center"/>
          </w:tcPr>
          <w:p w14:paraId="65C02AE1" w14:textId="77777777" w:rsidR="006B2784" w:rsidRPr="00E052B2" w:rsidRDefault="006B2784" w:rsidP="00D20A1E">
            <w:pPr>
              <w:widowControl/>
              <w:spacing w:before="40" w:after="40"/>
              <w:rPr>
                <w:rFonts w:eastAsia="Arial Unicode MS" w:cs="Arial"/>
                <w:sz w:val="16"/>
                <w:szCs w:val="16"/>
              </w:rPr>
            </w:pPr>
            <w:r w:rsidRPr="00E052B2">
              <w:rPr>
                <w:rFonts w:cs="Arial"/>
                <w:sz w:val="16"/>
                <w:szCs w:val="16"/>
              </w:rPr>
              <w:t>Vitamin A</w:t>
            </w:r>
          </w:p>
        </w:tc>
        <w:tc>
          <w:tcPr>
            <w:tcW w:w="581" w:type="pct"/>
            <w:shd w:val="clear" w:color="auto" w:fill="auto"/>
            <w:vAlign w:val="center"/>
          </w:tcPr>
          <w:p w14:paraId="1839F6F2"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sz w:val="16"/>
                <w:szCs w:val="16"/>
              </w:rPr>
              <w:t>6</w:t>
            </w:r>
          </w:p>
        </w:tc>
        <w:tc>
          <w:tcPr>
            <w:tcW w:w="581" w:type="pct"/>
            <w:shd w:val="clear" w:color="auto" w:fill="auto"/>
            <w:noWrap/>
            <w:tcMar>
              <w:top w:w="15" w:type="dxa"/>
              <w:left w:w="15" w:type="dxa"/>
              <w:bottom w:w="0" w:type="dxa"/>
              <w:right w:w="15" w:type="dxa"/>
            </w:tcMar>
            <w:vAlign w:val="center"/>
          </w:tcPr>
          <w:p w14:paraId="02C36966" w14:textId="77777777" w:rsidR="006B2784" w:rsidRPr="00E052B2" w:rsidRDefault="006B2784" w:rsidP="00D20A1E">
            <w:pPr>
              <w:widowControl/>
              <w:tabs>
                <w:tab w:val="decimal" w:pos="1029"/>
              </w:tabs>
              <w:spacing w:before="40" w:after="40"/>
              <w:rPr>
                <w:rFonts w:eastAsia="Arial Unicode MS" w:cs="Arial"/>
                <w:sz w:val="16"/>
                <w:szCs w:val="16"/>
              </w:rPr>
            </w:pPr>
          </w:p>
        </w:tc>
        <w:tc>
          <w:tcPr>
            <w:tcW w:w="581" w:type="pct"/>
            <w:shd w:val="clear" w:color="auto" w:fill="auto"/>
            <w:noWrap/>
            <w:tcMar>
              <w:top w:w="15" w:type="dxa"/>
              <w:left w:w="15" w:type="dxa"/>
              <w:bottom w:w="0" w:type="dxa"/>
              <w:right w:w="15" w:type="dxa"/>
            </w:tcMar>
            <w:vAlign w:val="center"/>
          </w:tcPr>
          <w:p w14:paraId="1DAF2C79" w14:textId="77777777" w:rsidR="006B2784" w:rsidRPr="00E052B2" w:rsidRDefault="006B2784" w:rsidP="00D20A1E">
            <w:pPr>
              <w:widowControl/>
              <w:tabs>
                <w:tab w:val="decimal" w:pos="1029"/>
              </w:tabs>
              <w:spacing w:before="40" w:after="40"/>
              <w:rPr>
                <w:rFonts w:eastAsia="Arial Unicode MS" w:cs="Arial"/>
                <w:sz w:val="16"/>
                <w:szCs w:val="16"/>
              </w:rPr>
            </w:pPr>
          </w:p>
        </w:tc>
        <w:tc>
          <w:tcPr>
            <w:tcW w:w="583" w:type="pct"/>
            <w:shd w:val="clear" w:color="auto" w:fill="auto"/>
            <w:noWrap/>
            <w:tcMar>
              <w:top w:w="15" w:type="dxa"/>
              <w:left w:w="15" w:type="dxa"/>
              <w:bottom w:w="0" w:type="dxa"/>
              <w:right w:w="15" w:type="dxa"/>
            </w:tcMar>
            <w:vAlign w:val="center"/>
          </w:tcPr>
          <w:p w14:paraId="6449DD32" w14:textId="77777777" w:rsidR="006B2784" w:rsidRPr="00E052B2" w:rsidRDefault="006B2784" w:rsidP="00D20A1E">
            <w:pPr>
              <w:widowControl/>
              <w:tabs>
                <w:tab w:val="decimal" w:pos="1029"/>
              </w:tabs>
              <w:spacing w:before="40" w:after="40"/>
              <w:rPr>
                <w:rFonts w:eastAsia="Arial Unicode MS" w:cs="Arial"/>
                <w:sz w:val="16"/>
                <w:szCs w:val="16"/>
              </w:rPr>
            </w:pPr>
          </w:p>
        </w:tc>
        <w:tc>
          <w:tcPr>
            <w:tcW w:w="581" w:type="pct"/>
            <w:shd w:val="clear" w:color="auto" w:fill="auto"/>
          </w:tcPr>
          <w:p w14:paraId="00B7C3B3" w14:textId="77777777" w:rsidR="006B2784" w:rsidRPr="00E052B2" w:rsidRDefault="006B2784" w:rsidP="00D20A1E">
            <w:pPr>
              <w:widowControl/>
              <w:tabs>
                <w:tab w:val="decimal" w:pos="1029"/>
              </w:tabs>
              <w:spacing w:before="40" w:after="40"/>
              <w:rPr>
                <w:rFonts w:eastAsia="Arial Unicode MS" w:cs="Arial"/>
                <w:sz w:val="16"/>
                <w:szCs w:val="16"/>
              </w:rPr>
            </w:pPr>
          </w:p>
        </w:tc>
        <w:tc>
          <w:tcPr>
            <w:tcW w:w="581" w:type="pct"/>
            <w:shd w:val="clear" w:color="auto" w:fill="auto"/>
          </w:tcPr>
          <w:p w14:paraId="24DB5929" w14:textId="77777777" w:rsidR="006B2784" w:rsidRPr="00E052B2" w:rsidRDefault="006B2784" w:rsidP="00D20A1E">
            <w:pPr>
              <w:widowControl/>
              <w:tabs>
                <w:tab w:val="decimal" w:pos="1029"/>
              </w:tabs>
              <w:spacing w:before="40" w:after="40"/>
              <w:rPr>
                <w:rFonts w:eastAsia="Arial Unicode MS" w:cs="Arial"/>
                <w:sz w:val="16"/>
                <w:szCs w:val="16"/>
              </w:rPr>
            </w:pPr>
          </w:p>
        </w:tc>
        <w:tc>
          <w:tcPr>
            <w:tcW w:w="607" w:type="pct"/>
            <w:shd w:val="clear" w:color="auto" w:fill="auto"/>
          </w:tcPr>
          <w:p w14:paraId="0DF8370A" w14:textId="77777777" w:rsidR="006B2784" w:rsidRPr="00E052B2" w:rsidRDefault="006B2784" w:rsidP="00D20A1E">
            <w:pPr>
              <w:widowControl/>
              <w:tabs>
                <w:tab w:val="decimal" w:pos="1029"/>
              </w:tabs>
              <w:spacing w:before="40" w:after="40"/>
              <w:rPr>
                <w:rFonts w:eastAsia="Arial Unicode MS" w:cs="Arial"/>
                <w:sz w:val="16"/>
                <w:szCs w:val="16"/>
              </w:rPr>
            </w:pPr>
          </w:p>
        </w:tc>
      </w:tr>
      <w:tr w:rsidR="006B2784" w:rsidRPr="00E052B2" w14:paraId="429C68B9" w14:textId="77777777" w:rsidTr="00577EF3">
        <w:trPr>
          <w:trHeight w:val="264"/>
        </w:trPr>
        <w:tc>
          <w:tcPr>
            <w:tcW w:w="905" w:type="pct"/>
            <w:noWrap/>
            <w:tcMar>
              <w:top w:w="15" w:type="dxa"/>
              <w:left w:w="15" w:type="dxa"/>
              <w:bottom w:w="0" w:type="dxa"/>
              <w:right w:w="15" w:type="dxa"/>
            </w:tcMar>
            <w:vAlign w:val="center"/>
          </w:tcPr>
          <w:p w14:paraId="4F44E782" w14:textId="77777777" w:rsidR="006B2784" w:rsidRPr="00E052B2" w:rsidRDefault="006B2784" w:rsidP="00D20A1E">
            <w:pPr>
              <w:widowControl/>
              <w:spacing w:before="40" w:after="40"/>
              <w:rPr>
                <w:rFonts w:eastAsia="Arial Unicode MS" w:cs="Arial"/>
                <w:sz w:val="16"/>
                <w:szCs w:val="16"/>
              </w:rPr>
            </w:pPr>
            <w:r w:rsidRPr="00E052B2">
              <w:rPr>
                <w:rFonts w:cs="Arial"/>
                <w:sz w:val="16"/>
                <w:szCs w:val="16"/>
              </w:rPr>
              <w:t>Vitamin B</w:t>
            </w:r>
            <w:r w:rsidRPr="00E052B2">
              <w:rPr>
                <w:rFonts w:cs="Arial"/>
                <w:sz w:val="16"/>
                <w:szCs w:val="16"/>
                <w:vertAlign w:val="subscript"/>
              </w:rPr>
              <w:t>12</w:t>
            </w:r>
          </w:p>
        </w:tc>
        <w:tc>
          <w:tcPr>
            <w:tcW w:w="581" w:type="pct"/>
            <w:shd w:val="clear" w:color="auto" w:fill="auto"/>
            <w:vAlign w:val="center"/>
          </w:tcPr>
          <w:p w14:paraId="21723ED5"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sz w:val="16"/>
                <w:szCs w:val="16"/>
              </w:rPr>
              <w:t>15</w:t>
            </w:r>
          </w:p>
        </w:tc>
        <w:tc>
          <w:tcPr>
            <w:tcW w:w="581" w:type="pct"/>
            <w:shd w:val="clear" w:color="auto" w:fill="auto"/>
            <w:noWrap/>
            <w:tcMar>
              <w:top w:w="15" w:type="dxa"/>
              <w:left w:w="15" w:type="dxa"/>
              <w:bottom w:w="0" w:type="dxa"/>
              <w:right w:w="15" w:type="dxa"/>
            </w:tcMar>
            <w:vAlign w:val="center"/>
          </w:tcPr>
          <w:p w14:paraId="36E13005"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19</w:t>
            </w:r>
          </w:p>
        </w:tc>
        <w:tc>
          <w:tcPr>
            <w:tcW w:w="581" w:type="pct"/>
            <w:shd w:val="clear" w:color="auto" w:fill="auto"/>
            <w:noWrap/>
            <w:tcMar>
              <w:top w:w="15" w:type="dxa"/>
              <w:left w:w="15" w:type="dxa"/>
              <w:bottom w:w="0" w:type="dxa"/>
              <w:right w:w="15" w:type="dxa"/>
            </w:tcMar>
            <w:vAlign w:val="center"/>
          </w:tcPr>
          <w:p w14:paraId="77FC03F5"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17</w:t>
            </w:r>
          </w:p>
        </w:tc>
        <w:tc>
          <w:tcPr>
            <w:tcW w:w="583" w:type="pct"/>
            <w:shd w:val="clear" w:color="auto" w:fill="auto"/>
            <w:noWrap/>
            <w:tcMar>
              <w:top w:w="15" w:type="dxa"/>
              <w:left w:w="15" w:type="dxa"/>
              <w:bottom w:w="0" w:type="dxa"/>
              <w:right w:w="15" w:type="dxa"/>
            </w:tcMar>
            <w:vAlign w:val="center"/>
          </w:tcPr>
          <w:p w14:paraId="1A30CD89"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18</w:t>
            </w:r>
          </w:p>
        </w:tc>
        <w:tc>
          <w:tcPr>
            <w:tcW w:w="581" w:type="pct"/>
            <w:shd w:val="clear" w:color="auto" w:fill="auto"/>
            <w:vAlign w:val="bottom"/>
          </w:tcPr>
          <w:p w14:paraId="5D49BA17"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11</w:t>
            </w:r>
          </w:p>
        </w:tc>
        <w:tc>
          <w:tcPr>
            <w:tcW w:w="581" w:type="pct"/>
            <w:shd w:val="clear" w:color="auto" w:fill="auto"/>
            <w:vAlign w:val="bottom"/>
          </w:tcPr>
          <w:p w14:paraId="7074DC78"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14</w:t>
            </w:r>
          </w:p>
        </w:tc>
        <w:tc>
          <w:tcPr>
            <w:tcW w:w="607" w:type="pct"/>
            <w:shd w:val="clear" w:color="auto" w:fill="auto"/>
            <w:vAlign w:val="bottom"/>
          </w:tcPr>
          <w:p w14:paraId="4E3AD8CF"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13</w:t>
            </w:r>
          </w:p>
        </w:tc>
      </w:tr>
      <w:tr w:rsidR="006B2784" w:rsidRPr="00E052B2" w14:paraId="55B144C1" w14:textId="77777777" w:rsidTr="00577EF3">
        <w:trPr>
          <w:trHeight w:val="264"/>
        </w:trPr>
        <w:tc>
          <w:tcPr>
            <w:tcW w:w="905" w:type="pct"/>
            <w:noWrap/>
            <w:tcMar>
              <w:top w:w="15" w:type="dxa"/>
              <w:left w:w="15" w:type="dxa"/>
              <w:bottom w:w="0" w:type="dxa"/>
              <w:right w:w="15" w:type="dxa"/>
            </w:tcMar>
            <w:vAlign w:val="center"/>
          </w:tcPr>
          <w:p w14:paraId="056A4DCA" w14:textId="77777777" w:rsidR="006B2784" w:rsidRPr="00E052B2" w:rsidRDefault="006B2784" w:rsidP="00D20A1E">
            <w:pPr>
              <w:widowControl/>
              <w:spacing w:before="40" w:after="40"/>
              <w:rPr>
                <w:rFonts w:eastAsia="Arial Unicode MS" w:cs="Arial"/>
                <w:sz w:val="16"/>
                <w:szCs w:val="16"/>
              </w:rPr>
            </w:pPr>
            <w:r w:rsidRPr="00E052B2">
              <w:rPr>
                <w:rFonts w:cs="Arial"/>
                <w:sz w:val="16"/>
                <w:szCs w:val="16"/>
              </w:rPr>
              <w:t>Vitamin B</w:t>
            </w:r>
            <w:r w:rsidRPr="00E052B2">
              <w:rPr>
                <w:rFonts w:cs="Arial"/>
                <w:sz w:val="16"/>
                <w:szCs w:val="16"/>
                <w:vertAlign w:val="subscript"/>
              </w:rPr>
              <w:t>6</w:t>
            </w:r>
          </w:p>
        </w:tc>
        <w:tc>
          <w:tcPr>
            <w:tcW w:w="581" w:type="pct"/>
            <w:shd w:val="clear" w:color="auto" w:fill="auto"/>
            <w:vAlign w:val="center"/>
          </w:tcPr>
          <w:p w14:paraId="5A36E3EC" w14:textId="37743BD4" w:rsidR="006B2784" w:rsidRPr="00E052B2" w:rsidRDefault="002664F2" w:rsidP="00D20A1E">
            <w:pPr>
              <w:widowControl/>
              <w:tabs>
                <w:tab w:val="decimal" w:pos="1029"/>
              </w:tabs>
              <w:spacing w:before="40" w:after="40"/>
              <w:rPr>
                <w:rFonts w:eastAsia="Arial Unicode MS" w:cs="Arial"/>
                <w:sz w:val="16"/>
                <w:szCs w:val="16"/>
              </w:rPr>
            </w:pPr>
            <w:r>
              <w:rPr>
                <w:rFonts w:cs="Arial"/>
                <w:sz w:val="16"/>
                <w:szCs w:val="16"/>
              </w:rPr>
              <w:t>7</w:t>
            </w:r>
          </w:p>
        </w:tc>
        <w:tc>
          <w:tcPr>
            <w:tcW w:w="581" w:type="pct"/>
            <w:shd w:val="clear" w:color="auto" w:fill="auto"/>
            <w:noWrap/>
            <w:tcMar>
              <w:top w:w="15" w:type="dxa"/>
              <w:left w:w="15" w:type="dxa"/>
              <w:bottom w:w="0" w:type="dxa"/>
              <w:right w:w="15" w:type="dxa"/>
            </w:tcMar>
            <w:vAlign w:val="center"/>
          </w:tcPr>
          <w:p w14:paraId="06D2AEA7"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6</w:t>
            </w:r>
          </w:p>
        </w:tc>
        <w:tc>
          <w:tcPr>
            <w:tcW w:w="581" w:type="pct"/>
            <w:shd w:val="clear" w:color="auto" w:fill="auto"/>
            <w:noWrap/>
            <w:tcMar>
              <w:top w:w="15" w:type="dxa"/>
              <w:left w:w="15" w:type="dxa"/>
              <w:bottom w:w="0" w:type="dxa"/>
              <w:right w:w="15" w:type="dxa"/>
            </w:tcMar>
            <w:vAlign w:val="center"/>
          </w:tcPr>
          <w:p w14:paraId="5B82EEF2"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6</w:t>
            </w:r>
          </w:p>
        </w:tc>
        <w:tc>
          <w:tcPr>
            <w:tcW w:w="583" w:type="pct"/>
            <w:shd w:val="clear" w:color="auto" w:fill="auto"/>
            <w:noWrap/>
            <w:tcMar>
              <w:top w:w="15" w:type="dxa"/>
              <w:left w:w="15" w:type="dxa"/>
              <w:bottom w:w="0" w:type="dxa"/>
              <w:right w:w="15" w:type="dxa"/>
            </w:tcMar>
            <w:vAlign w:val="center"/>
          </w:tcPr>
          <w:p w14:paraId="49158F2F"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6</w:t>
            </w:r>
          </w:p>
        </w:tc>
        <w:tc>
          <w:tcPr>
            <w:tcW w:w="581" w:type="pct"/>
            <w:shd w:val="clear" w:color="auto" w:fill="auto"/>
            <w:vAlign w:val="bottom"/>
          </w:tcPr>
          <w:p w14:paraId="5B22CCAC"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2</w:t>
            </w:r>
          </w:p>
        </w:tc>
        <w:tc>
          <w:tcPr>
            <w:tcW w:w="581" w:type="pct"/>
            <w:shd w:val="clear" w:color="auto" w:fill="auto"/>
            <w:vAlign w:val="bottom"/>
          </w:tcPr>
          <w:p w14:paraId="6112D114"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3</w:t>
            </w:r>
          </w:p>
        </w:tc>
        <w:tc>
          <w:tcPr>
            <w:tcW w:w="607" w:type="pct"/>
            <w:shd w:val="clear" w:color="auto" w:fill="auto"/>
            <w:vAlign w:val="bottom"/>
          </w:tcPr>
          <w:p w14:paraId="29EBCA01"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3</w:t>
            </w:r>
          </w:p>
        </w:tc>
      </w:tr>
      <w:tr w:rsidR="006B2784" w:rsidRPr="00E052B2" w14:paraId="3ED9413B" w14:textId="77777777" w:rsidTr="00577EF3">
        <w:trPr>
          <w:trHeight w:val="264"/>
        </w:trPr>
        <w:tc>
          <w:tcPr>
            <w:tcW w:w="905" w:type="pct"/>
            <w:noWrap/>
            <w:tcMar>
              <w:top w:w="15" w:type="dxa"/>
              <w:left w:w="15" w:type="dxa"/>
              <w:bottom w:w="0" w:type="dxa"/>
              <w:right w:w="15" w:type="dxa"/>
            </w:tcMar>
            <w:vAlign w:val="center"/>
          </w:tcPr>
          <w:p w14:paraId="0CA78964" w14:textId="77777777" w:rsidR="006B2784" w:rsidRPr="00E052B2" w:rsidRDefault="006B2784" w:rsidP="00D20A1E">
            <w:pPr>
              <w:widowControl/>
              <w:spacing w:before="40" w:after="40"/>
              <w:rPr>
                <w:rFonts w:eastAsia="Arial Unicode MS" w:cs="Arial"/>
                <w:sz w:val="16"/>
                <w:szCs w:val="16"/>
              </w:rPr>
            </w:pPr>
            <w:r w:rsidRPr="00E052B2">
              <w:rPr>
                <w:rFonts w:cs="Arial"/>
                <w:sz w:val="16"/>
                <w:szCs w:val="16"/>
              </w:rPr>
              <w:t>Vitamin D</w:t>
            </w:r>
          </w:p>
        </w:tc>
        <w:tc>
          <w:tcPr>
            <w:tcW w:w="581" w:type="pct"/>
            <w:shd w:val="clear" w:color="auto" w:fill="auto"/>
            <w:vAlign w:val="center"/>
          </w:tcPr>
          <w:p w14:paraId="124E7CAD"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sz w:val="16"/>
                <w:szCs w:val="16"/>
              </w:rPr>
              <w:t>2</w:t>
            </w:r>
          </w:p>
        </w:tc>
        <w:tc>
          <w:tcPr>
            <w:tcW w:w="581" w:type="pct"/>
            <w:shd w:val="clear" w:color="auto" w:fill="auto"/>
            <w:noWrap/>
            <w:tcMar>
              <w:top w:w="15" w:type="dxa"/>
              <w:left w:w="15" w:type="dxa"/>
              <w:bottom w:w="0" w:type="dxa"/>
              <w:right w:w="15" w:type="dxa"/>
            </w:tcMar>
            <w:vAlign w:val="center"/>
          </w:tcPr>
          <w:p w14:paraId="6811A6ED" w14:textId="77777777" w:rsidR="006B2784" w:rsidRPr="00E052B2" w:rsidRDefault="006B2784" w:rsidP="00D20A1E">
            <w:pPr>
              <w:widowControl/>
              <w:tabs>
                <w:tab w:val="decimal" w:pos="1029"/>
              </w:tabs>
              <w:spacing w:before="40" w:after="40"/>
              <w:rPr>
                <w:rFonts w:eastAsia="Arial Unicode MS" w:cs="Arial"/>
                <w:sz w:val="16"/>
                <w:szCs w:val="16"/>
              </w:rPr>
            </w:pPr>
          </w:p>
        </w:tc>
        <w:tc>
          <w:tcPr>
            <w:tcW w:w="581" w:type="pct"/>
            <w:shd w:val="clear" w:color="auto" w:fill="auto"/>
            <w:noWrap/>
            <w:tcMar>
              <w:top w:w="15" w:type="dxa"/>
              <w:left w:w="15" w:type="dxa"/>
              <w:bottom w:w="0" w:type="dxa"/>
              <w:right w:w="15" w:type="dxa"/>
            </w:tcMar>
            <w:vAlign w:val="center"/>
          </w:tcPr>
          <w:p w14:paraId="083DC724" w14:textId="77777777" w:rsidR="006B2784" w:rsidRPr="00E052B2" w:rsidRDefault="006B2784" w:rsidP="00D20A1E">
            <w:pPr>
              <w:widowControl/>
              <w:tabs>
                <w:tab w:val="decimal" w:pos="1029"/>
              </w:tabs>
              <w:spacing w:before="40" w:after="40"/>
              <w:rPr>
                <w:rFonts w:eastAsia="Arial Unicode MS" w:cs="Arial"/>
                <w:sz w:val="16"/>
                <w:szCs w:val="16"/>
              </w:rPr>
            </w:pPr>
          </w:p>
        </w:tc>
        <w:tc>
          <w:tcPr>
            <w:tcW w:w="583" w:type="pct"/>
            <w:shd w:val="clear" w:color="auto" w:fill="auto"/>
            <w:noWrap/>
            <w:tcMar>
              <w:top w:w="15" w:type="dxa"/>
              <w:left w:w="15" w:type="dxa"/>
              <w:bottom w:w="0" w:type="dxa"/>
              <w:right w:w="15" w:type="dxa"/>
            </w:tcMar>
            <w:vAlign w:val="center"/>
          </w:tcPr>
          <w:p w14:paraId="450D58EA" w14:textId="77777777" w:rsidR="006B2784" w:rsidRPr="00E052B2" w:rsidRDefault="006B2784" w:rsidP="00D20A1E">
            <w:pPr>
              <w:widowControl/>
              <w:tabs>
                <w:tab w:val="decimal" w:pos="1029"/>
              </w:tabs>
              <w:spacing w:before="40" w:after="40"/>
              <w:rPr>
                <w:rFonts w:eastAsia="Arial Unicode MS" w:cs="Arial"/>
                <w:sz w:val="16"/>
                <w:szCs w:val="16"/>
              </w:rPr>
            </w:pPr>
          </w:p>
        </w:tc>
        <w:tc>
          <w:tcPr>
            <w:tcW w:w="581" w:type="pct"/>
            <w:shd w:val="clear" w:color="auto" w:fill="auto"/>
            <w:vAlign w:val="bottom"/>
          </w:tcPr>
          <w:p w14:paraId="2C18E2A0"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17</w:t>
            </w:r>
          </w:p>
        </w:tc>
        <w:tc>
          <w:tcPr>
            <w:tcW w:w="581" w:type="pct"/>
            <w:shd w:val="clear" w:color="auto" w:fill="auto"/>
            <w:vAlign w:val="bottom"/>
          </w:tcPr>
          <w:p w14:paraId="51BAD0E4"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17</w:t>
            </w:r>
          </w:p>
        </w:tc>
        <w:tc>
          <w:tcPr>
            <w:tcW w:w="607" w:type="pct"/>
            <w:shd w:val="clear" w:color="auto" w:fill="auto"/>
            <w:vAlign w:val="bottom"/>
          </w:tcPr>
          <w:p w14:paraId="06ECA096"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17</w:t>
            </w:r>
          </w:p>
        </w:tc>
      </w:tr>
      <w:tr w:rsidR="006B2784" w:rsidRPr="00E052B2" w14:paraId="2036DE07" w14:textId="77777777" w:rsidTr="00577EF3">
        <w:trPr>
          <w:trHeight w:val="264"/>
        </w:trPr>
        <w:tc>
          <w:tcPr>
            <w:tcW w:w="905" w:type="pct"/>
            <w:noWrap/>
            <w:tcMar>
              <w:top w:w="15" w:type="dxa"/>
              <w:left w:w="15" w:type="dxa"/>
              <w:bottom w:w="0" w:type="dxa"/>
              <w:right w:w="15" w:type="dxa"/>
            </w:tcMar>
            <w:vAlign w:val="center"/>
          </w:tcPr>
          <w:p w14:paraId="2FA84AC1" w14:textId="77777777" w:rsidR="006B2784" w:rsidRPr="00E052B2" w:rsidRDefault="006B2784" w:rsidP="00D20A1E">
            <w:pPr>
              <w:widowControl/>
              <w:spacing w:before="40" w:after="40"/>
              <w:rPr>
                <w:rFonts w:eastAsia="Arial Unicode MS" w:cs="Arial"/>
                <w:sz w:val="16"/>
                <w:szCs w:val="16"/>
              </w:rPr>
            </w:pPr>
            <w:r w:rsidRPr="00E052B2">
              <w:rPr>
                <w:rFonts w:cs="Arial"/>
                <w:sz w:val="16"/>
                <w:szCs w:val="16"/>
              </w:rPr>
              <w:t xml:space="preserve">Zinc </w:t>
            </w:r>
          </w:p>
        </w:tc>
        <w:tc>
          <w:tcPr>
            <w:tcW w:w="581" w:type="pct"/>
            <w:shd w:val="clear" w:color="auto" w:fill="auto"/>
            <w:vAlign w:val="center"/>
          </w:tcPr>
          <w:p w14:paraId="66488B2E"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sz w:val="16"/>
                <w:szCs w:val="16"/>
              </w:rPr>
              <w:t>8</w:t>
            </w:r>
          </w:p>
        </w:tc>
        <w:tc>
          <w:tcPr>
            <w:tcW w:w="581" w:type="pct"/>
            <w:shd w:val="clear" w:color="auto" w:fill="auto"/>
            <w:noWrap/>
            <w:tcMar>
              <w:top w:w="15" w:type="dxa"/>
              <w:left w:w="15" w:type="dxa"/>
              <w:bottom w:w="0" w:type="dxa"/>
              <w:right w:w="15" w:type="dxa"/>
            </w:tcMar>
            <w:vAlign w:val="center"/>
          </w:tcPr>
          <w:p w14:paraId="08103EFA"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8</w:t>
            </w:r>
          </w:p>
        </w:tc>
        <w:tc>
          <w:tcPr>
            <w:tcW w:w="581" w:type="pct"/>
            <w:shd w:val="clear" w:color="auto" w:fill="auto"/>
            <w:noWrap/>
            <w:tcMar>
              <w:top w:w="15" w:type="dxa"/>
              <w:left w:w="15" w:type="dxa"/>
              <w:bottom w:w="0" w:type="dxa"/>
              <w:right w:w="15" w:type="dxa"/>
            </w:tcMar>
            <w:vAlign w:val="center"/>
          </w:tcPr>
          <w:p w14:paraId="724CB96F"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8</w:t>
            </w:r>
          </w:p>
        </w:tc>
        <w:tc>
          <w:tcPr>
            <w:tcW w:w="583" w:type="pct"/>
            <w:shd w:val="clear" w:color="auto" w:fill="auto"/>
            <w:noWrap/>
            <w:tcMar>
              <w:top w:w="15" w:type="dxa"/>
              <w:left w:w="15" w:type="dxa"/>
              <w:bottom w:w="0" w:type="dxa"/>
              <w:right w:w="15" w:type="dxa"/>
            </w:tcMar>
            <w:vAlign w:val="center"/>
          </w:tcPr>
          <w:p w14:paraId="0472D582" w14:textId="77777777" w:rsidR="006B2784" w:rsidRPr="00E052B2" w:rsidRDefault="006B2784" w:rsidP="00D20A1E">
            <w:pPr>
              <w:widowControl/>
              <w:tabs>
                <w:tab w:val="decimal" w:pos="1029"/>
              </w:tabs>
              <w:spacing w:before="40" w:after="40"/>
              <w:rPr>
                <w:rFonts w:eastAsia="Arial Unicode MS" w:cs="Arial"/>
                <w:sz w:val="16"/>
                <w:szCs w:val="16"/>
              </w:rPr>
            </w:pPr>
            <w:r w:rsidRPr="00E052B2">
              <w:rPr>
                <w:rFonts w:cs="Arial"/>
                <w:color w:val="000000"/>
                <w:sz w:val="16"/>
                <w:szCs w:val="16"/>
              </w:rPr>
              <w:t>8</w:t>
            </w:r>
          </w:p>
        </w:tc>
        <w:tc>
          <w:tcPr>
            <w:tcW w:w="581" w:type="pct"/>
            <w:shd w:val="clear" w:color="auto" w:fill="auto"/>
            <w:vAlign w:val="bottom"/>
          </w:tcPr>
          <w:p w14:paraId="44758B35"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5</w:t>
            </w:r>
          </w:p>
        </w:tc>
        <w:tc>
          <w:tcPr>
            <w:tcW w:w="581" w:type="pct"/>
            <w:shd w:val="clear" w:color="auto" w:fill="auto"/>
            <w:vAlign w:val="bottom"/>
          </w:tcPr>
          <w:p w14:paraId="6C6A45D2"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6</w:t>
            </w:r>
          </w:p>
        </w:tc>
        <w:tc>
          <w:tcPr>
            <w:tcW w:w="607" w:type="pct"/>
            <w:shd w:val="clear" w:color="auto" w:fill="auto"/>
            <w:vAlign w:val="bottom"/>
          </w:tcPr>
          <w:p w14:paraId="440573C3" w14:textId="77777777" w:rsidR="006B2784" w:rsidRPr="00E052B2" w:rsidRDefault="006B2784" w:rsidP="00D20A1E">
            <w:pPr>
              <w:widowControl/>
              <w:tabs>
                <w:tab w:val="decimal" w:pos="1029"/>
              </w:tabs>
              <w:spacing w:before="40" w:after="40"/>
              <w:rPr>
                <w:rFonts w:cs="Arial"/>
                <w:color w:val="000000"/>
                <w:sz w:val="16"/>
                <w:szCs w:val="16"/>
              </w:rPr>
            </w:pPr>
            <w:r w:rsidRPr="00E052B2">
              <w:rPr>
                <w:rFonts w:cs="Arial"/>
                <w:color w:val="000000"/>
                <w:sz w:val="16"/>
                <w:szCs w:val="16"/>
              </w:rPr>
              <w:t>6</w:t>
            </w:r>
          </w:p>
        </w:tc>
      </w:tr>
    </w:tbl>
    <w:p w14:paraId="04C33E67" w14:textId="77777777" w:rsidR="00577EF3" w:rsidRPr="00577EF3" w:rsidRDefault="00577EF3" w:rsidP="00D20A1E">
      <w:pPr>
        <w:pStyle w:val="FSBullet1"/>
        <w:numPr>
          <w:ilvl w:val="0"/>
          <w:numId w:val="0"/>
        </w:numPr>
        <w:spacing w:before="20" w:after="20"/>
        <w:rPr>
          <w:sz w:val="16"/>
          <w:szCs w:val="16"/>
        </w:rPr>
      </w:pPr>
      <w:r w:rsidRPr="00577EF3">
        <w:rPr>
          <w:sz w:val="16"/>
          <w:szCs w:val="16"/>
          <w:vertAlign w:val="superscript"/>
        </w:rPr>
        <w:sym w:font="Wingdings 2" w:char="F0BF"/>
      </w:r>
      <w:r w:rsidRPr="00577EF3">
        <w:rPr>
          <w:sz w:val="16"/>
          <w:szCs w:val="16"/>
        </w:rPr>
        <w:t xml:space="preserve"> All percentage contributions have been rounded to the nearest whole number.</w:t>
      </w:r>
    </w:p>
    <w:p w14:paraId="7B7F78BC" w14:textId="2AC959CD" w:rsidR="008D629B" w:rsidRPr="00E052B2" w:rsidRDefault="008D629B" w:rsidP="00D20A1E">
      <w:pPr>
        <w:widowControl/>
        <w:spacing w:before="20" w:after="20"/>
        <w:ind w:left="567" w:hanging="567"/>
        <w:rPr>
          <w:sz w:val="16"/>
          <w:szCs w:val="16"/>
        </w:rPr>
      </w:pPr>
      <w:r w:rsidRPr="008D629B">
        <w:rPr>
          <w:rFonts w:cs="Arial"/>
          <w:sz w:val="16"/>
          <w:szCs w:val="16"/>
        </w:rPr>
        <w:t>ɸ</w:t>
      </w:r>
      <w:r>
        <w:rPr>
          <w:rFonts w:cs="Arial"/>
          <w:sz w:val="16"/>
          <w:szCs w:val="16"/>
        </w:rPr>
        <w:tab/>
        <w:t xml:space="preserve">Dietary folate equivalents </w:t>
      </w:r>
      <w:r w:rsidRPr="008D629B">
        <w:rPr>
          <w:rFonts w:cs="Arial"/>
          <w:sz w:val="16"/>
          <w:szCs w:val="16"/>
        </w:rPr>
        <w:t>recognise a differential bioavailability between folate and folic</w:t>
      </w:r>
      <w:r>
        <w:rPr>
          <w:rFonts w:cs="Arial"/>
          <w:sz w:val="16"/>
          <w:szCs w:val="16"/>
        </w:rPr>
        <w:t xml:space="preserve"> </w:t>
      </w:r>
      <w:r w:rsidRPr="008D629B">
        <w:rPr>
          <w:rFonts w:cs="Arial"/>
          <w:sz w:val="16"/>
          <w:szCs w:val="16"/>
        </w:rPr>
        <w:t>acid.</w:t>
      </w:r>
      <w:r>
        <w:rPr>
          <w:rFonts w:cs="Arial"/>
          <w:sz w:val="16"/>
          <w:szCs w:val="16"/>
        </w:rPr>
        <w:t xml:space="preserve"> Dietary folate equivalents = naturally occurring folates + (1.67 x folic acid). </w:t>
      </w:r>
      <w:r w:rsidRPr="008D629B">
        <w:rPr>
          <w:rFonts w:cs="Arial"/>
          <w:sz w:val="16"/>
          <w:szCs w:val="16"/>
        </w:rPr>
        <w:t>Currently the Code treats folic acid and folate as having</w:t>
      </w:r>
      <w:r>
        <w:rPr>
          <w:rFonts w:cs="Arial"/>
          <w:sz w:val="16"/>
          <w:szCs w:val="16"/>
        </w:rPr>
        <w:t xml:space="preserve"> </w:t>
      </w:r>
      <w:r w:rsidRPr="008D629B">
        <w:rPr>
          <w:rFonts w:cs="Arial"/>
          <w:sz w:val="16"/>
          <w:szCs w:val="16"/>
        </w:rPr>
        <w:t>equivalent bioavailability; this applies to reference amounts for nutrition labelling and the</w:t>
      </w:r>
      <w:r>
        <w:rPr>
          <w:rFonts w:cs="Arial"/>
          <w:sz w:val="16"/>
          <w:szCs w:val="16"/>
        </w:rPr>
        <w:t xml:space="preserve"> </w:t>
      </w:r>
      <w:r w:rsidRPr="008D629B">
        <w:rPr>
          <w:rFonts w:cs="Arial"/>
          <w:sz w:val="16"/>
          <w:szCs w:val="16"/>
        </w:rPr>
        <w:t>derivative criteria for health and nutrition claims as well as indirectly controlling voluntary</w:t>
      </w:r>
      <w:r>
        <w:rPr>
          <w:rFonts w:cs="Arial"/>
          <w:sz w:val="16"/>
          <w:szCs w:val="16"/>
        </w:rPr>
        <w:t xml:space="preserve"> </w:t>
      </w:r>
      <w:r w:rsidRPr="008D629B">
        <w:rPr>
          <w:rFonts w:cs="Arial"/>
          <w:sz w:val="16"/>
          <w:szCs w:val="16"/>
        </w:rPr>
        <w:t>fortification.</w:t>
      </w:r>
    </w:p>
    <w:p w14:paraId="577E0F98" w14:textId="0070D925" w:rsidR="00E4287E" w:rsidRDefault="00E4287E" w:rsidP="00D20A1E">
      <w:pPr>
        <w:keepNext/>
        <w:keepLines/>
        <w:widowControl/>
        <w:spacing w:before="20" w:after="20"/>
        <w:rPr>
          <w:sz w:val="16"/>
          <w:szCs w:val="16"/>
        </w:rPr>
      </w:pPr>
      <w:r>
        <w:rPr>
          <w:sz w:val="16"/>
          <w:szCs w:val="16"/>
        </w:rPr>
        <w:lastRenderedPageBreak/>
        <w:t>Notes:</w:t>
      </w:r>
    </w:p>
    <w:p w14:paraId="1A291688" w14:textId="31D198DC" w:rsidR="00E4287E" w:rsidRDefault="00E4287E" w:rsidP="00D20A1E">
      <w:pPr>
        <w:pStyle w:val="ListParagraph"/>
        <w:keepNext/>
        <w:keepLines/>
        <w:widowControl/>
        <w:numPr>
          <w:ilvl w:val="0"/>
          <w:numId w:val="27"/>
        </w:numPr>
        <w:spacing w:before="20" w:after="20"/>
        <w:ind w:left="567"/>
        <w:rPr>
          <w:sz w:val="16"/>
          <w:szCs w:val="16"/>
        </w:rPr>
      </w:pPr>
      <w:r w:rsidRPr="00E4287E">
        <w:rPr>
          <w:sz w:val="16"/>
          <w:szCs w:val="16"/>
        </w:rPr>
        <w:t>Gr</w:t>
      </w:r>
      <w:r w:rsidR="00D60EE0">
        <w:rPr>
          <w:sz w:val="16"/>
          <w:szCs w:val="16"/>
        </w:rPr>
        <w:t>e</w:t>
      </w:r>
      <w:r w:rsidRPr="00E4287E">
        <w:rPr>
          <w:sz w:val="16"/>
          <w:szCs w:val="16"/>
        </w:rPr>
        <w:t>y shading indicates that milk is a major contributing food (</w:t>
      </w:r>
      <w:r w:rsidRPr="00E4287E">
        <w:rPr>
          <w:rFonts w:cs="Arial"/>
          <w:sz w:val="16"/>
        </w:rPr>
        <w:t>≥</w:t>
      </w:r>
      <w:r w:rsidRPr="00E4287E">
        <w:rPr>
          <w:sz w:val="16"/>
        </w:rPr>
        <w:t>20%)</w:t>
      </w:r>
      <w:r w:rsidRPr="00E4287E">
        <w:rPr>
          <w:sz w:val="16"/>
          <w:szCs w:val="16"/>
        </w:rPr>
        <w:t xml:space="preserve"> to the intake of the nutrient for the population group listed.</w:t>
      </w:r>
    </w:p>
    <w:p w14:paraId="355230DB" w14:textId="2C0EAE8A" w:rsidR="00E4287E" w:rsidRPr="00E4287E" w:rsidRDefault="00E4287E" w:rsidP="00D20A1E">
      <w:pPr>
        <w:pStyle w:val="ListParagraph"/>
        <w:keepNext/>
        <w:keepLines/>
        <w:widowControl/>
        <w:numPr>
          <w:ilvl w:val="0"/>
          <w:numId w:val="27"/>
        </w:numPr>
        <w:spacing w:before="20" w:after="20"/>
        <w:ind w:left="567"/>
        <w:rPr>
          <w:sz w:val="16"/>
          <w:szCs w:val="16"/>
        </w:rPr>
      </w:pPr>
      <w:r w:rsidRPr="00E052B2">
        <w:rPr>
          <w:sz w:val="16"/>
          <w:szCs w:val="16"/>
        </w:rPr>
        <w:t xml:space="preserve">For all other vitamins and minerals and for iodine in the </w:t>
      </w:r>
      <w:r w:rsidR="00064C03">
        <w:rPr>
          <w:sz w:val="16"/>
          <w:szCs w:val="16"/>
        </w:rPr>
        <w:t>2002 NZCNS</w:t>
      </w:r>
      <w:r w:rsidRPr="00E052B2">
        <w:rPr>
          <w:sz w:val="16"/>
          <w:szCs w:val="16"/>
        </w:rPr>
        <w:t>, milk includes fluid milk, evaporated milk, condensed milk and milk powder (including undiluted and dry forms). Milkshakes, flavoured milks and milk used in recipes are not included.</w:t>
      </w:r>
    </w:p>
    <w:p w14:paraId="367F355F" w14:textId="24AA6037" w:rsidR="00686EE1" w:rsidRDefault="00686EE1" w:rsidP="00D20A1E">
      <w:pPr>
        <w:widowControl/>
      </w:pPr>
      <w:r>
        <w:br w:type="page"/>
      </w:r>
    </w:p>
    <w:p w14:paraId="7BCECF8C" w14:textId="3ECA34CD" w:rsidR="000D5096" w:rsidRDefault="00FA3023" w:rsidP="00D20A1E">
      <w:pPr>
        <w:pStyle w:val="FSTableTitle"/>
        <w:keepNext/>
        <w:keepLines/>
        <w:widowControl/>
      </w:pPr>
      <w:bookmarkStart w:id="202" w:name="_Ref420331744"/>
      <w:r>
        <w:lastRenderedPageBreak/>
        <w:t>Table A1.</w:t>
      </w:r>
      <w:fldSimple w:instr=" SEQ Table_A1. \* ARABIC ">
        <w:r w:rsidR="00047581">
          <w:rPr>
            <w:noProof/>
          </w:rPr>
          <w:t>6</w:t>
        </w:r>
      </w:fldSimple>
      <w:bookmarkEnd w:id="202"/>
      <w:r w:rsidR="000D5096">
        <w:t>:</w:t>
      </w:r>
      <w:r w:rsidR="00F6296A">
        <w:t xml:space="preserve"> </w:t>
      </w:r>
      <w:r w:rsidR="000D5096">
        <w:t xml:space="preserve">Estimated mean intakes (per day) of vitamins and minerals for Australia and New Zealand, </w:t>
      </w:r>
      <w:r w:rsidR="002745A5">
        <w:t>based on</w:t>
      </w:r>
      <w:r w:rsidR="000D5096">
        <w:t xml:space="preserve"> cereal-based beverage assessment (A500)</w:t>
      </w:r>
    </w:p>
    <w:p w14:paraId="6213BC59" w14:textId="77777777" w:rsidR="0023423F" w:rsidRPr="0023423F" w:rsidRDefault="0023423F" w:rsidP="0023423F"/>
    <w:tbl>
      <w:tblPr>
        <w:tblW w:w="13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8"/>
        <w:gridCol w:w="1203"/>
        <w:gridCol w:w="1781"/>
        <w:gridCol w:w="3531"/>
        <w:gridCol w:w="2159"/>
        <w:gridCol w:w="1873"/>
        <w:gridCol w:w="1876"/>
      </w:tblGrid>
      <w:tr w:rsidR="000D5096" w:rsidRPr="00A36B68" w14:paraId="1BD2AC13" w14:textId="77777777" w:rsidTr="00577EF3">
        <w:trPr>
          <w:tblHeader/>
        </w:trPr>
        <w:tc>
          <w:tcPr>
            <w:tcW w:w="1558" w:type="dxa"/>
            <w:tcBorders>
              <w:bottom w:val="nil"/>
            </w:tcBorders>
            <w:shd w:val="clear" w:color="auto" w:fill="B8CCE4" w:themeFill="accent1" w:themeFillTint="66"/>
            <w:noWrap/>
            <w:tcMar>
              <w:top w:w="12" w:type="dxa"/>
              <w:left w:w="12" w:type="dxa"/>
              <w:bottom w:w="0" w:type="dxa"/>
              <w:right w:w="12" w:type="dxa"/>
            </w:tcMar>
            <w:vAlign w:val="center"/>
          </w:tcPr>
          <w:p w14:paraId="47FD1A21" w14:textId="77777777" w:rsidR="000D5096" w:rsidRDefault="000D5096" w:rsidP="00D20A1E">
            <w:pPr>
              <w:keepNext/>
              <w:keepLines/>
              <w:widowControl/>
              <w:rPr>
                <w:rFonts w:cs="Arial"/>
                <w:b/>
                <w:bCs/>
                <w:sz w:val="20"/>
                <w:szCs w:val="20"/>
              </w:rPr>
            </w:pPr>
            <w:r w:rsidRPr="00A36B68">
              <w:rPr>
                <w:rFonts w:cs="Arial"/>
                <w:b/>
                <w:bCs/>
                <w:sz w:val="20"/>
                <w:szCs w:val="20"/>
              </w:rPr>
              <w:t>Vitamin/</w:t>
            </w:r>
          </w:p>
          <w:p w14:paraId="53E04FF6" w14:textId="77777777" w:rsidR="000D5096" w:rsidRPr="00A36B68" w:rsidRDefault="000D5096" w:rsidP="00D20A1E">
            <w:pPr>
              <w:keepNext/>
              <w:keepLines/>
              <w:widowControl/>
              <w:rPr>
                <w:rFonts w:eastAsia="Arial Unicode MS" w:cs="Arial"/>
                <w:b/>
                <w:bCs/>
                <w:sz w:val="20"/>
                <w:szCs w:val="20"/>
              </w:rPr>
            </w:pPr>
            <w:r w:rsidRPr="00A36B68">
              <w:rPr>
                <w:rFonts w:cs="Arial"/>
                <w:b/>
                <w:bCs/>
                <w:sz w:val="20"/>
                <w:szCs w:val="20"/>
              </w:rPr>
              <w:t>Mineral</w:t>
            </w:r>
          </w:p>
        </w:tc>
        <w:tc>
          <w:tcPr>
            <w:tcW w:w="1203" w:type="dxa"/>
            <w:tcBorders>
              <w:bottom w:val="nil"/>
            </w:tcBorders>
            <w:shd w:val="clear" w:color="auto" w:fill="B8CCE4" w:themeFill="accent1" w:themeFillTint="66"/>
            <w:noWrap/>
            <w:tcMar>
              <w:top w:w="12" w:type="dxa"/>
              <w:left w:w="12" w:type="dxa"/>
              <w:bottom w:w="0" w:type="dxa"/>
              <w:right w:w="12" w:type="dxa"/>
            </w:tcMar>
            <w:vAlign w:val="center"/>
          </w:tcPr>
          <w:p w14:paraId="5F686064" w14:textId="77777777" w:rsidR="000D5096" w:rsidRPr="00A36B68" w:rsidRDefault="000D5096" w:rsidP="00D20A1E">
            <w:pPr>
              <w:keepNext/>
              <w:keepLines/>
              <w:widowControl/>
              <w:rPr>
                <w:rFonts w:eastAsia="Arial Unicode MS" w:cs="Arial"/>
                <w:b/>
                <w:bCs/>
                <w:sz w:val="20"/>
                <w:szCs w:val="20"/>
              </w:rPr>
            </w:pPr>
            <w:r w:rsidRPr="00A36B68">
              <w:rPr>
                <w:rFonts w:cs="Arial"/>
                <w:b/>
                <w:bCs/>
                <w:sz w:val="20"/>
                <w:szCs w:val="20"/>
              </w:rPr>
              <w:t>Country</w:t>
            </w:r>
          </w:p>
        </w:tc>
        <w:tc>
          <w:tcPr>
            <w:tcW w:w="1781" w:type="dxa"/>
            <w:tcBorders>
              <w:bottom w:val="nil"/>
            </w:tcBorders>
            <w:shd w:val="clear" w:color="auto" w:fill="B8CCE4" w:themeFill="accent1" w:themeFillTint="66"/>
            <w:tcMar>
              <w:top w:w="12" w:type="dxa"/>
              <w:left w:w="12" w:type="dxa"/>
              <w:bottom w:w="0" w:type="dxa"/>
              <w:right w:w="12" w:type="dxa"/>
            </w:tcMar>
            <w:vAlign w:val="center"/>
          </w:tcPr>
          <w:p w14:paraId="4246B5DE" w14:textId="77777777" w:rsidR="000D5096" w:rsidRPr="00A36B68" w:rsidRDefault="000D5096" w:rsidP="00D20A1E">
            <w:pPr>
              <w:keepNext/>
              <w:keepLines/>
              <w:widowControl/>
              <w:rPr>
                <w:rFonts w:eastAsia="Arial Unicode MS" w:cs="Arial"/>
                <w:b/>
                <w:bCs/>
                <w:sz w:val="20"/>
                <w:szCs w:val="20"/>
              </w:rPr>
            </w:pPr>
            <w:r w:rsidRPr="00A36B68">
              <w:rPr>
                <w:rFonts w:cs="Arial"/>
                <w:b/>
                <w:bCs/>
                <w:sz w:val="20"/>
                <w:szCs w:val="20"/>
              </w:rPr>
              <w:t>Population Group^</w:t>
            </w:r>
          </w:p>
        </w:tc>
        <w:tc>
          <w:tcPr>
            <w:tcW w:w="9439" w:type="dxa"/>
            <w:gridSpan w:val="4"/>
            <w:shd w:val="clear" w:color="auto" w:fill="B8CCE4" w:themeFill="accent1" w:themeFillTint="66"/>
            <w:vAlign w:val="center"/>
          </w:tcPr>
          <w:p w14:paraId="2DBBE1D0" w14:textId="57B1A1AA" w:rsidR="000D5096" w:rsidRPr="00A36B68" w:rsidRDefault="00AD191F" w:rsidP="00D20A1E">
            <w:pPr>
              <w:keepNext/>
              <w:keepLines/>
              <w:widowControl/>
              <w:jc w:val="center"/>
              <w:rPr>
                <w:rFonts w:cs="Arial"/>
                <w:b/>
                <w:bCs/>
                <w:sz w:val="20"/>
                <w:szCs w:val="20"/>
              </w:rPr>
            </w:pPr>
            <w:r>
              <w:rPr>
                <w:rFonts w:cs="Arial"/>
                <w:b/>
                <w:bCs/>
                <w:sz w:val="20"/>
                <w:szCs w:val="20"/>
              </w:rPr>
              <w:t>Estimated m</w:t>
            </w:r>
            <w:r w:rsidR="000D5096" w:rsidRPr="00A36B68">
              <w:rPr>
                <w:rFonts w:cs="Arial"/>
                <w:b/>
                <w:bCs/>
                <w:sz w:val="20"/>
                <w:szCs w:val="20"/>
              </w:rPr>
              <w:t>ean intake per day</w:t>
            </w:r>
          </w:p>
        </w:tc>
      </w:tr>
      <w:tr w:rsidR="000D5096" w:rsidRPr="00A36B68" w14:paraId="6049C05E" w14:textId="77777777" w:rsidTr="00A92E94">
        <w:trPr>
          <w:tblHeader/>
        </w:trPr>
        <w:tc>
          <w:tcPr>
            <w:tcW w:w="1558" w:type="dxa"/>
            <w:tcBorders>
              <w:top w:val="nil"/>
              <w:bottom w:val="nil"/>
            </w:tcBorders>
            <w:shd w:val="clear" w:color="auto" w:fill="B8CCE4" w:themeFill="accent1" w:themeFillTint="66"/>
            <w:noWrap/>
            <w:tcMar>
              <w:top w:w="12" w:type="dxa"/>
              <w:left w:w="12" w:type="dxa"/>
              <w:bottom w:w="0" w:type="dxa"/>
              <w:right w:w="12" w:type="dxa"/>
            </w:tcMar>
            <w:vAlign w:val="center"/>
          </w:tcPr>
          <w:p w14:paraId="7C2021A0" w14:textId="77777777" w:rsidR="000D5096" w:rsidRPr="00A36B68" w:rsidRDefault="000D5096" w:rsidP="00D20A1E">
            <w:pPr>
              <w:keepNext/>
              <w:keepLines/>
              <w:widowControl/>
              <w:rPr>
                <w:rFonts w:cs="Arial"/>
                <w:b/>
                <w:bCs/>
                <w:sz w:val="20"/>
                <w:szCs w:val="20"/>
              </w:rPr>
            </w:pPr>
          </w:p>
        </w:tc>
        <w:tc>
          <w:tcPr>
            <w:tcW w:w="1203" w:type="dxa"/>
            <w:tcBorders>
              <w:top w:val="nil"/>
              <w:bottom w:val="nil"/>
            </w:tcBorders>
            <w:shd w:val="clear" w:color="auto" w:fill="B8CCE4" w:themeFill="accent1" w:themeFillTint="66"/>
            <w:noWrap/>
            <w:tcMar>
              <w:top w:w="12" w:type="dxa"/>
              <w:left w:w="12" w:type="dxa"/>
              <w:bottom w:w="0" w:type="dxa"/>
              <w:right w:w="12" w:type="dxa"/>
            </w:tcMar>
            <w:vAlign w:val="center"/>
          </w:tcPr>
          <w:p w14:paraId="77B6F753" w14:textId="77777777" w:rsidR="000D5096" w:rsidRPr="00A36B68" w:rsidRDefault="000D5096" w:rsidP="00D20A1E">
            <w:pPr>
              <w:keepNext/>
              <w:keepLines/>
              <w:widowControl/>
              <w:rPr>
                <w:rFonts w:cs="Arial"/>
                <w:b/>
                <w:bCs/>
                <w:sz w:val="20"/>
                <w:szCs w:val="20"/>
              </w:rPr>
            </w:pPr>
          </w:p>
        </w:tc>
        <w:tc>
          <w:tcPr>
            <w:tcW w:w="1781" w:type="dxa"/>
            <w:tcBorders>
              <w:top w:val="nil"/>
              <w:bottom w:val="nil"/>
            </w:tcBorders>
            <w:shd w:val="clear" w:color="auto" w:fill="B8CCE4" w:themeFill="accent1" w:themeFillTint="66"/>
            <w:tcMar>
              <w:top w:w="12" w:type="dxa"/>
              <w:left w:w="12" w:type="dxa"/>
              <w:bottom w:w="0" w:type="dxa"/>
              <w:right w:w="12" w:type="dxa"/>
            </w:tcMar>
            <w:vAlign w:val="center"/>
          </w:tcPr>
          <w:p w14:paraId="413B2343" w14:textId="77777777" w:rsidR="000D5096" w:rsidRPr="00A36B68" w:rsidRDefault="000D5096" w:rsidP="00D20A1E">
            <w:pPr>
              <w:keepNext/>
              <w:keepLines/>
              <w:widowControl/>
              <w:jc w:val="center"/>
              <w:rPr>
                <w:rFonts w:cs="Arial"/>
                <w:b/>
                <w:bCs/>
                <w:sz w:val="20"/>
                <w:szCs w:val="20"/>
              </w:rPr>
            </w:pPr>
          </w:p>
        </w:tc>
        <w:tc>
          <w:tcPr>
            <w:tcW w:w="3531" w:type="dxa"/>
            <w:tcBorders>
              <w:bottom w:val="single" w:sz="4" w:space="0" w:color="auto"/>
            </w:tcBorders>
            <w:shd w:val="clear" w:color="auto" w:fill="B8CCE4" w:themeFill="accent1" w:themeFillTint="66"/>
            <w:vAlign w:val="center"/>
          </w:tcPr>
          <w:p w14:paraId="14C4A1C7" w14:textId="77777777" w:rsidR="000D5096" w:rsidRPr="00A36B68" w:rsidRDefault="000D5096" w:rsidP="00D20A1E">
            <w:pPr>
              <w:keepNext/>
              <w:keepLines/>
              <w:widowControl/>
              <w:jc w:val="center"/>
              <w:rPr>
                <w:rFonts w:cs="Arial"/>
                <w:b/>
                <w:sz w:val="20"/>
                <w:szCs w:val="20"/>
              </w:rPr>
            </w:pPr>
            <w:r>
              <w:rPr>
                <w:rFonts w:cs="Arial"/>
                <w:b/>
                <w:sz w:val="20"/>
                <w:szCs w:val="20"/>
              </w:rPr>
              <w:t>General population</w:t>
            </w:r>
          </w:p>
        </w:tc>
        <w:tc>
          <w:tcPr>
            <w:tcW w:w="5908" w:type="dxa"/>
            <w:gridSpan w:val="3"/>
            <w:shd w:val="clear" w:color="auto" w:fill="B8CCE4" w:themeFill="accent1" w:themeFillTint="66"/>
            <w:tcMar>
              <w:top w:w="12" w:type="dxa"/>
              <w:left w:w="12" w:type="dxa"/>
              <w:bottom w:w="0" w:type="dxa"/>
              <w:right w:w="12" w:type="dxa"/>
            </w:tcMar>
            <w:vAlign w:val="center"/>
          </w:tcPr>
          <w:p w14:paraId="567EFA00" w14:textId="77777777" w:rsidR="000D5096" w:rsidRPr="00A36B68" w:rsidRDefault="000D5096" w:rsidP="00D20A1E">
            <w:pPr>
              <w:keepNext/>
              <w:keepLines/>
              <w:widowControl/>
              <w:jc w:val="center"/>
              <w:rPr>
                <w:rFonts w:cs="Arial"/>
                <w:b/>
                <w:bCs/>
                <w:sz w:val="20"/>
                <w:szCs w:val="20"/>
              </w:rPr>
            </w:pPr>
            <w:r>
              <w:rPr>
                <w:rFonts w:cs="Arial"/>
                <w:b/>
                <w:sz w:val="20"/>
                <w:szCs w:val="20"/>
              </w:rPr>
              <w:t>Non-dairy consumers</w:t>
            </w:r>
          </w:p>
        </w:tc>
      </w:tr>
      <w:tr w:rsidR="00A92E94" w:rsidRPr="00A36B68" w14:paraId="2D49B40D" w14:textId="77777777" w:rsidTr="005B06AF">
        <w:trPr>
          <w:tblHeader/>
        </w:trPr>
        <w:tc>
          <w:tcPr>
            <w:tcW w:w="1558" w:type="dxa"/>
            <w:tcBorders>
              <w:top w:val="nil"/>
              <w:bottom w:val="nil"/>
            </w:tcBorders>
            <w:shd w:val="clear" w:color="auto" w:fill="B8CCE4" w:themeFill="accent1" w:themeFillTint="66"/>
            <w:noWrap/>
            <w:tcMar>
              <w:top w:w="12" w:type="dxa"/>
              <w:left w:w="12" w:type="dxa"/>
              <w:bottom w:w="0" w:type="dxa"/>
              <w:right w:w="12" w:type="dxa"/>
            </w:tcMar>
            <w:vAlign w:val="center"/>
          </w:tcPr>
          <w:p w14:paraId="0865C559" w14:textId="77777777" w:rsidR="00A92E94" w:rsidRPr="00A36B68" w:rsidRDefault="00A92E94" w:rsidP="00D20A1E">
            <w:pPr>
              <w:keepNext/>
              <w:keepLines/>
              <w:widowControl/>
              <w:rPr>
                <w:rFonts w:cs="Arial"/>
                <w:b/>
                <w:bCs/>
                <w:sz w:val="20"/>
                <w:szCs w:val="20"/>
              </w:rPr>
            </w:pPr>
          </w:p>
        </w:tc>
        <w:tc>
          <w:tcPr>
            <w:tcW w:w="1203" w:type="dxa"/>
            <w:tcBorders>
              <w:top w:val="nil"/>
              <w:bottom w:val="nil"/>
            </w:tcBorders>
            <w:shd w:val="clear" w:color="auto" w:fill="B8CCE4" w:themeFill="accent1" w:themeFillTint="66"/>
            <w:noWrap/>
            <w:tcMar>
              <w:top w:w="12" w:type="dxa"/>
              <w:left w:w="12" w:type="dxa"/>
              <w:bottom w:w="0" w:type="dxa"/>
              <w:right w:w="12" w:type="dxa"/>
            </w:tcMar>
            <w:vAlign w:val="center"/>
          </w:tcPr>
          <w:p w14:paraId="435089B9" w14:textId="77777777" w:rsidR="00A92E94" w:rsidRPr="00A36B68" w:rsidRDefault="00A92E94" w:rsidP="00D20A1E">
            <w:pPr>
              <w:keepNext/>
              <w:keepLines/>
              <w:widowControl/>
              <w:rPr>
                <w:rFonts w:cs="Arial"/>
                <w:b/>
                <w:bCs/>
                <w:sz w:val="20"/>
                <w:szCs w:val="20"/>
              </w:rPr>
            </w:pPr>
          </w:p>
        </w:tc>
        <w:tc>
          <w:tcPr>
            <w:tcW w:w="1781" w:type="dxa"/>
            <w:tcBorders>
              <w:top w:val="nil"/>
              <w:bottom w:val="nil"/>
            </w:tcBorders>
            <w:shd w:val="clear" w:color="auto" w:fill="B8CCE4" w:themeFill="accent1" w:themeFillTint="66"/>
            <w:tcMar>
              <w:top w:w="12" w:type="dxa"/>
              <w:left w:w="12" w:type="dxa"/>
              <w:bottom w:w="0" w:type="dxa"/>
              <w:right w:w="12" w:type="dxa"/>
            </w:tcMar>
            <w:vAlign w:val="center"/>
          </w:tcPr>
          <w:p w14:paraId="03C0665D" w14:textId="77777777" w:rsidR="00A92E94" w:rsidRPr="00A36B68" w:rsidRDefault="00A92E94" w:rsidP="00D20A1E">
            <w:pPr>
              <w:keepNext/>
              <w:keepLines/>
              <w:widowControl/>
              <w:jc w:val="center"/>
              <w:rPr>
                <w:rFonts w:cs="Arial"/>
                <w:b/>
                <w:bCs/>
                <w:sz w:val="20"/>
                <w:szCs w:val="20"/>
              </w:rPr>
            </w:pPr>
          </w:p>
        </w:tc>
        <w:tc>
          <w:tcPr>
            <w:tcW w:w="3531" w:type="dxa"/>
            <w:vMerge w:val="restart"/>
            <w:shd w:val="clear" w:color="auto" w:fill="B8CCE4" w:themeFill="accent1" w:themeFillTint="66"/>
            <w:vAlign w:val="center"/>
          </w:tcPr>
          <w:p w14:paraId="07239D55" w14:textId="77777777" w:rsidR="00A92E94" w:rsidRPr="00A36B68" w:rsidRDefault="00A92E94" w:rsidP="00D20A1E">
            <w:pPr>
              <w:keepNext/>
              <w:keepLines/>
              <w:widowControl/>
              <w:spacing w:before="60"/>
              <w:jc w:val="center"/>
              <w:rPr>
                <w:rFonts w:cs="Arial"/>
                <w:b/>
                <w:bCs/>
                <w:sz w:val="20"/>
                <w:szCs w:val="20"/>
              </w:rPr>
            </w:pPr>
            <w:r>
              <w:rPr>
                <w:rFonts w:cs="Arial"/>
                <w:b/>
                <w:sz w:val="20"/>
                <w:szCs w:val="20"/>
              </w:rPr>
              <w:t>(includes dairy and non-dairy consumers)</w:t>
            </w:r>
          </w:p>
        </w:tc>
        <w:tc>
          <w:tcPr>
            <w:tcW w:w="2159" w:type="dxa"/>
            <w:vMerge w:val="restart"/>
            <w:shd w:val="clear" w:color="auto" w:fill="B8CCE4" w:themeFill="accent1" w:themeFillTint="66"/>
            <w:tcMar>
              <w:top w:w="12" w:type="dxa"/>
              <w:left w:w="12" w:type="dxa"/>
              <w:bottom w:w="0" w:type="dxa"/>
              <w:right w:w="12" w:type="dxa"/>
            </w:tcMar>
            <w:vAlign w:val="center"/>
          </w:tcPr>
          <w:p w14:paraId="7C578B69" w14:textId="7F391597" w:rsidR="00A92E94" w:rsidRPr="00A36B68" w:rsidRDefault="00A92E94" w:rsidP="00D20A1E">
            <w:pPr>
              <w:keepNext/>
              <w:keepLines/>
              <w:widowControl/>
              <w:spacing w:before="60"/>
              <w:jc w:val="center"/>
              <w:rPr>
                <w:rFonts w:cs="Arial"/>
                <w:b/>
                <w:bCs/>
                <w:sz w:val="20"/>
                <w:szCs w:val="20"/>
              </w:rPr>
            </w:pPr>
            <w:r>
              <w:rPr>
                <w:rFonts w:cs="Arial"/>
                <w:b/>
                <w:sz w:val="20"/>
                <w:szCs w:val="20"/>
              </w:rPr>
              <w:t>(w</w:t>
            </w:r>
            <w:r w:rsidRPr="00A36B68">
              <w:rPr>
                <w:rFonts w:cs="Arial"/>
                <w:b/>
                <w:sz w:val="20"/>
                <w:szCs w:val="20"/>
              </w:rPr>
              <w:t xml:space="preserve">ith or without consumption of </w:t>
            </w:r>
            <w:r>
              <w:rPr>
                <w:rFonts w:cs="Arial"/>
                <w:b/>
                <w:sz w:val="20"/>
                <w:szCs w:val="20"/>
              </w:rPr>
              <w:t xml:space="preserve">unfortified </w:t>
            </w:r>
            <w:r w:rsidR="003D608F">
              <w:rPr>
                <w:rFonts w:cs="Arial"/>
                <w:b/>
                <w:sz w:val="20"/>
                <w:szCs w:val="20"/>
              </w:rPr>
              <w:t>plant-based milk substitute</w:t>
            </w:r>
            <w:r w:rsidRPr="00A36B68">
              <w:rPr>
                <w:rFonts w:cs="Arial"/>
                <w:b/>
                <w:sz w:val="20"/>
                <w:szCs w:val="20"/>
              </w:rPr>
              <w:t>s</w:t>
            </w:r>
            <w:r>
              <w:rPr>
                <w:rFonts w:cs="Arial"/>
                <w:b/>
                <w:sz w:val="20"/>
                <w:szCs w:val="20"/>
              </w:rPr>
              <w:t>)</w:t>
            </w:r>
          </w:p>
        </w:tc>
        <w:tc>
          <w:tcPr>
            <w:tcW w:w="3749" w:type="dxa"/>
            <w:gridSpan w:val="2"/>
            <w:shd w:val="clear" w:color="auto" w:fill="B8CCE4" w:themeFill="accent1" w:themeFillTint="66"/>
            <w:vAlign w:val="center"/>
          </w:tcPr>
          <w:p w14:paraId="458C2A90" w14:textId="5F6D2F04" w:rsidR="00A92E94" w:rsidRPr="00A36B68" w:rsidRDefault="00A92E94" w:rsidP="00D20A1E">
            <w:pPr>
              <w:keepNext/>
              <w:keepLines/>
              <w:widowControl/>
              <w:spacing w:before="60"/>
              <w:jc w:val="center"/>
              <w:rPr>
                <w:rFonts w:cs="Arial"/>
                <w:b/>
                <w:bCs/>
                <w:sz w:val="20"/>
                <w:szCs w:val="20"/>
              </w:rPr>
            </w:pPr>
            <w:r>
              <w:rPr>
                <w:rFonts w:cs="Arial"/>
                <w:b/>
                <w:sz w:val="20"/>
                <w:szCs w:val="20"/>
              </w:rPr>
              <w:t xml:space="preserve">(with </w:t>
            </w:r>
            <w:r w:rsidRPr="00A36B68">
              <w:rPr>
                <w:rFonts w:cs="Arial"/>
                <w:b/>
                <w:sz w:val="20"/>
                <w:szCs w:val="20"/>
              </w:rPr>
              <w:t xml:space="preserve">consumption of </w:t>
            </w:r>
            <w:r w:rsidR="003D608F">
              <w:rPr>
                <w:rFonts w:cs="Arial"/>
                <w:b/>
                <w:sz w:val="20"/>
                <w:szCs w:val="20"/>
              </w:rPr>
              <w:t>plant-based milk substitute</w:t>
            </w:r>
            <w:r w:rsidRPr="00A36B68">
              <w:rPr>
                <w:rFonts w:cs="Arial"/>
                <w:b/>
                <w:sz w:val="20"/>
                <w:szCs w:val="20"/>
              </w:rPr>
              <w:t>s</w:t>
            </w:r>
            <w:r w:rsidR="00D1269A">
              <w:rPr>
                <w:rFonts w:cs="Arial"/>
                <w:b/>
                <w:sz w:val="20"/>
                <w:szCs w:val="20"/>
              </w:rPr>
              <w:t xml:space="preserve"> only</w:t>
            </w:r>
            <w:r>
              <w:rPr>
                <w:rFonts w:cs="Arial"/>
                <w:b/>
                <w:sz w:val="20"/>
                <w:szCs w:val="20"/>
              </w:rPr>
              <w:t>)</w:t>
            </w:r>
          </w:p>
        </w:tc>
      </w:tr>
      <w:tr w:rsidR="00A92E94" w:rsidRPr="00A36B68" w14:paraId="47D76558" w14:textId="77777777" w:rsidTr="005B06AF">
        <w:trPr>
          <w:tblHeader/>
        </w:trPr>
        <w:tc>
          <w:tcPr>
            <w:tcW w:w="1558" w:type="dxa"/>
            <w:tcBorders>
              <w:top w:val="nil"/>
              <w:bottom w:val="single" w:sz="4" w:space="0" w:color="auto"/>
            </w:tcBorders>
            <w:shd w:val="clear" w:color="auto" w:fill="B8CCE4" w:themeFill="accent1" w:themeFillTint="66"/>
            <w:noWrap/>
            <w:tcMar>
              <w:top w:w="12" w:type="dxa"/>
              <w:left w:w="12" w:type="dxa"/>
              <w:bottom w:w="0" w:type="dxa"/>
              <w:right w:w="12" w:type="dxa"/>
            </w:tcMar>
            <w:vAlign w:val="center"/>
          </w:tcPr>
          <w:p w14:paraId="7F8D131C" w14:textId="77777777" w:rsidR="00A92E94" w:rsidRPr="00A36B68" w:rsidRDefault="00A92E94" w:rsidP="00D20A1E">
            <w:pPr>
              <w:keepNext/>
              <w:keepLines/>
              <w:widowControl/>
              <w:rPr>
                <w:rFonts w:cs="Arial"/>
                <w:b/>
                <w:bCs/>
                <w:sz w:val="20"/>
                <w:szCs w:val="20"/>
              </w:rPr>
            </w:pPr>
          </w:p>
        </w:tc>
        <w:tc>
          <w:tcPr>
            <w:tcW w:w="1203" w:type="dxa"/>
            <w:tcBorders>
              <w:top w:val="nil"/>
              <w:bottom w:val="single" w:sz="4" w:space="0" w:color="auto"/>
            </w:tcBorders>
            <w:shd w:val="clear" w:color="auto" w:fill="B8CCE4" w:themeFill="accent1" w:themeFillTint="66"/>
            <w:noWrap/>
            <w:tcMar>
              <w:top w:w="12" w:type="dxa"/>
              <w:left w:w="12" w:type="dxa"/>
              <w:bottom w:w="0" w:type="dxa"/>
              <w:right w:w="12" w:type="dxa"/>
            </w:tcMar>
            <w:vAlign w:val="center"/>
          </w:tcPr>
          <w:p w14:paraId="622328CF" w14:textId="77777777" w:rsidR="00A92E94" w:rsidRPr="00A36B68" w:rsidRDefault="00A92E94" w:rsidP="00D20A1E">
            <w:pPr>
              <w:keepNext/>
              <w:keepLines/>
              <w:widowControl/>
              <w:rPr>
                <w:rFonts w:cs="Arial"/>
                <w:b/>
                <w:bCs/>
                <w:sz w:val="20"/>
                <w:szCs w:val="20"/>
              </w:rPr>
            </w:pPr>
          </w:p>
        </w:tc>
        <w:tc>
          <w:tcPr>
            <w:tcW w:w="1781" w:type="dxa"/>
            <w:tcBorders>
              <w:top w:val="nil"/>
            </w:tcBorders>
            <w:shd w:val="clear" w:color="auto" w:fill="B8CCE4" w:themeFill="accent1" w:themeFillTint="66"/>
            <w:tcMar>
              <w:top w:w="12" w:type="dxa"/>
              <w:left w:w="12" w:type="dxa"/>
              <w:bottom w:w="0" w:type="dxa"/>
              <w:right w:w="12" w:type="dxa"/>
            </w:tcMar>
            <w:vAlign w:val="center"/>
          </w:tcPr>
          <w:p w14:paraId="79E16EFA" w14:textId="77777777" w:rsidR="00A92E94" w:rsidRPr="00A36B68" w:rsidRDefault="00A92E94" w:rsidP="00D20A1E">
            <w:pPr>
              <w:keepNext/>
              <w:keepLines/>
              <w:widowControl/>
              <w:jc w:val="center"/>
              <w:rPr>
                <w:rFonts w:cs="Arial"/>
                <w:b/>
                <w:bCs/>
                <w:sz w:val="20"/>
                <w:szCs w:val="20"/>
              </w:rPr>
            </w:pPr>
          </w:p>
        </w:tc>
        <w:tc>
          <w:tcPr>
            <w:tcW w:w="3531" w:type="dxa"/>
            <w:vMerge/>
            <w:shd w:val="clear" w:color="auto" w:fill="B8CCE4" w:themeFill="accent1" w:themeFillTint="66"/>
            <w:vAlign w:val="center"/>
          </w:tcPr>
          <w:p w14:paraId="586B6E98" w14:textId="77777777" w:rsidR="00A92E94" w:rsidRPr="00A36B68" w:rsidRDefault="00A92E94" w:rsidP="00D20A1E">
            <w:pPr>
              <w:keepNext/>
              <w:keepLines/>
              <w:widowControl/>
              <w:jc w:val="center"/>
              <w:rPr>
                <w:rFonts w:cs="Arial"/>
                <w:b/>
                <w:bCs/>
                <w:sz w:val="20"/>
                <w:szCs w:val="20"/>
              </w:rPr>
            </w:pPr>
          </w:p>
        </w:tc>
        <w:tc>
          <w:tcPr>
            <w:tcW w:w="2159" w:type="dxa"/>
            <w:vMerge/>
            <w:shd w:val="clear" w:color="auto" w:fill="B8CCE4" w:themeFill="accent1" w:themeFillTint="66"/>
            <w:tcMar>
              <w:top w:w="12" w:type="dxa"/>
              <w:left w:w="12" w:type="dxa"/>
              <w:bottom w:w="0" w:type="dxa"/>
              <w:right w:w="12" w:type="dxa"/>
            </w:tcMar>
            <w:vAlign w:val="center"/>
          </w:tcPr>
          <w:p w14:paraId="2C7EAE23" w14:textId="77777777" w:rsidR="00A92E94" w:rsidRPr="00A36B68" w:rsidRDefault="00A92E94" w:rsidP="00D20A1E">
            <w:pPr>
              <w:keepNext/>
              <w:keepLines/>
              <w:widowControl/>
              <w:jc w:val="center"/>
              <w:rPr>
                <w:rFonts w:cs="Arial"/>
                <w:b/>
                <w:bCs/>
                <w:sz w:val="20"/>
                <w:szCs w:val="20"/>
              </w:rPr>
            </w:pPr>
          </w:p>
        </w:tc>
        <w:tc>
          <w:tcPr>
            <w:tcW w:w="1873" w:type="dxa"/>
            <w:shd w:val="clear" w:color="auto" w:fill="B8CCE4" w:themeFill="accent1" w:themeFillTint="66"/>
            <w:vAlign w:val="center"/>
          </w:tcPr>
          <w:p w14:paraId="12EB444B" w14:textId="77777777" w:rsidR="00A92E94" w:rsidRPr="00A36B68" w:rsidRDefault="00A92E94" w:rsidP="00D20A1E">
            <w:pPr>
              <w:keepNext/>
              <w:keepLines/>
              <w:widowControl/>
              <w:jc w:val="center"/>
              <w:rPr>
                <w:rFonts w:cs="Arial"/>
                <w:b/>
                <w:sz w:val="20"/>
                <w:szCs w:val="20"/>
              </w:rPr>
            </w:pPr>
            <w:r w:rsidRPr="00A36B68">
              <w:rPr>
                <w:rFonts w:cs="Arial"/>
                <w:b/>
                <w:sz w:val="20"/>
                <w:szCs w:val="20"/>
              </w:rPr>
              <w:t>Unfortified</w:t>
            </w:r>
          </w:p>
        </w:tc>
        <w:tc>
          <w:tcPr>
            <w:tcW w:w="1876" w:type="dxa"/>
            <w:shd w:val="clear" w:color="auto" w:fill="B8CCE4" w:themeFill="accent1" w:themeFillTint="66"/>
            <w:vAlign w:val="center"/>
          </w:tcPr>
          <w:p w14:paraId="66A7A0F9" w14:textId="77777777" w:rsidR="00A92E94" w:rsidRPr="00A36B68" w:rsidRDefault="00A92E94" w:rsidP="00D20A1E">
            <w:pPr>
              <w:keepNext/>
              <w:keepLines/>
              <w:widowControl/>
              <w:jc w:val="center"/>
              <w:rPr>
                <w:rFonts w:cs="Arial"/>
                <w:b/>
                <w:sz w:val="20"/>
                <w:szCs w:val="20"/>
              </w:rPr>
            </w:pPr>
            <w:r w:rsidRPr="00A36B68">
              <w:rPr>
                <w:rFonts w:cs="Arial"/>
                <w:b/>
                <w:bCs/>
                <w:sz w:val="20"/>
                <w:szCs w:val="20"/>
              </w:rPr>
              <w:t>Fortified</w:t>
            </w:r>
          </w:p>
        </w:tc>
      </w:tr>
      <w:tr w:rsidR="000D5096" w:rsidRPr="00A36B68" w14:paraId="268CAB3D" w14:textId="77777777" w:rsidTr="00577EF3">
        <w:trPr>
          <w:trHeight w:val="264"/>
        </w:trPr>
        <w:tc>
          <w:tcPr>
            <w:tcW w:w="1558" w:type="dxa"/>
            <w:tcBorders>
              <w:bottom w:val="nil"/>
            </w:tcBorders>
            <w:noWrap/>
            <w:tcMar>
              <w:top w:w="12" w:type="dxa"/>
              <w:left w:w="12" w:type="dxa"/>
              <w:bottom w:w="0" w:type="dxa"/>
              <w:right w:w="12" w:type="dxa"/>
            </w:tcMar>
            <w:vAlign w:val="center"/>
          </w:tcPr>
          <w:p w14:paraId="2D57C899"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Calcium (mg)</w:t>
            </w:r>
          </w:p>
        </w:tc>
        <w:tc>
          <w:tcPr>
            <w:tcW w:w="1203" w:type="dxa"/>
            <w:tcBorders>
              <w:bottom w:val="nil"/>
            </w:tcBorders>
            <w:noWrap/>
            <w:tcMar>
              <w:top w:w="12" w:type="dxa"/>
              <w:left w:w="12" w:type="dxa"/>
              <w:bottom w:w="0" w:type="dxa"/>
              <w:right w:w="12" w:type="dxa"/>
            </w:tcMar>
            <w:vAlign w:val="center"/>
          </w:tcPr>
          <w:p w14:paraId="1BB75114"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Australia</w:t>
            </w:r>
          </w:p>
        </w:tc>
        <w:tc>
          <w:tcPr>
            <w:tcW w:w="1781" w:type="dxa"/>
            <w:tcMar>
              <w:top w:w="12" w:type="dxa"/>
              <w:left w:w="12" w:type="dxa"/>
              <w:bottom w:w="0" w:type="dxa"/>
              <w:right w:w="12" w:type="dxa"/>
            </w:tcMar>
            <w:vAlign w:val="center"/>
          </w:tcPr>
          <w:p w14:paraId="62AE2848"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 years and above</w:t>
            </w:r>
          </w:p>
        </w:tc>
        <w:tc>
          <w:tcPr>
            <w:tcW w:w="3531" w:type="dxa"/>
            <w:vAlign w:val="center"/>
          </w:tcPr>
          <w:p w14:paraId="4E4C3EF4" w14:textId="77777777" w:rsidR="000D5096" w:rsidRPr="00A36B68" w:rsidRDefault="000D5096" w:rsidP="00D20A1E">
            <w:pPr>
              <w:keepNext/>
              <w:keepLines/>
              <w:widowControl/>
              <w:tabs>
                <w:tab w:val="decimal" w:pos="1891"/>
              </w:tabs>
              <w:spacing w:before="40" w:after="40"/>
              <w:rPr>
                <w:rFonts w:eastAsia="Arial Unicode MS" w:cs="Arial"/>
                <w:sz w:val="20"/>
                <w:szCs w:val="20"/>
              </w:rPr>
            </w:pPr>
            <w:r>
              <w:rPr>
                <w:rFonts w:eastAsia="Arial Unicode MS" w:cs="Arial"/>
                <w:sz w:val="20"/>
                <w:szCs w:val="20"/>
              </w:rPr>
              <w:t>847</w:t>
            </w:r>
          </w:p>
        </w:tc>
        <w:tc>
          <w:tcPr>
            <w:tcW w:w="2159" w:type="dxa"/>
            <w:noWrap/>
            <w:tcMar>
              <w:top w:w="12" w:type="dxa"/>
              <w:left w:w="12" w:type="dxa"/>
              <w:bottom w:w="0" w:type="dxa"/>
              <w:right w:w="12" w:type="dxa"/>
            </w:tcMar>
            <w:vAlign w:val="center"/>
          </w:tcPr>
          <w:p w14:paraId="5E17E696" w14:textId="7777777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337</w:t>
            </w:r>
          </w:p>
        </w:tc>
        <w:tc>
          <w:tcPr>
            <w:tcW w:w="1873" w:type="dxa"/>
            <w:vAlign w:val="center"/>
          </w:tcPr>
          <w:p w14:paraId="55F6016D" w14:textId="77777777" w:rsidR="000D5096" w:rsidRPr="00A36B68" w:rsidRDefault="000D5096" w:rsidP="00D20A1E">
            <w:pPr>
              <w:keepNext/>
              <w:keepLines/>
              <w:widowControl/>
              <w:tabs>
                <w:tab w:val="decimal" w:pos="1120"/>
              </w:tabs>
              <w:spacing w:before="40" w:after="40"/>
              <w:rPr>
                <w:rFonts w:eastAsia="Arial Unicode MS" w:cs="Arial"/>
                <w:sz w:val="20"/>
                <w:szCs w:val="20"/>
              </w:rPr>
            </w:pPr>
            <w:r w:rsidRPr="00A36B68">
              <w:rPr>
                <w:rFonts w:cs="Arial"/>
                <w:sz w:val="20"/>
                <w:szCs w:val="20"/>
              </w:rPr>
              <w:t>407</w:t>
            </w:r>
          </w:p>
        </w:tc>
        <w:tc>
          <w:tcPr>
            <w:tcW w:w="1876" w:type="dxa"/>
            <w:vAlign w:val="center"/>
          </w:tcPr>
          <w:p w14:paraId="59A192E1" w14:textId="77777777" w:rsidR="000D5096" w:rsidRPr="00A36B68" w:rsidRDefault="000D5096" w:rsidP="00D20A1E">
            <w:pPr>
              <w:keepNext/>
              <w:keepLines/>
              <w:widowControl/>
              <w:tabs>
                <w:tab w:val="decimal" w:pos="1090"/>
              </w:tabs>
              <w:spacing w:before="40" w:after="40"/>
              <w:rPr>
                <w:rFonts w:eastAsia="Arial Unicode MS" w:cs="Arial"/>
                <w:sz w:val="20"/>
                <w:szCs w:val="20"/>
              </w:rPr>
            </w:pPr>
            <w:r w:rsidRPr="00A36B68">
              <w:rPr>
                <w:rFonts w:cs="Arial"/>
                <w:sz w:val="20"/>
                <w:szCs w:val="20"/>
                <w:lang w:bidi="ar-SA"/>
              </w:rPr>
              <w:t>690</w:t>
            </w:r>
          </w:p>
        </w:tc>
      </w:tr>
      <w:tr w:rsidR="000D5096" w:rsidRPr="00A36B68" w14:paraId="36091853"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7D921368"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67FF6B39"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4CC15FDE" w14:textId="3A73EECD"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3531" w:type="dxa"/>
            <w:vAlign w:val="center"/>
          </w:tcPr>
          <w:p w14:paraId="3187B2A6" w14:textId="77777777" w:rsidR="000D5096" w:rsidRPr="00A36B68" w:rsidRDefault="000D5096" w:rsidP="00D20A1E">
            <w:pPr>
              <w:keepNext/>
              <w:keepLines/>
              <w:widowControl/>
              <w:tabs>
                <w:tab w:val="decimal" w:pos="1891"/>
              </w:tabs>
              <w:spacing w:before="40" w:after="40"/>
              <w:rPr>
                <w:rFonts w:cs="Arial"/>
                <w:sz w:val="20"/>
                <w:szCs w:val="20"/>
              </w:rPr>
            </w:pPr>
            <w:r>
              <w:rPr>
                <w:rFonts w:cs="Arial"/>
                <w:sz w:val="20"/>
                <w:szCs w:val="20"/>
              </w:rPr>
              <w:t>808</w:t>
            </w:r>
          </w:p>
        </w:tc>
        <w:tc>
          <w:tcPr>
            <w:tcW w:w="2159" w:type="dxa"/>
            <w:noWrap/>
            <w:tcMar>
              <w:top w:w="12" w:type="dxa"/>
              <w:left w:w="12" w:type="dxa"/>
              <w:bottom w:w="0" w:type="dxa"/>
              <w:right w:w="12" w:type="dxa"/>
            </w:tcMar>
            <w:vAlign w:val="center"/>
          </w:tcPr>
          <w:p w14:paraId="3DDD4C78" w14:textId="04D13D00"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cs="Arial"/>
                <w:sz w:val="20"/>
                <w:szCs w:val="20"/>
              </w:rPr>
              <w:t>231</w:t>
            </w:r>
            <w:r w:rsidR="00B968E4" w:rsidRPr="00A62EBB">
              <w:rPr>
                <w:rFonts w:eastAsia="Arial Unicode MS" w:cs="Arial"/>
                <w:sz w:val="20"/>
                <w:szCs w:val="20"/>
                <w:vertAlign w:val="superscript"/>
              </w:rPr>
              <w:sym w:font="Webdings" w:char="F0EA"/>
            </w:r>
          </w:p>
        </w:tc>
        <w:tc>
          <w:tcPr>
            <w:tcW w:w="1873" w:type="dxa"/>
            <w:vAlign w:val="center"/>
          </w:tcPr>
          <w:p w14:paraId="6DCB59FA" w14:textId="77777777" w:rsidR="000D5096" w:rsidRPr="00A36B68" w:rsidRDefault="000D5096" w:rsidP="00D20A1E">
            <w:pPr>
              <w:keepNext/>
              <w:keepLines/>
              <w:widowControl/>
              <w:tabs>
                <w:tab w:val="decimal" w:pos="1120"/>
              </w:tabs>
              <w:spacing w:before="40" w:after="40"/>
              <w:rPr>
                <w:rFonts w:cs="Arial"/>
                <w:sz w:val="20"/>
                <w:szCs w:val="20"/>
              </w:rPr>
            </w:pPr>
          </w:p>
        </w:tc>
        <w:tc>
          <w:tcPr>
            <w:tcW w:w="1876" w:type="dxa"/>
            <w:vAlign w:val="center"/>
          </w:tcPr>
          <w:p w14:paraId="2D47C97A" w14:textId="77777777" w:rsidR="000D5096" w:rsidRPr="00A36B68" w:rsidRDefault="000D5096" w:rsidP="00D20A1E">
            <w:pPr>
              <w:keepNext/>
              <w:keepLines/>
              <w:widowControl/>
              <w:tabs>
                <w:tab w:val="decimal" w:pos="1090"/>
              </w:tabs>
              <w:spacing w:before="40" w:after="40"/>
              <w:rPr>
                <w:rFonts w:cs="Arial"/>
                <w:sz w:val="20"/>
                <w:szCs w:val="20"/>
              </w:rPr>
            </w:pPr>
          </w:p>
        </w:tc>
      </w:tr>
      <w:tr w:rsidR="000D5096" w:rsidRPr="00A36B68" w14:paraId="5F3E413D"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15F6FB2D"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3F0EAAB7"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30B7FF41" w14:textId="35CD2BDA"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3531" w:type="dxa"/>
            <w:vAlign w:val="center"/>
          </w:tcPr>
          <w:p w14:paraId="1DC8331D" w14:textId="77777777" w:rsidR="000D5096" w:rsidRPr="00A36B68" w:rsidRDefault="000D5096" w:rsidP="00D20A1E">
            <w:pPr>
              <w:keepNext/>
              <w:keepLines/>
              <w:widowControl/>
              <w:tabs>
                <w:tab w:val="decimal" w:pos="1891"/>
              </w:tabs>
              <w:spacing w:before="40" w:after="40"/>
              <w:rPr>
                <w:rFonts w:cs="Arial"/>
                <w:sz w:val="20"/>
                <w:szCs w:val="20"/>
              </w:rPr>
            </w:pPr>
            <w:r>
              <w:rPr>
                <w:rFonts w:cs="Arial"/>
                <w:sz w:val="20"/>
                <w:szCs w:val="20"/>
              </w:rPr>
              <w:t>870</w:t>
            </w:r>
          </w:p>
        </w:tc>
        <w:tc>
          <w:tcPr>
            <w:tcW w:w="2159" w:type="dxa"/>
            <w:noWrap/>
            <w:tcMar>
              <w:top w:w="12" w:type="dxa"/>
              <w:left w:w="12" w:type="dxa"/>
              <w:bottom w:w="0" w:type="dxa"/>
              <w:right w:w="12" w:type="dxa"/>
            </w:tcMar>
            <w:vAlign w:val="center"/>
          </w:tcPr>
          <w:p w14:paraId="245D927D" w14:textId="7777777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cs="Arial"/>
                <w:sz w:val="20"/>
                <w:szCs w:val="20"/>
              </w:rPr>
              <w:t>296</w:t>
            </w:r>
          </w:p>
        </w:tc>
        <w:tc>
          <w:tcPr>
            <w:tcW w:w="1873" w:type="dxa"/>
            <w:vAlign w:val="center"/>
          </w:tcPr>
          <w:p w14:paraId="34C98CAB" w14:textId="77777777" w:rsidR="000D5096" w:rsidRPr="00A36B68" w:rsidRDefault="000D5096" w:rsidP="00D20A1E">
            <w:pPr>
              <w:keepNext/>
              <w:keepLines/>
              <w:widowControl/>
              <w:tabs>
                <w:tab w:val="decimal" w:pos="1120"/>
              </w:tabs>
              <w:spacing w:before="40" w:after="40"/>
              <w:rPr>
                <w:rFonts w:cs="Arial"/>
                <w:sz w:val="20"/>
                <w:szCs w:val="20"/>
              </w:rPr>
            </w:pPr>
          </w:p>
        </w:tc>
        <w:tc>
          <w:tcPr>
            <w:tcW w:w="1876" w:type="dxa"/>
            <w:vAlign w:val="center"/>
          </w:tcPr>
          <w:p w14:paraId="33264BFF" w14:textId="77777777" w:rsidR="000D5096" w:rsidRPr="00A36B68" w:rsidRDefault="000D5096" w:rsidP="00D20A1E">
            <w:pPr>
              <w:keepNext/>
              <w:keepLines/>
              <w:widowControl/>
              <w:tabs>
                <w:tab w:val="decimal" w:pos="1090"/>
              </w:tabs>
              <w:spacing w:before="40" w:after="40"/>
              <w:rPr>
                <w:rFonts w:cs="Arial"/>
                <w:sz w:val="20"/>
                <w:szCs w:val="20"/>
              </w:rPr>
            </w:pPr>
          </w:p>
        </w:tc>
      </w:tr>
      <w:tr w:rsidR="000D5096" w:rsidRPr="00A36B68" w14:paraId="08CB1CB7"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7259A590"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tcBorders>
            <w:noWrap/>
            <w:tcMar>
              <w:top w:w="12" w:type="dxa"/>
              <w:left w:w="12" w:type="dxa"/>
              <w:bottom w:w="0" w:type="dxa"/>
              <w:right w:w="12" w:type="dxa"/>
            </w:tcMar>
            <w:vAlign w:val="center"/>
          </w:tcPr>
          <w:p w14:paraId="74316E6F"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27669289"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vAlign w:val="center"/>
          </w:tcPr>
          <w:p w14:paraId="25104F23" w14:textId="77777777" w:rsidR="000D5096" w:rsidRPr="00A36B68" w:rsidRDefault="000D5096" w:rsidP="00D20A1E">
            <w:pPr>
              <w:keepNext/>
              <w:keepLines/>
              <w:widowControl/>
              <w:tabs>
                <w:tab w:val="decimal" w:pos="1891"/>
              </w:tabs>
              <w:spacing w:before="40" w:after="40"/>
              <w:rPr>
                <w:rFonts w:cs="Arial"/>
                <w:sz w:val="20"/>
                <w:szCs w:val="20"/>
              </w:rPr>
            </w:pPr>
            <w:r>
              <w:rPr>
                <w:rFonts w:cs="Arial"/>
                <w:sz w:val="20"/>
                <w:szCs w:val="20"/>
              </w:rPr>
              <w:t>845</w:t>
            </w:r>
          </w:p>
        </w:tc>
        <w:tc>
          <w:tcPr>
            <w:tcW w:w="2159" w:type="dxa"/>
            <w:noWrap/>
            <w:tcMar>
              <w:top w:w="12" w:type="dxa"/>
              <w:left w:w="12" w:type="dxa"/>
              <w:bottom w:w="0" w:type="dxa"/>
              <w:right w:w="12" w:type="dxa"/>
            </w:tcMar>
            <w:vAlign w:val="center"/>
          </w:tcPr>
          <w:p w14:paraId="7DB8C27C" w14:textId="7777777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cs="Arial"/>
                <w:sz w:val="20"/>
                <w:szCs w:val="20"/>
              </w:rPr>
              <w:t>346</w:t>
            </w:r>
          </w:p>
        </w:tc>
        <w:tc>
          <w:tcPr>
            <w:tcW w:w="1873" w:type="dxa"/>
            <w:vAlign w:val="center"/>
          </w:tcPr>
          <w:p w14:paraId="340A07E8" w14:textId="77777777" w:rsidR="000D5096" w:rsidRPr="00A36B68" w:rsidRDefault="000D5096" w:rsidP="00D20A1E">
            <w:pPr>
              <w:keepNext/>
              <w:keepLines/>
              <w:widowControl/>
              <w:tabs>
                <w:tab w:val="decimal" w:pos="1120"/>
              </w:tabs>
              <w:spacing w:before="40" w:after="40"/>
              <w:rPr>
                <w:rFonts w:cs="Arial"/>
                <w:sz w:val="20"/>
                <w:szCs w:val="20"/>
              </w:rPr>
            </w:pPr>
          </w:p>
        </w:tc>
        <w:tc>
          <w:tcPr>
            <w:tcW w:w="1876" w:type="dxa"/>
            <w:vAlign w:val="center"/>
          </w:tcPr>
          <w:p w14:paraId="7FDE28AB" w14:textId="77777777" w:rsidR="000D5096" w:rsidRPr="00A36B68" w:rsidRDefault="000D5096" w:rsidP="00D20A1E">
            <w:pPr>
              <w:keepNext/>
              <w:keepLines/>
              <w:widowControl/>
              <w:tabs>
                <w:tab w:val="decimal" w:pos="1090"/>
              </w:tabs>
              <w:spacing w:before="40" w:after="40"/>
              <w:rPr>
                <w:rFonts w:cs="Arial"/>
                <w:sz w:val="20"/>
                <w:szCs w:val="20"/>
              </w:rPr>
            </w:pPr>
          </w:p>
        </w:tc>
      </w:tr>
      <w:tr w:rsidR="000D5096" w:rsidRPr="00A36B68" w14:paraId="317105F6" w14:textId="77777777" w:rsidTr="0030749A">
        <w:trPr>
          <w:trHeight w:val="264"/>
        </w:trPr>
        <w:tc>
          <w:tcPr>
            <w:tcW w:w="1558" w:type="dxa"/>
            <w:tcBorders>
              <w:top w:val="nil"/>
              <w:bottom w:val="single" w:sz="4" w:space="0" w:color="auto"/>
            </w:tcBorders>
            <w:noWrap/>
            <w:tcMar>
              <w:top w:w="12" w:type="dxa"/>
              <w:left w:w="12" w:type="dxa"/>
              <w:bottom w:w="0" w:type="dxa"/>
              <w:right w:w="12" w:type="dxa"/>
            </w:tcMar>
            <w:vAlign w:val="center"/>
          </w:tcPr>
          <w:p w14:paraId="73193DDE"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bottom w:val="single" w:sz="4" w:space="0" w:color="auto"/>
            </w:tcBorders>
            <w:noWrap/>
            <w:tcMar>
              <w:top w:w="12" w:type="dxa"/>
              <w:left w:w="12" w:type="dxa"/>
              <w:bottom w:w="0" w:type="dxa"/>
              <w:right w:w="12" w:type="dxa"/>
            </w:tcMar>
            <w:vAlign w:val="center"/>
          </w:tcPr>
          <w:p w14:paraId="2A675FFE"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New Zealand</w:t>
            </w:r>
          </w:p>
        </w:tc>
        <w:tc>
          <w:tcPr>
            <w:tcW w:w="1781" w:type="dxa"/>
            <w:noWrap/>
            <w:tcMar>
              <w:top w:w="12" w:type="dxa"/>
              <w:left w:w="12" w:type="dxa"/>
              <w:bottom w:w="0" w:type="dxa"/>
              <w:right w:w="12" w:type="dxa"/>
            </w:tcMar>
            <w:vAlign w:val="center"/>
          </w:tcPr>
          <w:p w14:paraId="5ADA4DCB"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tcBorders>
              <w:bottom w:val="single" w:sz="4" w:space="0" w:color="auto"/>
            </w:tcBorders>
            <w:vAlign w:val="center"/>
          </w:tcPr>
          <w:p w14:paraId="03E73945" w14:textId="77777777" w:rsidR="000D5096" w:rsidRPr="00A36B68" w:rsidRDefault="000D5096" w:rsidP="00D20A1E">
            <w:pPr>
              <w:keepNext/>
              <w:keepLines/>
              <w:widowControl/>
              <w:tabs>
                <w:tab w:val="decimal" w:pos="1891"/>
              </w:tabs>
              <w:spacing w:before="40" w:after="40"/>
              <w:rPr>
                <w:rFonts w:cs="Arial"/>
                <w:sz w:val="20"/>
                <w:szCs w:val="20"/>
              </w:rPr>
            </w:pPr>
            <w:r>
              <w:rPr>
                <w:rFonts w:cs="Arial"/>
                <w:sz w:val="20"/>
                <w:szCs w:val="20"/>
              </w:rPr>
              <w:t>788</w:t>
            </w:r>
          </w:p>
        </w:tc>
        <w:tc>
          <w:tcPr>
            <w:tcW w:w="2159" w:type="dxa"/>
            <w:noWrap/>
            <w:tcMar>
              <w:top w:w="12" w:type="dxa"/>
              <w:left w:w="12" w:type="dxa"/>
              <w:bottom w:w="0" w:type="dxa"/>
              <w:right w:w="12" w:type="dxa"/>
            </w:tcMar>
            <w:vAlign w:val="center"/>
          </w:tcPr>
          <w:p w14:paraId="588CBB58" w14:textId="7777777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cs="Arial"/>
                <w:sz w:val="20"/>
                <w:szCs w:val="20"/>
              </w:rPr>
              <w:t>329</w:t>
            </w:r>
          </w:p>
        </w:tc>
        <w:tc>
          <w:tcPr>
            <w:tcW w:w="1873" w:type="dxa"/>
            <w:vAlign w:val="center"/>
          </w:tcPr>
          <w:p w14:paraId="29FC1069" w14:textId="77777777" w:rsidR="000D5096" w:rsidRPr="00A36B68" w:rsidRDefault="000D5096" w:rsidP="00D20A1E">
            <w:pPr>
              <w:keepNext/>
              <w:keepLines/>
              <w:widowControl/>
              <w:tabs>
                <w:tab w:val="decimal" w:pos="1120"/>
              </w:tabs>
              <w:spacing w:before="40" w:after="40"/>
              <w:rPr>
                <w:rFonts w:cs="Arial"/>
                <w:sz w:val="20"/>
                <w:szCs w:val="20"/>
              </w:rPr>
            </w:pPr>
          </w:p>
        </w:tc>
        <w:tc>
          <w:tcPr>
            <w:tcW w:w="1876" w:type="dxa"/>
            <w:vAlign w:val="center"/>
          </w:tcPr>
          <w:p w14:paraId="460E6622" w14:textId="77777777" w:rsidR="000D5096" w:rsidRPr="00A36B68" w:rsidRDefault="000D5096" w:rsidP="00D20A1E">
            <w:pPr>
              <w:keepNext/>
              <w:keepLines/>
              <w:widowControl/>
              <w:tabs>
                <w:tab w:val="decimal" w:pos="1090"/>
              </w:tabs>
              <w:spacing w:before="40" w:after="40"/>
              <w:rPr>
                <w:rFonts w:cs="Arial"/>
                <w:sz w:val="20"/>
                <w:szCs w:val="20"/>
              </w:rPr>
            </w:pPr>
          </w:p>
        </w:tc>
      </w:tr>
      <w:tr w:rsidR="00A54ED8" w:rsidRPr="00A36B68" w14:paraId="335C03B6" w14:textId="77777777" w:rsidTr="00A54ED8">
        <w:trPr>
          <w:trHeight w:val="264"/>
        </w:trPr>
        <w:tc>
          <w:tcPr>
            <w:tcW w:w="1558" w:type="dxa"/>
            <w:vMerge w:val="restart"/>
            <w:noWrap/>
            <w:tcMar>
              <w:top w:w="12" w:type="dxa"/>
              <w:left w:w="12" w:type="dxa"/>
              <w:bottom w:w="0" w:type="dxa"/>
              <w:right w:w="12" w:type="dxa"/>
            </w:tcMar>
          </w:tcPr>
          <w:p w14:paraId="4362E514" w14:textId="1F26F2AA" w:rsidR="00A54ED8" w:rsidRPr="00A36B68" w:rsidRDefault="00A54ED8" w:rsidP="00D20A1E">
            <w:pPr>
              <w:keepNext/>
              <w:keepLines/>
              <w:widowControl/>
              <w:spacing w:before="40" w:after="40"/>
              <w:rPr>
                <w:rFonts w:eastAsia="Arial Unicode MS" w:cs="Arial"/>
                <w:sz w:val="20"/>
                <w:szCs w:val="20"/>
              </w:rPr>
            </w:pPr>
            <w:r w:rsidRPr="00A36B68">
              <w:rPr>
                <w:rFonts w:cs="Arial"/>
                <w:sz w:val="20"/>
                <w:szCs w:val="20"/>
              </w:rPr>
              <w:t>Folate</w:t>
            </w:r>
            <w:r>
              <w:rPr>
                <w:rFonts w:cs="Arial"/>
                <w:sz w:val="20"/>
                <w:szCs w:val="20"/>
              </w:rPr>
              <w:t>, naturally occurring</w:t>
            </w:r>
            <w:r w:rsidRPr="00A36B68">
              <w:rPr>
                <w:rFonts w:cs="Arial"/>
                <w:sz w:val="20"/>
                <w:szCs w:val="20"/>
              </w:rPr>
              <w:t xml:space="preserve"> (</w:t>
            </w:r>
            <w:r w:rsidRPr="00A36B68">
              <w:rPr>
                <w:rFonts w:eastAsia="Arial Unicode MS" w:cs="Arial"/>
                <w:sz w:val="20"/>
                <w:szCs w:val="20"/>
              </w:rPr>
              <w:t>µ</w:t>
            </w:r>
            <w:r w:rsidRPr="00A36B68">
              <w:rPr>
                <w:rFonts w:cs="Arial"/>
                <w:sz w:val="20"/>
                <w:szCs w:val="20"/>
              </w:rPr>
              <w:t>g)</w:t>
            </w:r>
          </w:p>
        </w:tc>
        <w:tc>
          <w:tcPr>
            <w:tcW w:w="1203" w:type="dxa"/>
            <w:tcBorders>
              <w:bottom w:val="nil"/>
            </w:tcBorders>
            <w:noWrap/>
            <w:tcMar>
              <w:top w:w="12" w:type="dxa"/>
              <w:left w:w="12" w:type="dxa"/>
              <w:bottom w:w="0" w:type="dxa"/>
              <w:right w:w="12" w:type="dxa"/>
            </w:tcMar>
            <w:vAlign w:val="center"/>
          </w:tcPr>
          <w:p w14:paraId="43FB114C" w14:textId="77777777" w:rsidR="00A54ED8" w:rsidRPr="00A36B68" w:rsidRDefault="00A54ED8" w:rsidP="00D20A1E">
            <w:pPr>
              <w:keepNext/>
              <w:keepLines/>
              <w:widowControl/>
              <w:spacing w:before="40" w:after="40"/>
              <w:rPr>
                <w:rFonts w:eastAsia="Arial Unicode MS" w:cs="Arial"/>
                <w:sz w:val="20"/>
                <w:szCs w:val="20"/>
              </w:rPr>
            </w:pPr>
            <w:r w:rsidRPr="00A36B68">
              <w:rPr>
                <w:rFonts w:cs="Arial"/>
                <w:sz w:val="20"/>
                <w:szCs w:val="20"/>
              </w:rPr>
              <w:t>Australia</w:t>
            </w:r>
          </w:p>
        </w:tc>
        <w:tc>
          <w:tcPr>
            <w:tcW w:w="1781" w:type="dxa"/>
            <w:tcMar>
              <w:top w:w="12" w:type="dxa"/>
              <w:left w:w="12" w:type="dxa"/>
              <w:bottom w:w="0" w:type="dxa"/>
              <w:right w:w="12" w:type="dxa"/>
            </w:tcMar>
            <w:vAlign w:val="center"/>
          </w:tcPr>
          <w:p w14:paraId="11D37311" w14:textId="77777777" w:rsidR="00A54ED8" w:rsidRPr="00A36B68" w:rsidRDefault="00A54ED8" w:rsidP="00D20A1E">
            <w:pPr>
              <w:keepNext/>
              <w:keepLines/>
              <w:widowControl/>
              <w:spacing w:before="40" w:after="40"/>
              <w:rPr>
                <w:rFonts w:eastAsia="Arial Unicode MS" w:cs="Arial"/>
                <w:sz w:val="20"/>
                <w:szCs w:val="20"/>
              </w:rPr>
            </w:pPr>
            <w:r w:rsidRPr="00A36B68">
              <w:rPr>
                <w:rFonts w:cs="Arial"/>
                <w:sz w:val="20"/>
                <w:szCs w:val="20"/>
              </w:rPr>
              <w:t>2 years and above</w:t>
            </w:r>
          </w:p>
        </w:tc>
        <w:tc>
          <w:tcPr>
            <w:tcW w:w="3531" w:type="dxa"/>
            <w:shd w:val="clear" w:color="auto" w:fill="auto"/>
            <w:vAlign w:val="center"/>
          </w:tcPr>
          <w:p w14:paraId="77F22093" w14:textId="43FBA04E" w:rsidR="00A54ED8" w:rsidRPr="004644F5" w:rsidRDefault="0030749A" w:rsidP="00D20A1E">
            <w:pPr>
              <w:keepNext/>
              <w:keepLines/>
              <w:widowControl/>
              <w:tabs>
                <w:tab w:val="decimal" w:pos="1891"/>
              </w:tabs>
              <w:spacing w:before="40" w:after="40"/>
              <w:rPr>
                <w:rFonts w:eastAsia="Arial Unicode MS" w:cs="Arial"/>
                <w:sz w:val="20"/>
                <w:szCs w:val="20"/>
              </w:rPr>
            </w:pPr>
            <w:r>
              <w:rPr>
                <w:rFonts w:eastAsia="Arial Unicode MS" w:cs="Arial"/>
                <w:sz w:val="20"/>
                <w:szCs w:val="20"/>
              </w:rPr>
              <w:t>n/a</w:t>
            </w:r>
          </w:p>
        </w:tc>
        <w:tc>
          <w:tcPr>
            <w:tcW w:w="2159" w:type="dxa"/>
            <w:noWrap/>
            <w:tcMar>
              <w:top w:w="12" w:type="dxa"/>
              <w:left w:w="12" w:type="dxa"/>
              <w:bottom w:w="0" w:type="dxa"/>
              <w:right w:w="12" w:type="dxa"/>
            </w:tcMar>
            <w:vAlign w:val="center"/>
          </w:tcPr>
          <w:p w14:paraId="1ED89998" w14:textId="77777777" w:rsidR="00A54ED8" w:rsidRPr="00A36B68" w:rsidRDefault="00A54ED8"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240</w:t>
            </w:r>
          </w:p>
        </w:tc>
        <w:tc>
          <w:tcPr>
            <w:tcW w:w="1873" w:type="dxa"/>
            <w:vAlign w:val="center"/>
          </w:tcPr>
          <w:p w14:paraId="76892F29" w14:textId="77777777" w:rsidR="00A54ED8" w:rsidRPr="00A36B68" w:rsidRDefault="00A54ED8" w:rsidP="00D20A1E">
            <w:pPr>
              <w:keepNext/>
              <w:keepLines/>
              <w:widowControl/>
              <w:tabs>
                <w:tab w:val="decimal" w:pos="1120"/>
              </w:tabs>
              <w:spacing w:before="40" w:after="40"/>
              <w:rPr>
                <w:rFonts w:eastAsia="Arial Unicode MS" w:cs="Arial"/>
                <w:sz w:val="20"/>
                <w:szCs w:val="20"/>
              </w:rPr>
            </w:pPr>
            <w:r w:rsidRPr="00A36B68">
              <w:rPr>
                <w:rFonts w:cs="Arial"/>
                <w:sz w:val="20"/>
                <w:szCs w:val="20"/>
              </w:rPr>
              <w:t>411</w:t>
            </w:r>
          </w:p>
        </w:tc>
        <w:tc>
          <w:tcPr>
            <w:tcW w:w="1876" w:type="dxa"/>
            <w:vAlign w:val="center"/>
          </w:tcPr>
          <w:p w14:paraId="07E33B06" w14:textId="77777777" w:rsidR="00A54ED8" w:rsidRPr="00A36B68" w:rsidRDefault="00A54ED8" w:rsidP="00D20A1E">
            <w:pPr>
              <w:keepNext/>
              <w:keepLines/>
              <w:widowControl/>
              <w:tabs>
                <w:tab w:val="decimal" w:pos="1090"/>
              </w:tabs>
              <w:spacing w:before="40" w:after="40"/>
              <w:rPr>
                <w:rFonts w:eastAsia="Arial Unicode MS" w:cs="Arial"/>
                <w:sz w:val="20"/>
                <w:szCs w:val="20"/>
              </w:rPr>
            </w:pPr>
            <w:r w:rsidRPr="00A36B68">
              <w:rPr>
                <w:rFonts w:cs="Arial"/>
                <w:sz w:val="20"/>
                <w:szCs w:val="20"/>
              </w:rPr>
              <w:t>333</w:t>
            </w:r>
          </w:p>
        </w:tc>
      </w:tr>
      <w:tr w:rsidR="00A54ED8" w:rsidRPr="00A36B68" w14:paraId="3D14FA55" w14:textId="77777777" w:rsidTr="00A54ED8">
        <w:trPr>
          <w:trHeight w:val="264"/>
        </w:trPr>
        <w:tc>
          <w:tcPr>
            <w:tcW w:w="1558" w:type="dxa"/>
            <w:vMerge/>
            <w:noWrap/>
            <w:tcMar>
              <w:top w:w="12" w:type="dxa"/>
              <w:left w:w="12" w:type="dxa"/>
              <w:bottom w:w="0" w:type="dxa"/>
              <w:right w:w="12" w:type="dxa"/>
            </w:tcMar>
            <w:vAlign w:val="center"/>
          </w:tcPr>
          <w:p w14:paraId="6C072F3C" w14:textId="06E024AC" w:rsidR="00A54ED8" w:rsidRPr="00A36B68" w:rsidRDefault="00A54ED8"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6AAC13FE" w14:textId="77777777" w:rsidR="00A54ED8" w:rsidRPr="00A36B68" w:rsidRDefault="00A54ED8"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6687F992" w14:textId="68600C3D" w:rsidR="00A54ED8" w:rsidRPr="00A36B68" w:rsidRDefault="00A54ED8" w:rsidP="00D20A1E">
            <w:pPr>
              <w:keepNext/>
              <w:keepLines/>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3531" w:type="dxa"/>
            <w:shd w:val="clear" w:color="auto" w:fill="auto"/>
            <w:vAlign w:val="center"/>
          </w:tcPr>
          <w:p w14:paraId="097E5160" w14:textId="2741A276" w:rsidR="00A54ED8" w:rsidRPr="004644F5" w:rsidRDefault="0030749A" w:rsidP="00D20A1E">
            <w:pPr>
              <w:keepNext/>
              <w:keepLines/>
              <w:widowControl/>
              <w:tabs>
                <w:tab w:val="decimal" w:pos="1891"/>
              </w:tabs>
              <w:spacing w:before="40" w:after="40"/>
              <w:rPr>
                <w:rFonts w:eastAsia="Arial Unicode MS" w:cs="Arial"/>
                <w:sz w:val="20"/>
                <w:szCs w:val="20"/>
              </w:rPr>
            </w:pPr>
            <w:r>
              <w:rPr>
                <w:rFonts w:eastAsia="Arial Unicode MS" w:cs="Arial"/>
                <w:sz w:val="20"/>
                <w:szCs w:val="20"/>
              </w:rPr>
              <w:t>n/a</w:t>
            </w:r>
          </w:p>
        </w:tc>
        <w:tc>
          <w:tcPr>
            <w:tcW w:w="2159" w:type="dxa"/>
            <w:noWrap/>
            <w:tcMar>
              <w:top w:w="12" w:type="dxa"/>
              <w:left w:w="12" w:type="dxa"/>
              <w:bottom w:w="0" w:type="dxa"/>
              <w:right w:w="12" w:type="dxa"/>
            </w:tcMar>
            <w:vAlign w:val="center"/>
          </w:tcPr>
          <w:p w14:paraId="4E04829A" w14:textId="711C02DE" w:rsidR="00A54ED8" w:rsidRPr="00A36B68" w:rsidRDefault="00A54ED8"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160</w:t>
            </w:r>
            <w:r w:rsidR="00B968E4" w:rsidRPr="00A62EBB">
              <w:rPr>
                <w:rFonts w:eastAsia="Arial Unicode MS" w:cs="Arial"/>
                <w:sz w:val="20"/>
                <w:szCs w:val="20"/>
                <w:vertAlign w:val="superscript"/>
              </w:rPr>
              <w:sym w:font="Webdings" w:char="F0EA"/>
            </w:r>
          </w:p>
        </w:tc>
        <w:tc>
          <w:tcPr>
            <w:tcW w:w="1873" w:type="dxa"/>
            <w:vAlign w:val="center"/>
          </w:tcPr>
          <w:p w14:paraId="1E1326AA" w14:textId="77777777" w:rsidR="00A54ED8" w:rsidRPr="00A36B68" w:rsidRDefault="00A54ED8" w:rsidP="00D20A1E">
            <w:pPr>
              <w:keepNext/>
              <w:keepLines/>
              <w:widowControl/>
              <w:tabs>
                <w:tab w:val="decimal" w:pos="1120"/>
              </w:tabs>
              <w:spacing w:before="40" w:after="40"/>
              <w:rPr>
                <w:rFonts w:eastAsia="Arial Unicode MS" w:cs="Arial"/>
                <w:sz w:val="20"/>
                <w:szCs w:val="20"/>
              </w:rPr>
            </w:pPr>
          </w:p>
        </w:tc>
        <w:tc>
          <w:tcPr>
            <w:tcW w:w="1876" w:type="dxa"/>
            <w:vAlign w:val="center"/>
          </w:tcPr>
          <w:p w14:paraId="5FBEFDA1" w14:textId="77777777" w:rsidR="00A54ED8" w:rsidRPr="00A36B68" w:rsidRDefault="00A54ED8" w:rsidP="00D20A1E">
            <w:pPr>
              <w:keepNext/>
              <w:keepLines/>
              <w:widowControl/>
              <w:tabs>
                <w:tab w:val="decimal" w:pos="1090"/>
              </w:tabs>
              <w:spacing w:before="40" w:after="40"/>
              <w:rPr>
                <w:rFonts w:eastAsia="Arial Unicode MS" w:cs="Arial"/>
                <w:sz w:val="20"/>
                <w:szCs w:val="20"/>
              </w:rPr>
            </w:pPr>
          </w:p>
        </w:tc>
      </w:tr>
      <w:tr w:rsidR="00A54ED8" w:rsidRPr="00A36B68" w14:paraId="6398302F" w14:textId="77777777" w:rsidTr="00A54ED8">
        <w:trPr>
          <w:trHeight w:val="264"/>
        </w:trPr>
        <w:tc>
          <w:tcPr>
            <w:tcW w:w="1558" w:type="dxa"/>
            <w:vMerge/>
            <w:noWrap/>
            <w:tcMar>
              <w:top w:w="12" w:type="dxa"/>
              <w:left w:w="12" w:type="dxa"/>
              <w:bottom w:w="0" w:type="dxa"/>
              <w:right w:w="12" w:type="dxa"/>
            </w:tcMar>
            <w:vAlign w:val="center"/>
          </w:tcPr>
          <w:p w14:paraId="68D4577B" w14:textId="77777777" w:rsidR="00A54ED8" w:rsidRPr="00A36B68" w:rsidRDefault="00A54ED8"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352D0A43" w14:textId="77777777" w:rsidR="00A54ED8" w:rsidRPr="00A36B68" w:rsidRDefault="00A54ED8"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1BEF7A7E" w14:textId="4ACF216F" w:rsidR="00A54ED8" w:rsidRPr="00A36B68" w:rsidRDefault="00A54ED8" w:rsidP="00D20A1E">
            <w:pPr>
              <w:keepNext/>
              <w:keepLines/>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3531" w:type="dxa"/>
            <w:shd w:val="clear" w:color="auto" w:fill="auto"/>
            <w:vAlign w:val="center"/>
          </w:tcPr>
          <w:p w14:paraId="4D3AF88F" w14:textId="1C023F58" w:rsidR="00A54ED8" w:rsidRPr="004644F5" w:rsidRDefault="0030749A" w:rsidP="00D20A1E">
            <w:pPr>
              <w:keepNext/>
              <w:keepLines/>
              <w:widowControl/>
              <w:tabs>
                <w:tab w:val="decimal" w:pos="1891"/>
              </w:tabs>
              <w:spacing w:before="40" w:after="40"/>
              <w:rPr>
                <w:rFonts w:eastAsia="Arial Unicode MS" w:cs="Arial"/>
                <w:sz w:val="20"/>
                <w:szCs w:val="20"/>
              </w:rPr>
            </w:pPr>
            <w:r>
              <w:rPr>
                <w:rFonts w:eastAsia="Arial Unicode MS" w:cs="Arial"/>
                <w:sz w:val="20"/>
                <w:szCs w:val="20"/>
              </w:rPr>
              <w:t>n/a</w:t>
            </w:r>
          </w:p>
        </w:tc>
        <w:tc>
          <w:tcPr>
            <w:tcW w:w="2159" w:type="dxa"/>
            <w:noWrap/>
            <w:tcMar>
              <w:top w:w="12" w:type="dxa"/>
              <w:left w:w="12" w:type="dxa"/>
              <w:bottom w:w="0" w:type="dxa"/>
              <w:right w:w="12" w:type="dxa"/>
            </w:tcMar>
            <w:vAlign w:val="center"/>
          </w:tcPr>
          <w:p w14:paraId="6A5E560C" w14:textId="77777777" w:rsidR="00A54ED8" w:rsidRPr="00A36B68" w:rsidRDefault="00A54ED8"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181</w:t>
            </w:r>
          </w:p>
        </w:tc>
        <w:tc>
          <w:tcPr>
            <w:tcW w:w="1873" w:type="dxa"/>
            <w:vAlign w:val="center"/>
          </w:tcPr>
          <w:p w14:paraId="4017EADE" w14:textId="77777777" w:rsidR="00A54ED8" w:rsidRPr="00A36B68" w:rsidRDefault="00A54ED8" w:rsidP="00D20A1E">
            <w:pPr>
              <w:keepNext/>
              <w:keepLines/>
              <w:widowControl/>
              <w:tabs>
                <w:tab w:val="decimal" w:pos="1120"/>
              </w:tabs>
              <w:spacing w:before="40" w:after="40"/>
              <w:rPr>
                <w:rFonts w:eastAsia="Arial Unicode MS" w:cs="Arial"/>
                <w:sz w:val="20"/>
                <w:szCs w:val="20"/>
              </w:rPr>
            </w:pPr>
          </w:p>
        </w:tc>
        <w:tc>
          <w:tcPr>
            <w:tcW w:w="1876" w:type="dxa"/>
            <w:vAlign w:val="center"/>
          </w:tcPr>
          <w:p w14:paraId="709A1EB0" w14:textId="77777777" w:rsidR="00A54ED8" w:rsidRPr="00A36B68" w:rsidRDefault="00A54ED8" w:rsidP="00D20A1E">
            <w:pPr>
              <w:keepNext/>
              <w:keepLines/>
              <w:widowControl/>
              <w:tabs>
                <w:tab w:val="decimal" w:pos="1090"/>
              </w:tabs>
              <w:spacing w:before="40" w:after="40"/>
              <w:rPr>
                <w:rFonts w:eastAsia="Arial Unicode MS" w:cs="Arial"/>
                <w:sz w:val="20"/>
                <w:szCs w:val="20"/>
              </w:rPr>
            </w:pPr>
          </w:p>
        </w:tc>
      </w:tr>
      <w:tr w:rsidR="00A54ED8" w:rsidRPr="00A36B68" w14:paraId="682E3E4D" w14:textId="77777777" w:rsidTr="00A54ED8">
        <w:trPr>
          <w:trHeight w:val="264"/>
        </w:trPr>
        <w:tc>
          <w:tcPr>
            <w:tcW w:w="1558" w:type="dxa"/>
            <w:vMerge/>
            <w:noWrap/>
            <w:tcMar>
              <w:top w:w="12" w:type="dxa"/>
              <w:left w:w="12" w:type="dxa"/>
              <w:bottom w:w="0" w:type="dxa"/>
              <w:right w:w="12" w:type="dxa"/>
            </w:tcMar>
            <w:vAlign w:val="center"/>
          </w:tcPr>
          <w:p w14:paraId="607D6AA4" w14:textId="77777777" w:rsidR="00A54ED8" w:rsidRPr="00A36B68" w:rsidRDefault="00A54ED8" w:rsidP="00D20A1E">
            <w:pPr>
              <w:keepNext/>
              <w:keepLines/>
              <w:widowControl/>
              <w:spacing w:before="40" w:after="40"/>
              <w:rPr>
                <w:rFonts w:eastAsia="Arial Unicode MS" w:cs="Arial"/>
                <w:sz w:val="20"/>
                <w:szCs w:val="20"/>
              </w:rPr>
            </w:pPr>
          </w:p>
        </w:tc>
        <w:tc>
          <w:tcPr>
            <w:tcW w:w="1203" w:type="dxa"/>
            <w:tcBorders>
              <w:top w:val="nil"/>
            </w:tcBorders>
            <w:noWrap/>
            <w:tcMar>
              <w:top w:w="12" w:type="dxa"/>
              <w:left w:w="12" w:type="dxa"/>
              <w:bottom w:w="0" w:type="dxa"/>
              <w:right w:w="12" w:type="dxa"/>
            </w:tcMar>
            <w:vAlign w:val="center"/>
          </w:tcPr>
          <w:p w14:paraId="4671012D" w14:textId="77777777" w:rsidR="00A54ED8" w:rsidRPr="00A36B68" w:rsidRDefault="00A54ED8"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7846EEE4" w14:textId="77777777" w:rsidR="00A54ED8" w:rsidRPr="00A36B68" w:rsidRDefault="00A54ED8"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shd w:val="clear" w:color="auto" w:fill="auto"/>
            <w:vAlign w:val="center"/>
          </w:tcPr>
          <w:p w14:paraId="54478EF9" w14:textId="1D44C878" w:rsidR="00A54ED8" w:rsidRPr="004644F5" w:rsidRDefault="0030749A" w:rsidP="00D20A1E">
            <w:pPr>
              <w:keepNext/>
              <w:keepLines/>
              <w:widowControl/>
              <w:tabs>
                <w:tab w:val="decimal" w:pos="1891"/>
              </w:tabs>
              <w:spacing w:before="40" w:after="40"/>
              <w:rPr>
                <w:rFonts w:eastAsia="Arial Unicode MS" w:cs="Arial"/>
                <w:sz w:val="20"/>
                <w:szCs w:val="20"/>
              </w:rPr>
            </w:pPr>
            <w:r>
              <w:rPr>
                <w:rFonts w:eastAsia="Arial Unicode MS" w:cs="Arial"/>
                <w:sz w:val="20"/>
                <w:szCs w:val="20"/>
              </w:rPr>
              <w:t>n/a</w:t>
            </w:r>
          </w:p>
        </w:tc>
        <w:tc>
          <w:tcPr>
            <w:tcW w:w="2159" w:type="dxa"/>
            <w:noWrap/>
            <w:tcMar>
              <w:top w:w="12" w:type="dxa"/>
              <w:left w:w="12" w:type="dxa"/>
              <w:bottom w:w="0" w:type="dxa"/>
              <w:right w:w="12" w:type="dxa"/>
            </w:tcMar>
            <w:vAlign w:val="center"/>
          </w:tcPr>
          <w:p w14:paraId="5844C0BF" w14:textId="77777777" w:rsidR="00A54ED8" w:rsidRPr="00A36B68" w:rsidRDefault="00A54ED8"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251</w:t>
            </w:r>
          </w:p>
        </w:tc>
        <w:tc>
          <w:tcPr>
            <w:tcW w:w="1873" w:type="dxa"/>
            <w:vAlign w:val="center"/>
          </w:tcPr>
          <w:p w14:paraId="60A33481" w14:textId="77777777" w:rsidR="00A54ED8" w:rsidRPr="00A36B68" w:rsidRDefault="00A54ED8" w:rsidP="00D20A1E">
            <w:pPr>
              <w:keepNext/>
              <w:keepLines/>
              <w:widowControl/>
              <w:tabs>
                <w:tab w:val="decimal" w:pos="1120"/>
              </w:tabs>
              <w:spacing w:before="40" w:after="40"/>
              <w:rPr>
                <w:rFonts w:eastAsia="Arial Unicode MS" w:cs="Arial"/>
                <w:sz w:val="20"/>
                <w:szCs w:val="20"/>
              </w:rPr>
            </w:pPr>
          </w:p>
        </w:tc>
        <w:tc>
          <w:tcPr>
            <w:tcW w:w="1876" w:type="dxa"/>
            <w:vAlign w:val="center"/>
          </w:tcPr>
          <w:p w14:paraId="70221FE3" w14:textId="77777777" w:rsidR="00A54ED8" w:rsidRPr="00A36B68" w:rsidRDefault="00A54ED8" w:rsidP="00D20A1E">
            <w:pPr>
              <w:keepNext/>
              <w:keepLines/>
              <w:widowControl/>
              <w:tabs>
                <w:tab w:val="decimal" w:pos="1090"/>
              </w:tabs>
              <w:spacing w:before="40" w:after="40"/>
              <w:rPr>
                <w:rFonts w:eastAsia="Arial Unicode MS" w:cs="Arial"/>
                <w:sz w:val="20"/>
                <w:szCs w:val="20"/>
              </w:rPr>
            </w:pPr>
          </w:p>
        </w:tc>
      </w:tr>
      <w:tr w:rsidR="00A54ED8" w:rsidRPr="00A36B68" w14:paraId="21CA3383" w14:textId="77777777" w:rsidTr="0030749A">
        <w:trPr>
          <w:trHeight w:val="264"/>
        </w:trPr>
        <w:tc>
          <w:tcPr>
            <w:tcW w:w="1558" w:type="dxa"/>
            <w:vMerge/>
            <w:noWrap/>
            <w:tcMar>
              <w:top w:w="12" w:type="dxa"/>
              <w:left w:w="12" w:type="dxa"/>
              <w:bottom w:w="0" w:type="dxa"/>
              <w:right w:w="12" w:type="dxa"/>
            </w:tcMar>
            <w:vAlign w:val="center"/>
          </w:tcPr>
          <w:p w14:paraId="5118ECF5" w14:textId="77777777" w:rsidR="00A54ED8" w:rsidRPr="00A36B68" w:rsidRDefault="00A54ED8" w:rsidP="00D20A1E">
            <w:pPr>
              <w:keepNext/>
              <w:keepLines/>
              <w:widowControl/>
              <w:spacing w:before="40" w:after="40"/>
              <w:rPr>
                <w:rFonts w:eastAsia="Arial Unicode MS" w:cs="Arial"/>
                <w:sz w:val="20"/>
                <w:szCs w:val="20"/>
              </w:rPr>
            </w:pPr>
          </w:p>
        </w:tc>
        <w:tc>
          <w:tcPr>
            <w:tcW w:w="1203" w:type="dxa"/>
            <w:noWrap/>
            <w:tcMar>
              <w:top w:w="12" w:type="dxa"/>
              <w:left w:w="12" w:type="dxa"/>
              <w:bottom w:w="0" w:type="dxa"/>
              <w:right w:w="12" w:type="dxa"/>
            </w:tcMar>
            <w:vAlign w:val="center"/>
          </w:tcPr>
          <w:p w14:paraId="44475CCD" w14:textId="77777777" w:rsidR="00A54ED8" w:rsidRPr="00A36B68" w:rsidRDefault="00A54ED8" w:rsidP="00D20A1E">
            <w:pPr>
              <w:keepNext/>
              <w:keepLines/>
              <w:widowControl/>
              <w:spacing w:before="40" w:after="40"/>
              <w:rPr>
                <w:rFonts w:eastAsia="Arial Unicode MS" w:cs="Arial"/>
                <w:sz w:val="20"/>
                <w:szCs w:val="20"/>
              </w:rPr>
            </w:pPr>
            <w:r w:rsidRPr="00A36B68">
              <w:rPr>
                <w:rFonts w:cs="Arial"/>
                <w:sz w:val="20"/>
                <w:szCs w:val="20"/>
              </w:rPr>
              <w:t>New Zealand</w:t>
            </w:r>
          </w:p>
        </w:tc>
        <w:tc>
          <w:tcPr>
            <w:tcW w:w="1781" w:type="dxa"/>
            <w:noWrap/>
            <w:tcMar>
              <w:top w:w="12" w:type="dxa"/>
              <w:left w:w="12" w:type="dxa"/>
              <w:bottom w:w="0" w:type="dxa"/>
              <w:right w:w="12" w:type="dxa"/>
            </w:tcMar>
            <w:vAlign w:val="center"/>
          </w:tcPr>
          <w:p w14:paraId="00C01099" w14:textId="77777777" w:rsidR="00A54ED8" w:rsidRPr="00A36B68" w:rsidRDefault="00A54ED8"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tcBorders>
              <w:bottom w:val="single" w:sz="4" w:space="0" w:color="auto"/>
            </w:tcBorders>
            <w:shd w:val="clear" w:color="auto" w:fill="auto"/>
            <w:vAlign w:val="center"/>
          </w:tcPr>
          <w:p w14:paraId="6349752D" w14:textId="172A9F69" w:rsidR="00A54ED8" w:rsidRPr="002745A5" w:rsidRDefault="00164E0F" w:rsidP="00D20A1E">
            <w:pPr>
              <w:keepNext/>
              <w:keepLines/>
              <w:widowControl/>
              <w:tabs>
                <w:tab w:val="decimal" w:pos="1891"/>
              </w:tabs>
              <w:spacing w:before="40" w:after="40"/>
              <w:rPr>
                <w:rFonts w:eastAsia="Arial Unicode MS" w:cs="Arial"/>
                <w:sz w:val="20"/>
                <w:szCs w:val="20"/>
              </w:rPr>
            </w:pPr>
            <w:r>
              <w:rPr>
                <w:rFonts w:eastAsia="Arial Unicode MS" w:cs="Arial"/>
                <w:sz w:val="20"/>
                <w:szCs w:val="20"/>
              </w:rPr>
              <w:t>243</w:t>
            </w:r>
          </w:p>
        </w:tc>
        <w:tc>
          <w:tcPr>
            <w:tcW w:w="2159" w:type="dxa"/>
            <w:noWrap/>
            <w:tcMar>
              <w:top w:w="12" w:type="dxa"/>
              <w:left w:w="12" w:type="dxa"/>
              <w:bottom w:w="0" w:type="dxa"/>
              <w:right w:w="12" w:type="dxa"/>
            </w:tcMar>
            <w:vAlign w:val="center"/>
          </w:tcPr>
          <w:p w14:paraId="14213703" w14:textId="77777777" w:rsidR="00A54ED8" w:rsidRPr="00A36B68" w:rsidRDefault="00A54ED8"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187</w:t>
            </w:r>
          </w:p>
        </w:tc>
        <w:tc>
          <w:tcPr>
            <w:tcW w:w="1873" w:type="dxa"/>
            <w:vAlign w:val="center"/>
          </w:tcPr>
          <w:p w14:paraId="5948301A" w14:textId="77777777" w:rsidR="00A54ED8" w:rsidRPr="00A36B68" w:rsidRDefault="00A54ED8" w:rsidP="00D20A1E">
            <w:pPr>
              <w:keepNext/>
              <w:keepLines/>
              <w:widowControl/>
              <w:tabs>
                <w:tab w:val="decimal" w:pos="1120"/>
              </w:tabs>
              <w:spacing w:before="40" w:after="40"/>
              <w:rPr>
                <w:rFonts w:eastAsia="Arial Unicode MS" w:cs="Arial"/>
                <w:sz w:val="20"/>
                <w:szCs w:val="20"/>
              </w:rPr>
            </w:pPr>
          </w:p>
        </w:tc>
        <w:tc>
          <w:tcPr>
            <w:tcW w:w="1876" w:type="dxa"/>
            <w:vAlign w:val="center"/>
          </w:tcPr>
          <w:p w14:paraId="416A3042" w14:textId="77777777" w:rsidR="00A54ED8" w:rsidRPr="00A36B68" w:rsidRDefault="00A54ED8" w:rsidP="00D20A1E">
            <w:pPr>
              <w:keepNext/>
              <w:keepLines/>
              <w:widowControl/>
              <w:tabs>
                <w:tab w:val="decimal" w:pos="1090"/>
              </w:tabs>
              <w:spacing w:before="40" w:after="40"/>
              <w:rPr>
                <w:rFonts w:eastAsia="Arial Unicode MS" w:cs="Arial"/>
                <w:sz w:val="20"/>
                <w:szCs w:val="20"/>
              </w:rPr>
            </w:pPr>
          </w:p>
        </w:tc>
      </w:tr>
      <w:tr w:rsidR="000D5096" w:rsidRPr="00A36B68" w14:paraId="3F9B503F" w14:textId="77777777" w:rsidTr="0030749A">
        <w:trPr>
          <w:trHeight w:val="264"/>
        </w:trPr>
        <w:tc>
          <w:tcPr>
            <w:tcW w:w="1558" w:type="dxa"/>
            <w:tcBorders>
              <w:bottom w:val="nil"/>
            </w:tcBorders>
            <w:noWrap/>
            <w:tcMar>
              <w:top w:w="12" w:type="dxa"/>
              <w:left w:w="12" w:type="dxa"/>
              <w:bottom w:w="0" w:type="dxa"/>
              <w:right w:w="12" w:type="dxa"/>
            </w:tcMar>
            <w:vAlign w:val="center"/>
          </w:tcPr>
          <w:p w14:paraId="42A7573A"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Iodine (</w:t>
            </w:r>
            <w:r w:rsidRPr="00A36B68">
              <w:rPr>
                <w:rFonts w:eastAsia="Arial Unicode MS" w:cs="Arial"/>
                <w:sz w:val="20"/>
                <w:szCs w:val="20"/>
              </w:rPr>
              <w:t>µ</w:t>
            </w:r>
            <w:r w:rsidRPr="00A36B68">
              <w:rPr>
                <w:rFonts w:cs="Arial"/>
                <w:sz w:val="20"/>
                <w:szCs w:val="20"/>
              </w:rPr>
              <w:t>g)</w:t>
            </w:r>
          </w:p>
        </w:tc>
        <w:tc>
          <w:tcPr>
            <w:tcW w:w="1203" w:type="dxa"/>
            <w:tcBorders>
              <w:bottom w:val="nil"/>
            </w:tcBorders>
            <w:noWrap/>
            <w:tcMar>
              <w:top w:w="12" w:type="dxa"/>
              <w:left w:w="12" w:type="dxa"/>
              <w:bottom w:w="0" w:type="dxa"/>
              <w:right w:w="12" w:type="dxa"/>
            </w:tcMar>
            <w:vAlign w:val="center"/>
          </w:tcPr>
          <w:p w14:paraId="28CA27EF"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Australia</w:t>
            </w:r>
          </w:p>
        </w:tc>
        <w:tc>
          <w:tcPr>
            <w:tcW w:w="1781" w:type="dxa"/>
            <w:tcMar>
              <w:top w:w="12" w:type="dxa"/>
              <w:left w:w="12" w:type="dxa"/>
              <w:bottom w:w="0" w:type="dxa"/>
              <w:right w:w="12" w:type="dxa"/>
            </w:tcMar>
            <w:vAlign w:val="center"/>
          </w:tcPr>
          <w:p w14:paraId="6E6AC9D2"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 years and above</w:t>
            </w:r>
          </w:p>
        </w:tc>
        <w:tc>
          <w:tcPr>
            <w:tcW w:w="3531" w:type="dxa"/>
            <w:shd w:val="clear" w:color="auto" w:fill="auto"/>
            <w:vAlign w:val="center"/>
          </w:tcPr>
          <w:p w14:paraId="11CD80DE" w14:textId="5888CEE3" w:rsidR="000D5096" w:rsidRPr="00A36B68" w:rsidRDefault="0030749A" w:rsidP="00D20A1E">
            <w:pPr>
              <w:keepNext/>
              <w:keepLines/>
              <w:widowControl/>
              <w:tabs>
                <w:tab w:val="decimal" w:pos="1891"/>
              </w:tabs>
              <w:spacing w:before="40" w:after="40"/>
              <w:rPr>
                <w:rFonts w:eastAsia="Arial Unicode MS" w:cs="Arial"/>
                <w:sz w:val="20"/>
                <w:szCs w:val="20"/>
              </w:rPr>
            </w:pPr>
            <w:r>
              <w:rPr>
                <w:rFonts w:eastAsia="Arial Unicode MS" w:cs="Arial"/>
                <w:sz w:val="20"/>
                <w:szCs w:val="20"/>
              </w:rPr>
              <w:t>n/a</w:t>
            </w:r>
          </w:p>
        </w:tc>
        <w:tc>
          <w:tcPr>
            <w:tcW w:w="2159" w:type="dxa"/>
            <w:noWrap/>
            <w:tcMar>
              <w:top w:w="12" w:type="dxa"/>
              <w:left w:w="12" w:type="dxa"/>
              <w:bottom w:w="0" w:type="dxa"/>
              <w:right w:w="12" w:type="dxa"/>
            </w:tcMar>
            <w:vAlign w:val="center"/>
          </w:tcPr>
          <w:p w14:paraId="13D576A1" w14:textId="7777777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50</w:t>
            </w:r>
          </w:p>
        </w:tc>
        <w:tc>
          <w:tcPr>
            <w:tcW w:w="1873" w:type="dxa"/>
            <w:vAlign w:val="center"/>
          </w:tcPr>
          <w:p w14:paraId="7F34B7E1" w14:textId="77777777" w:rsidR="000D5096" w:rsidRPr="00A36B68" w:rsidRDefault="000D5096" w:rsidP="00D20A1E">
            <w:pPr>
              <w:keepNext/>
              <w:keepLines/>
              <w:widowControl/>
              <w:tabs>
                <w:tab w:val="decimal" w:pos="1120"/>
              </w:tabs>
              <w:spacing w:before="40" w:after="40"/>
              <w:rPr>
                <w:rFonts w:eastAsia="Arial Unicode MS" w:cs="Arial"/>
                <w:sz w:val="20"/>
                <w:szCs w:val="20"/>
              </w:rPr>
            </w:pPr>
            <w:r w:rsidRPr="00A36B68">
              <w:rPr>
                <w:rFonts w:cs="Arial"/>
                <w:sz w:val="20"/>
                <w:szCs w:val="20"/>
              </w:rPr>
              <w:t>43</w:t>
            </w:r>
          </w:p>
        </w:tc>
        <w:tc>
          <w:tcPr>
            <w:tcW w:w="1876" w:type="dxa"/>
            <w:vAlign w:val="center"/>
          </w:tcPr>
          <w:p w14:paraId="247F3830" w14:textId="77777777" w:rsidR="000D5096" w:rsidRPr="00A36B68" w:rsidRDefault="000D5096" w:rsidP="00D20A1E">
            <w:pPr>
              <w:keepNext/>
              <w:keepLines/>
              <w:widowControl/>
              <w:tabs>
                <w:tab w:val="decimal" w:pos="1090"/>
              </w:tabs>
              <w:spacing w:before="40" w:after="40"/>
              <w:rPr>
                <w:rFonts w:eastAsia="Arial Unicode MS" w:cs="Arial"/>
                <w:sz w:val="20"/>
                <w:szCs w:val="20"/>
              </w:rPr>
            </w:pPr>
            <w:r w:rsidRPr="00A36B68">
              <w:rPr>
                <w:rFonts w:cs="Arial"/>
                <w:sz w:val="20"/>
                <w:szCs w:val="20"/>
              </w:rPr>
              <w:t>46</w:t>
            </w:r>
          </w:p>
        </w:tc>
      </w:tr>
      <w:tr w:rsidR="000D5096" w:rsidRPr="00A36B68" w14:paraId="7B0B1B6D" w14:textId="77777777" w:rsidTr="0030749A">
        <w:trPr>
          <w:trHeight w:val="264"/>
        </w:trPr>
        <w:tc>
          <w:tcPr>
            <w:tcW w:w="1558" w:type="dxa"/>
            <w:tcBorders>
              <w:top w:val="nil"/>
              <w:bottom w:val="nil"/>
            </w:tcBorders>
            <w:noWrap/>
            <w:tcMar>
              <w:top w:w="12" w:type="dxa"/>
              <w:left w:w="12" w:type="dxa"/>
              <w:bottom w:w="0" w:type="dxa"/>
              <w:right w:w="12" w:type="dxa"/>
            </w:tcMar>
            <w:vAlign w:val="center"/>
          </w:tcPr>
          <w:p w14:paraId="44624D50" w14:textId="00C06821" w:rsidR="000D5096" w:rsidRPr="00A36B68" w:rsidRDefault="006F6E1D" w:rsidP="00D20A1E">
            <w:pPr>
              <w:keepNext/>
              <w:keepLines/>
              <w:widowControl/>
              <w:spacing w:before="40" w:after="40"/>
              <w:rPr>
                <w:rFonts w:eastAsia="Arial Unicode MS" w:cs="Arial"/>
                <w:sz w:val="20"/>
                <w:szCs w:val="20"/>
              </w:rPr>
            </w:pPr>
            <w:r>
              <w:rPr>
                <w:rFonts w:eastAsia="Arial Unicode MS" w:cs="Arial"/>
                <w:sz w:val="20"/>
                <w:szCs w:val="20"/>
              </w:rPr>
              <w:t>(NB: pre-mandatory fortification data)</w:t>
            </w:r>
          </w:p>
        </w:tc>
        <w:tc>
          <w:tcPr>
            <w:tcW w:w="1203" w:type="dxa"/>
            <w:tcBorders>
              <w:top w:val="nil"/>
              <w:bottom w:val="nil"/>
            </w:tcBorders>
            <w:noWrap/>
            <w:tcMar>
              <w:top w:w="12" w:type="dxa"/>
              <w:left w:w="12" w:type="dxa"/>
              <w:bottom w:w="0" w:type="dxa"/>
              <w:right w:w="12" w:type="dxa"/>
            </w:tcMar>
            <w:vAlign w:val="center"/>
          </w:tcPr>
          <w:p w14:paraId="0A3CDA65"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5B93107C"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2-4 years</w:t>
            </w:r>
          </w:p>
        </w:tc>
        <w:tc>
          <w:tcPr>
            <w:tcW w:w="3531" w:type="dxa"/>
            <w:shd w:val="clear" w:color="auto" w:fill="auto"/>
            <w:vAlign w:val="center"/>
          </w:tcPr>
          <w:p w14:paraId="33EC3CF0" w14:textId="1375B8F4" w:rsidR="000D5096" w:rsidRPr="00A36B68" w:rsidRDefault="0030749A" w:rsidP="00D20A1E">
            <w:pPr>
              <w:pStyle w:val="FootnoteText"/>
              <w:keepNext/>
              <w:keepLines/>
              <w:widowControl/>
              <w:tabs>
                <w:tab w:val="decimal" w:pos="1891"/>
              </w:tabs>
              <w:spacing w:before="40" w:after="40"/>
              <w:rPr>
                <w:rFonts w:eastAsia="Arial Unicode MS" w:cs="Arial"/>
              </w:rPr>
            </w:pPr>
            <w:r>
              <w:rPr>
                <w:rFonts w:eastAsia="Arial Unicode MS" w:cs="Arial"/>
              </w:rPr>
              <w:t>n/a</w:t>
            </w:r>
          </w:p>
        </w:tc>
        <w:tc>
          <w:tcPr>
            <w:tcW w:w="2159" w:type="dxa"/>
            <w:noWrap/>
            <w:tcMar>
              <w:top w:w="12" w:type="dxa"/>
              <w:left w:w="12" w:type="dxa"/>
              <w:bottom w:w="0" w:type="dxa"/>
              <w:right w:w="12" w:type="dxa"/>
            </w:tcMar>
            <w:vAlign w:val="center"/>
          </w:tcPr>
          <w:p w14:paraId="08EA9F81" w14:textId="14D55998"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48</w:t>
            </w:r>
            <w:r w:rsidR="00B968E4" w:rsidRPr="00A62EBB">
              <w:rPr>
                <w:rFonts w:eastAsia="Arial Unicode MS" w:cs="Arial"/>
                <w:vertAlign w:val="superscript"/>
              </w:rPr>
              <w:sym w:font="Webdings" w:char="F0EA"/>
            </w:r>
          </w:p>
        </w:tc>
        <w:tc>
          <w:tcPr>
            <w:tcW w:w="1873" w:type="dxa"/>
            <w:vAlign w:val="center"/>
          </w:tcPr>
          <w:p w14:paraId="2BF5C2F3"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0E44A8C4"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430EA43E" w14:textId="77777777" w:rsidTr="0030749A">
        <w:trPr>
          <w:trHeight w:val="264"/>
        </w:trPr>
        <w:tc>
          <w:tcPr>
            <w:tcW w:w="1558" w:type="dxa"/>
            <w:tcBorders>
              <w:top w:val="nil"/>
              <w:bottom w:val="nil"/>
            </w:tcBorders>
            <w:noWrap/>
            <w:tcMar>
              <w:top w:w="12" w:type="dxa"/>
              <w:left w:w="12" w:type="dxa"/>
              <w:bottom w:w="0" w:type="dxa"/>
              <w:right w:w="12" w:type="dxa"/>
            </w:tcMar>
            <w:vAlign w:val="center"/>
          </w:tcPr>
          <w:p w14:paraId="74281596"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40D11866"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30A1D31A" w14:textId="6B76A814"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3531" w:type="dxa"/>
            <w:shd w:val="clear" w:color="auto" w:fill="auto"/>
            <w:vAlign w:val="center"/>
          </w:tcPr>
          <w:p w14:paraId="4B2C6250" w14:textId="26451DFE" w:rsidR="000D5096" w:rsidRPr="00A36B68" w:rsidRDefault="0030749A" w:rsidP="00D20A1E">
            <w:pPr>
              <w:keepNext/>
              <w:keepLines/>
              <w:widowControl/>
              <w:tabs>
                <w:tab w:val="decimal" w:pos="1891"/>
              </w:tabs>
              <w:spacing w:before="40" w:after="40"/>
              <w:rPr>
                <w:rFonts w:eastAsia="Arial Unicode MS" w:cs="Arial"/>
                <w:sz w:val="20"/>
                <w:szCs w:val="20"/>
              </w:rPr>
            </w:pPr>
            <w:r>
              <w:rPr>
                <w:rFonts w:eastAsia="Arial Unicode MS" w:cs="Arial"/>
                <w:sz w:val="20"/>
                <w:szCs w:val="20"/>
              </w:rPr>
              <w:t>n/a</w:t>
            </w:r>
          </w:p>
        </w:tc>
        <w:tc>
          <w:tcPr>
            <w:tcW w:w="2159" w:type="dxa"/>
            <w:noWrap/>
            <w:tcMar>
              <w:top w:w="12" w:type="dxa"/>
              <w:left w:w="12" w:type="dxa"/>
              <w:bottom w:w="0" w:type="dxa"/>
              <w:right w:w="12" w:type="dxa"/>
            </w:tcMar>
            <w:vAlign w:val="center"/>
          </w:tcPr>
          <w:p w14:paraId="00C4770D" w14:textId="7777777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46</w:t>
            </w:r>
          </w:p>
        </w:tc>
        <w:tc>
          <w:tcPr>
            <w:tcW w:w="1873" w:type="dxa"/>
            <w:vAlign w:val="center"/>
          </w:tcPr>
          <w:p w14:paraId="0C17D4FD" w14:textId="77777777" w:rsidR="000D5096" w:rsidRPr="00A36B68" w:rsidRDefault="000D5096" w:rsidP="00D20A1E">
            <w:pPr>
              <w:keepNext/>
              <w:keepLines/>
              <w:widowControl/>
              <w:tabs>
                <w:tab w:val="decimal" w:pos="1120"/>
              </w:tabs>
              <w:spacing w:before="40" w:after="40"/>
              <w:rPr>
                <w:rFonts w:eastAsia="Arial Unicode MS" w:cs="Arial"/>
                <w:sz w:val="20"/>
                <w:szCs w:val="20"/>
              </w:rPr>
            </w:pPr>
          </w:p>
        </w:tc>
        <w:tc>
          <w:tcPr>
            <w:tcW w:w="1876" w:type="dxa"/>
            <w:vAlign w:val="center"/>
          </w:tcPr>
          <w:p w14:paraId="0952A849" w14:textId="77777777" w:rsidR="000D5096" w:rsidRPr="00A36B68" w:rsidRDefault="000D5096" w:rsidP="00D20A1E">
            <w:pPr>
              <w:keepNext/>
              <w:keepLines/>
              <w:widowControl/>
              <w:tabs>
                <w:tab w:val="decimal" w:pos="1090"/>
              </w:tabs>
              <w:spacing w:before="40" w:after="40"/>
              <w:rPr>
                <w:rFonts w:eastAsia="Arial Unicode MS" w:cs="Arial"/>
                <w:sz w:val="20"/>
                <w:szCs w:val="20"/>
              </w:rPr>
            </w:pPr>
          </w:p>
        </w:tc>
      </w:tr>
      <w:tr w:rsidR="000D5096" w:rsidRPr="00A36B68" w14:paraId="0C068FE0" w14:textId="77777777" w:rsidTr="0030749A">
        <w:trPr>
          <w:trHeight w:val="264"/>
        </w:trPr>
        <w:tc>
          <w:tcPr>
            <w:tcW w:w="1558" w:type="dxa"/>
            <w:tcBorders>
              <w:top w:val="nil"/>
              <w:bottom w:val="nil"/>
            </w:tcBorders>
            <w:noWrap/>
            <w:tcMar>
              <w:top w:w="12" w:type="dxa"/>
              <w:left w:w="12" w:type="dxa"/>
              <w:bottom w:w="0" w:type="dxa"/>
              <w:right w:w="12" w:type="dxa"/>
            </w:tcMar>
            <w:vAlign w:val="center"/>
          </w:tcPr>
          <w:p w14:paraId="23BFA4B2"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tcBorders>
            <w:noWrap/>
            <w:tcMar>
              <w:top w:w="12" w:type="dxa"/>
              <w:left w:w="12" w:type="dxa"/>
              <w:bottom w:w="0" w:type="dxa"/>
              <w:right w:w="12" w:type="dxa"/>
            </w:tcMar>
            <w:vAlign w:val="center"/>
          </w:tcPr>
          <w:p w14:paraId="0A1E0B72"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3DA9D288"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shd w:val="clear" w:color="auto" w:fill="auto"/>
            <w:vAlign w:val="center"/>
          </w:tcPr>
          <w:p w14:paraId="36FE7523" w14:textId="449C5956" w:rsidR="000D5096" w:rsidRPr="00A36B68" w:rsidRDefault="0030749A" w:rsidP="00D20A1E">
            <w:pPr>
              <w:keepNext/>
              <w:keepLines/>
              <w:widowControl/>
              <w:tabs>
                <w:tab w:val="decimal" w:pos="1891"/>
              </w:tabs>
              <w:spacing w:before="40" w:after="40"/>
              <w:rPr>
                <w:rFonts w:eastAsia="Arial Unicode MS" w:cs="Arial"/>
                <w:sz w:val="20"/>
                <w:szCs w:val="20"/>
              </w:rPr>
            </w:pPr>
            <w:r>
              <w:rPr>
                <w:rFonts w:eastAsia="Arial Unicode MS" w:cs="Arial"/>
                <w:sz w:val="20"/>
                <w:szCs w:val="20"/>
              </w:rPr>
              <w:t>n/a</w:t>
            </w:r>
          </w:p>
        </w:tc>
        <w:tc>
          <w:tcPr>
            <w:tcW w:w="2159" w:type="dxa"/>
            <w:noWrap/>
            <w:tcMar>
              <w:top w:w="12" w:type="dxa"/>
              <w:left w:w="12" w:type="dxa"/>
              <w:bottom w:w="0" w:type="dxa"/>
              <w:right w:w="12" w:type="dxa"/>
            </w:tcMar>
            <w:vAlign w:val="center"/>
          </w:tcPr>
          <w:p w14:paraId="5AE08F5D" w14:textId="7777777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50</w:t>
            </w:r>
          </w:p>
        </w:tc>
        <w:tc>
          <w:tcPr>
            <w:tcW w:w="1873" w:type="dxa"/>
            <w:vAlign w:val="center"/>
          </w:tcPr>
          <w:p w14:paraId="73E8BFD8" w14:textId="77777777" w:rsidR="000D5096" w:rsidRPr="00A36B68" w:rsidRDefault="000D5096" w:rsidP="00D20A1E">
            <w:pPr>
              <w:keepNext/>
              <w:keepLines/>
              <w:widowControl/>
              <w:tabs>
                <w:tab w:val="decimal" w:pos="1120"/>
              </w:tabs>
              <w:spacing w:before="40" w:after="40"/>
              <w:rPr>
                <w:rFonts w:eastAsia="Arial Unicode MS" w:cs="Arial"/>
                <w:sz w:val="20"/>
                <w:szCs w:val="20"/>
              </w:rPr>
            </w:pPr>
          </w:p>
        </w:tc>
        <w:tc>
          <w:tcPr>
            <w:tcW w:w="1876" w:type="dxa"/>
            <w:vAlign w:val="center"/>
          </w:tcPr>
          <w:p w14:paraId="4314B23C" w14:textId="77777777" w:rsidR="000D5096" w:rsidRPr="00A36B68" w:rsidRDefault="000D5096" w:rsidP="00D20A1E">
            <w:pPr>
              <w:keepNext/>
              <w:keepLines/>
              <w:widowControl/>
              <w:tabs>
                <w:tab w:val="decimal" w:pos="1090"/>
              </w:tabs>
              <w:spacing w:before="40" w:after="40"/>
              <w:rPr>
                <w:rFonts w:eastAsia="Arial Unicode MS" w:cs="Arial"/>
                <w:sz w:val="20"/>
                <w:szCs w:val="20"/>
              </w:rPr>
            </w:pPr>
          </w:p>
        </w:tc>
      </w:tr>
      <w:tr w:rsidR="000D5096" w:rsidRPr="00A36B68" w14:paraId="2787A46F" w14:textId="77777777" w:rsidTr="0030749A">
        <w:trPr>
          <w:trHeight w:val="276"/>
        </w:trPr>
        <w:tc>
          <w:tcPr>
            <w:tcW w:w="1558" w:type="dxa"/>
            <w:tcBorders>
              <w:top w:val="nil"/>
              <w:bottom w:val="single" w:sz="4" w:space="0" w:color="auto"/>
            </w:tcBorders>
            <w:noWrap/>
            <w:tcMar>
              <w:top w:w="12" w:type="dxa"/>
              <w:left w:w="12" w:type="dxa"/>
              <w:bottom w:w="0" w:type="dxa"/>
              <w:right w:w="12" w:type="dxa"/>
            </w:tcMar>
            <w:vAlign w:val="center"/>
          </w:tcPr>
          <w:p w14:paraId="72CA4350"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 </w:t>
            </w:r>
          </w:p>
        </w:tc>
        <w:tc>
          <w:tcPr>
            <w:tcW w:w="1203" w:type="dxa"/>
            <w:tcBorders>
              <w:bottom w:val="single" w:sz="4" w:space="0" w:color="auto"/>
            </w:tcBorders>
            <w:noWrap/>
            <w:tcMar>
              <w:top w:w="12" w:type="dxa"/>
              <w:left w:w="12" w:type="dxa"/>
              <w:bottom w:w="0" w:type="dxa"/>
              <w:right w:w="12" w:type="dxa"/>
            </w:tcMar>
            <w:vAlign w:val="center"/>
          </w:tcPr>
          <w:p w14:paraId="54854414"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New Zealand</w:t>
            </w:r>
          </w:p>
        </w:tc>
        <w:tc>
          <w:tcPr>
            <w:tcW w:w="1781" w:type="dxa"/>
            <w:noWrap/>
            <w:tcMar>
              <w:top w:w="12" w:type="dxa"/>
              <w:left w:w="12" w:type="dxa"/>
              <w:bottom w:w="0" w:type="dxa"/>
              <w:right w:w="12" w:type="dxa"/>
            </w:tcMar>
            <w:vAlign w:val="center"/>
          </w:tcPr>
          <w:p w14:paraId="1791A263"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shd w:val="clear" w:color="auto" w:fill="auto"/>
            <w:vAlign w:val="center"/>
          </w:tcPr>
          <w:p w14:paraId="490F71C0" w14:textId="3D1C1DB2" w:rsidR="000D5096" w:rsidRPr="00A36B68" w:rsidRDefault="0030749A" w:rsidP="00D20A1E">
            <w:pPr>
              <w:keepNext/>
              <w:keepLines/>
              <w:widowControl/>
              <w:tabs>
                <w:tab w:val="decimal" w:pos="1891"/>
              </w:tabs>
              <w:spacing w:before="40" w:after="40"/>
              <w:rPr>
                <w:rFonts w:eastAsia="Arial Unicode MS" w:cs="Arial"/>
                <w:sz w:val="20"/>
                <w:szCs w:val="20"/>
              </w:rPr>
            </w:pPr>
            <w:r>
              <w:rPr>
                <w:rFonts w:eastAsia="Arial Unicode MS" w:cs="Arial"/>
                <w:sz w:val="20"/>
                <w:szCs w:val="20"/>
              </w:rPr>
              <w:t>n/a</w:t>
            </w:r>
          </w:p>
        </w:tc>
        <w:tc>
          <w:tcPr>
            <w:tcW w:w="2159" w:type="dxa"/>
            <w:noWrap/>
            <w:tcMar>
              <w:top w:w="12" w:type="dxa"/>
              <w:left w:w="12" w:type="dxa"/>
              <w:bottom w:w="0" w:type="dxa"/>
              <w:right w:w="12" w:type="dxa"/>
            </w:tcMar>
            <w:vAlign w:val="center"/>
          </w:tcPr>
          <w:p w14:paraId="708BBF05" w14:textId="7777777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44</w:t>
            </w:r>
          </w:p>
        </w:tc>
        <w:tc>
          <w:tcPr>
            <w:tcW w:w="1873" w:type="dxa"/>
            <w:vAlign w:val="center"/>
          </w:tcPr>
          <w:p w14:paraId="3C2C0EB7" w14:textId="77777777" w:rsidR="000D5096" w:rsidRPr="00A36B68" w:rsidRDefault="000D5096" w:rsidP="00D20A1E">
            <w:pPr>
              <w:keepNext/>
              <w:keepLines/>
              <w:widowControl/>
              <w:tabs>
                <w:tab w:val="decimal" w:pos="1120"/>
              </w:tabs>
              <w:spacing w:before="40" w:after="40"/>
              <w:rPr>
                <w:rFonts w:eastAsia="Arial Unicode MS" w:cs="Arial"/>
                <w:sz w:val="20"/>
                <w:szCs w:val="20"/>
              </w:rPr>
            </w:pPr>
          </w:p>
        </w:tc>
        <w:tc>
          <w:tcPr>
            <w:tcW w:w="1876" w:type="dxa"/>
            <w:vAlign w:val="center"/>
          </w:tcPr>
          <w:p w14:paraId="013D4B8A" w14:textId="77777777" w:rsidR="000D5096" w:rsidRPr="00A36B68" w:rsidRDefault="000D5096" w:rsidP="00D20A1E">
            <w:pPr>
              <w:keepNext/>
              <w:keepLines/>
              <w:widowControl/>
              <w:tabs>
                <w:tab w:val="decimal" w:pos="1090"/>
              </w:tabs>
              <w:spacing w:before="40" w:after="40"/>
              <w:rPr>
                <w:rFonts w:eastAsia="Arial Unicode MS" w:cs="Arial"/>
                <w:sz w:val="20"/>
                <w:szCs w:val="20"/>
              </w:rPr>
            </w:pPr>
          </w:p>
        </w:tc>
      </w:tr>
      <w:tr w:rsidR="000D5096" w:rsidRPr="00A36B68" w14:paraId="20997F90" w14:textId="77777777" w:rsidTr="00577EF3">
        <w:trPr>
          <w:trHeight w:val="264"/>
        </w:trPr>
        <w:tc>
          <w:tcPr>
            <w:tcW w:w="1558" w:type="dxa"/>
            <w:tcBorders>
              <w:bottom w:val="nil"/>
            </w:tcBorders>
            <w:noWrap/>
            <w:tcMar>
              <w:top w:w="12" w:type="dxa"/>
              <w:left w:w="12" w:type="dxa"/>
              <w:bottom w:w="0" w:type="dxa"/>
              <w:right w:w="12" w:type="dxa"/>
            </w:tcMar>
            <w:vAlign w:val="center"/>
          </w:tcPr>
          <w:p w14:paraId="254B6E3F" w14:textId="77777777" w:rsidR="000D5096" w:rsidRPr="00A36B68" w:rsidRDefault="000D5096" w:rsidP="00D20A1E">
            <w:pPr>
              <w:keepNext/>
              <w:keepLines/>
              <w:pageBreakBefore/>
              <w:widowControl/>
              <w:spacing w:before="40" w:after="40"/>
              <w:rPr>
                <w:rFonts w:eastAsia="Arial Unicode MS" w:cs="Arial"/>
                <w:sz w:val="20"/>
                <w:szCs w:val="20"/>
              </w:rPr>
            </w:pPr>
            <w:r w:rsidRPr="00A36B68">
              <w:rPr>
                <w:rFonts w:cs="Arial"/>
                <w:sz w:val="20"/>
                <w:szCs w:val="20"/>
              </w:rPr>
              <w:lastRenderedPageBreak/>
              <w:t>Magnesium (mg)</w:t>
            </w:r>
          </w:p>
        </w:tc>
        <w:tc>
          <w:tcPr>
            <w:tcW w:w="1203" w:type="dxa"/>
            <w:tcBorders>
              <w:bottom w:val="nil"/>
            </w:tcBorders>
            <w:noWrap/>
            <w:tcMar>
              <w:top w:w="12" w:type="dxa"/>
              <w:left w:w="12" w:type="dxa"/>
              <w:bottom w:w="0" w:type="dxa"/>
              <w:right w:w="12" w:type="dxa"/>
            </w:tcMar>
            <w:vAlign w:val="center"/>
          </w:tcPr>
          <w:p w14:paraId="59D1242D" w14:textId="77777777" w:rsidR="000D5096" w:rsidRPr="00A36B68" w:rsidRDefault="000D5096" w:rsidP="00D20A1E">
            <w:pPr>
              <w:keepNext/>
              <w:keepLines/>
              <w:pageBreakBefore/>
              <w:widowControl/>
              <w:spacing w:before="40" w:after="40"/>
              <w:rPr>
                <w:rFonts w:eastAsia="Arial Unicode MS" w:cs="Arial"/>
                <w:sz w:val="20"/>
                <w:szCs w:val="20"/>
              </w:rPr>
            </w:pPr>
            <w:r w:rsidRPr="00A36B68">
              <w:rPr>
                <w:rFonts w:cs="Arial"/>
                <w:sz w:val="20"/>
                <w:szCs w:val="20"/>
              </w:rPr>
              <w:t>Australia</w:t>
            </w:r>
          </w:p>
        </w:tc>
        <w:tc>
          <w:tcPr>
            <w:tcW w:w="1781" w:type="dxa"/>
            <w:tcMar>
              <w:top w:w="12" w:type="dxa"/>
              <w:left w:w="12" w:type="dxa"/>
              <w:bottom w:w="0" w:type="dxa"/>
              <w:right w:w="12" w:type="dxa"/>
            </w:tcMar>
            <w:vAlign w:val="center"/>
          </w:tcPr>
          <w:p w14:paraId="4765C284" w14:textId="77777777" w:rsidR="000D5096" w:rsidRPr="00A36B68" w:rsidRDefault="000D5096" w:rsidP="00D20A1E">
            <w:pPr>
              <w:keepNext/>
              <w:keepLines/>
              <w:pageBreakBefore/>
              <w:widowControl/>
              <w:spacing w:before="40" w:after="40"/>
              <w:rPr>
                <w:rFonts w:eastAsia="Arial Unicode MS" w:cs="Arial"/>
                <w:sz w:val="20"/>
                <w:szCs w:val="20"/>
              </w:rPr>
            </w:pPr>
            <w:r w:rsidRPr="00A36B68">
              <w:rPr>
                <w:rFonts w:cs="Arial"/>
                <w:sz w:val="20"/>
                <w:szCs w:val="20"/>
              </w:rPr>
              <w:t>2 years and above</w:t>
            </w:r>
          </w:p>
        </w:tc>
        <w:tc>
          <w:tcPr>
            <w:tcW w:w="3531" w:type="dxa"/>
            <w:vAlign w:val="center"/>
          </w:tcPr>
          <w:p w14:paraId="25E41892" w14:textId="77777777" w:rsidR="000D5096" w:rsidRPr="00A36B68" w:rsidRDefault="000D5096" w:rsidP="00D20A1E">
            <w:pPr>
              <w:keepNext/>
              <w:keepLines/>
              <w:pageBreakBefore/>
              <w:widowControl/>
              <w:tabs>
                <w:tab w:val="decimal" w:pos="1891"/>
              </w:tabs>
              <w:spacing w:before="40" w:after="40"/>
              <w:rPr>
                <w:rFonts w:eastAsia="Arial Unicode MS" w:cs="Arial"/>
                <w:sz w:val="20"/>
                <w:szCs w:val="20"/>
              </w:rPr>
            </w:pPr>
            <w:r>
              <w:rPr>
                <w:rFonts w:eastAsia="Arial Unicode MS" w:cs="Arial"/>
                <w:sz w:val="20"/>
                <w:szCs w:val="20"/>
              </w:rPr>
              <w:t>314</w:t>
            </w:r>
          </w:p>
        </w:tc>
        <w:tc>
          <w:tcPr>
            <w:tcW w:w="2159" w:type="dxa"/>
            <w:noWrap/>
            <w:tcMar>
              <w:top w:w="12" w:type="dxa"/>
              <w:left w:w="12" w:type="dxa"/>
              <w:bottom w:w="0" w:type="dxa"/>
              <w:right w:w="12" w:type="dxa"/>
            </w:tcMar>
            <w:vAlign w:val="center"/>
          </w:tcPr>
          <w:p w14:paraId="3A8F71FB" w14:textId="77777777" w:rsidR="000D5096" w:rsidRPr="00A36B68" w:rsidRDefault="000D5096" w:rsidP="00D20A1E">
            <w:pPr>
              <w:keepNext/>
              <w:keepLines/>
              <w:pageBreakBefore/>
              <w:widowControl/>
              <w:tabs>
                <w:tab w:val="decimal" w:pos="1141"/>
              </w:tabs>
              <w:spacing w:before="40" w:after="40"/>
              <w:rPr>
                <w:rFonts w:eastAsia="Arial Unicode MS" w:cs="Arial"/>
                <w:sz w:val="20"/>
                <w:szCs w:val="20"/>
              </w:rPr>
            </w:pPr>
            <w:r w:rsidRPr="00A36B68">
              <w:rPr>
                <w:rFonts w:eastAsia="Arial Unicode MS" w:cs="Arial"/>
                <w:sz w:val="20"/>
                <w:szCs w:val="20"/>
              </w:rPr>
              <w:t>251</w:t>
            </w:r>
          </w:p>
        </w:tc>
        <w:tc>
          <w:tcPr>
            <w:tcW w:w="1873" w:type="dxa"/>
            <w:vAlign w:val="center"/>
          </w:tcPr>
          <w:p w14:paraId="2C1474F7" w14:textId="77777777" w:rsidR="000D5096" w:rsidRPr="00A36B68" w:rsidRDefault="000D5096" w:rsidP="00D20A1E">
            <w:pPr>
              <w:keepNext/>
              <w:keepLines/>
              <w:pageBreakBefore/>
              <w:widowControl/>
              <w:tabs>
                <w:tab w:val="decimal" w:pos="1120"/>
              </w:tabs>
              <w:spacing w:before="40" w:after="40"/>
              <w:rPr>
                <w:rFonts w:eastAsia="Arial Unicode MS" w:cs="Arial"/>
                <w:sz w:val="20"/>
                <w:szCs w:val="20"/>
              </w:rPr>
            </w:pPr>
            <w:r w:rsidRPr="00A36B68">
              <w:rPr>
                <w:rFonts w:cs="Arial"/>
                <w:sz w:val="20"/>
                <w:szCs w:val="20"/>
              </w:rPr>
              <w:t>347</w:t>
            </w:r>
          </w:p>
        </w:tc>
        <w:tc>
          <w:tcPr>
            <w:tcW w:w="1876" w:type="dxa"/>
            <w:vAlign w:val="center"/>
          </w:tcPr>
          <w:p w14:paraId="27D7E5D9" w14:textId="77777777" w:rsidR="000D5096" w:rsidRPr="00A36B68" w:rsidRDefault="000D5096" w:rsidP="00D20A1E">
            <w:pPr>
              <w:keepNext/>
              <w:keepLines/>
              <w:pageBreakBefore/>
              <w:widowControl/>
              <w:tabs>
                <w:tab w:val="decimal" w:pos="1090"/>
              </w:tabs>
              <w:spacing w:before="40" w:after="40"/>
              <w:rPr>
                <w:rFonts w:eastAsia="Arial Unicode MS" w:cs="Arial"/>
                <w:sz w:val="20"/>
                <w:szCs w:val="20"/>
              </w:rPr>
            </w:pPr>
            <w:r w:rsidRPr="00A36B68">
              <w:rPr>
                <w:rFonts w:cs="Arial"/>
                <w:sz w:val="20"/>
                <w:szCs w:val="20"/>
              </w:rPr>
              <w:t>364</w:t>
            </w:r>
          </w:p>
        </w:tc>
      </w:tr>
      <w:tr w:rsidR="000D5096" w:rsidRPr="00A36B68" w14:paraId="509E4123"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3BBF86F6"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3DA9686E"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27180E5E" w14:textId="29277831"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3531" w:type="dxa"/>
            <w:vAlign w:val="center"/>
          </w:tcPr>
          <w:p w14:paraId="60EBEDC9" w14:textId="77777777" w:rsidR="000D5096" w:rsidRPr="00A36B68" w:rsidRDefault="000D5096" w:rsidP="00D20A1E">
            <w:pPr>
              <w:keepNext/>
              <w:keepLines/>
              <w:widowControl/>
              <w:tabs>
                <w:tab w:val="decimal" w:pos="1891"/>
              </w:tabs>
              <w:spacing w:before="40" w:after="40"/>
              <w:rPr>
                <w:rFonts w:eastAsia="Arial Unicode MS" w:cs="Arial"/>
                <w:sz w:val="20"/>
                <w:szCs w:val="20"/>
              </w:rPr>
            </w:pPr>
            <w:r>
              <w:rPr>
                <w:rFonts w:eastAsia="Arial Unicode MS" w:cs="Arial"/>
                <w:sz w:val="20"/>
                <w:szCs w:val="20"/>
              </w:rPr>
              <w:t>202</w:t>
            </w:r>
          </w:p>
        </w:tc>
        <w:tc>
          <w:tcPr>
            <w:tcW w:w="2159" w:type="dxa"/>
            <w:noWrap/>
            <w:tcMar>
              <w:top w:w="12" w:type="dxa"/>
              <w:left w:w="12" w:type="dxa"/>
              <w:bottom w:w="0" w:type="dxa"/>
              <w:right w:w="12" w:type="dxa"/>
            </w:tcMar>
            <w:vAlign w:val="center"/>
          </w:tcPr>
          <w:p w14:paraId="560E165A" w14:textId="16C6A368"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144</w:t>
            </w:r>
            <w:r w:rsidR="00A62EBB" w:rsidRPr="00A62EBB">
              <w:rPr>
                <w:rFonts w:eastAsia="Arial Unicode MS" w:cs="Arial"/>
                <w:sz w:val="20"/>
                <w:szCs w:val="20"/>
                <w:vertAlign w:val="superscript"/>
              </w:rPr>
              <w:sym w:font="Webdings" w:char="F0EA"/>
            </w:r>
          </w:p>
        </w:tc>
        <w:tc>
          <w:tcPr>
            <w:tcW w:w="1873" w:type="dxa"/>
            <w:vAlign w:val="center"/>
          </w:tcPr>
          <w:p w14:paraId="757C6ED5" w14:textId="77777777" w:rsidR="000D5096" w:rsidRPr="00A36B68" w:rsidRDefault="000D5096" w:rsidP="00D20A1E">
            <w:pPr>
              <w:keepNext/>
              <w:keepLines/>
              <w:widowControl/>
              <w:tabs>
                <w:tab w:val="decimal" w:pos="1120"/>
              </w:tabs>
              <w:spacing w:before="40" w:after="40"/>
              <w:rPr>
                <w:rFonts w:eastAsia="Arial Unicode MS" w:cs="Arial"/>
                <w:sz w:val="20"/>
                <w:szCs w:val="20"/>
              </w:rPr>
            </w:pPr>
          </w:p>
        </w:tc>
        <w:tc>
          <w:tcPr>
            <w:tcW w:w="1876" w:type="dxa"/>
            <w:vAlign w:val="center"/>
          </w:tcPr>
          <w:p w14:paraId="41B4D00C" w14:textId="77777777" w:rsidR="000D5096" w:rsidRPr="00A36B68" w:rsidRDefault="000D5096" w:rsidP="00D20A1E">
            <w:pPr>
              <w:keepNext/>
              <w:keepLines/>
              <w:widowControl/>
              <w:tabs>
                <w:tab w:val="decimal" w:pos="1090"/>
              </w:tabs>
              <w:spacing w:before="40" w:after="40"/>
              <w:rPr>
                <w:rFonts w:eastAsia="Arial Unicode MS" w:cs="Arial"/>
                <w:sz w:val="20"/>
                <w:szCs w:val="20"/>
              </w:rPr>
            </w:pPr>
          </w:p>
        </w:tc>
      </w:tr>
      <w:tr w:rsidR="000D5096" w:rsidRPr="00A36B68" w14:paraId="0C484130"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6235C151"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434625F4"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752AE032" w14:textId="50295929"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3531" w:type="dxa"/>
            <w:vAlign w:val="center"/>
          </w:tcPr>
          <w:p w14:paraId="08E7E736" w14:textId="77777777" w:rsidR="000D5096" w:rsidRPr="00A36B68" w:rsidRDefault="000D5096" w:rsidP="00D20A1E">
            <w:pPr>
              <w:keepNext/>
              <w:keepLines/>
              <w:widowControl/>
              <w:tabs>
                <w:tab w:val="decimal" w:pos="1891"/>
              </w:tabs>
              <w:spacing w:before="40" w:after="40"/>
              <w:rPr>
                <w:rFonts w:eastAsia="Arial Unicode MS" w:cs="Arial"/>
                <w:sz w:val="20"/>
                <w:szCs w:val="20"/>
              </w:rPr>
            </w:pPr>
            <w:r>
              <w:rPr>
                <w:rFonts w:eastAsia="Arial Unicode MS" w:cs="Arial"/>
                <w:sz w:val="20"/>
                <w:szCs w:val="20"/>
              </w:rPr>
              <w:t>256</w:t>
            </w:r>
          </w:p>
        </w:tc>
        <w:tc>
          <w:tcPr>
            <w:tcW w:w="2159" w:type="dxa"/>
            <w:noWrap/>
            <w:tcMar>
              <w:top w:w="12" w:type="dxa"/>
              <w:left w:w="12" w:type="dxa"/>
              <w:bottom w:w="0" w:type="dxa"/>
              <w:right w:w="12" w:type="dxa"/>
            </w:tcMar>
            <w:vAlign w:val="center"/>
          </w:tcPr>
          <w:p w14:paraId="439DBEA3" w14:textId="7777777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186</w:t>
            </w:r>
          </w:p>
        </w:tc>
        <w:tc>
          <w:tcPr>
            <w:tcW w:w="1873" w:type="dxa"/>
            <w:vAlign w:val="center"/>
          </w:tcPr>
          <w:p w14:paraId="15A739A6" w14:textId="77777777" w:rsidR="000D5096" w:rsidRPr="00A36B68" w:rsidRDefault="000D5096" w:rsidP="00D20A1E">
            <w:pPr>
              <w:keepNext/>
              <w:keepLines/>
              <w:widowControl/>
              <w:tabs>
                <w:tab w:val="decimal" w:pos="1120"/>
              </w:tabs>
              <w:spacing w:before="40" w:after="40"/>
              <w:rPr>
                <w:rFonts w:eastAsia="Arial Unicode MS" w:cs="Arial"/>
                <w:sz w:val="20"/>
                <w:szCs w:val="20"/>
              </w:rPr>
            </w:pPr>
          </w:p>
        </w:tc>
        <w:tc>
          <w:tcPr>
            <w:tcW w:w="1876" w:type="dxa"/>
            <w:vAlign w:val="center"/>
          </w:tcPr>
          <w:p w14:paraId="4B5B6541" w14:textId="77777777" w:rsidR="000D5096" w:rsidRPr="00A36B68" w:rsidRDefault="000D5096" w:rsidP="00D20A1E">
            <w:pPr>
              <w:keepNext/>
              <w:keepLines/>
              <w:widowControl/>
              <w:tabs>
                <w:tab w:val="decimal" w:pos="1090"/>
              </w:tabs>
              <w:spacing w:before="40" w:after="40"/>
              <w:rPr>
                <w:rFonts w:eastAsia="Arial Unicode MS" w:cs="Arial"/>
                <w:sz w:val="20"/>
                <w:szCs w:val="20"/>
              </w:rPr>
            </w:pPr>
          </w:p>
        </w:tc>
      </w:tr>
      <w:tr w:rsidR="000D5096" w:rsidRPr="00A36B68" w14:paraId="25C322FD"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4AF9885B"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tcBorders>
            <w:noWrap/>
            <w:tcMar>
              <w:top w:w="12" w:type="dxa"/>
              <w:left w:w="12" w:type="dxa"/>
              <w:bottom w:w="0" w:type="dxa"/>
              <w:right w:w="12" w:type="dxa"/>
            </w:tcMar>
            <w:vAlign w:val="center"/>
          </w:tcPr>
          <w:p w14:paraId="61F0F48E"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73E2E232"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vAlign w:val="center"/>
          </w:tcPr>
          <w:p w14:paraId="620C869B" w14:textId="77777777" w:rsidR="000D5096" w:rsidRPr="00A36B68" w:rsidRDefault="000D5096" w:rsidP="00D20A1E">
            <w:pPr>
              <w:keepNext/>
              <w:keepLines/>
              <w:widowControl/>
              <w:tabs>
                <w:tab w:val="decimal" w:pos="1891"/>
              </w:tabs>
              <w:spacing w:before="40" w:after="40"/>
              <w:rPr>
                <w:rFonts w:eastAsia="Arial Unicode MS" w:cs="Arial"/>
                <w:sz w:val="20"/>
                <w:szCs w:val="20"/>
              </w:rPr>
            </w:pPr>
            <w:r>
              <w:rPr>
                <w:rFonts w:eastAsia="Arial Unicode MS" w:cs="Arial"/>
                <w:sz w:val="20"/>
                <w:szCs w:val="20"/>
              </w:rPr>
              <w:t>329</w:t>
            </w:r>
          </w:p>
        </w:tc>
        <w:tc>
          <w:tcPr>
            <w:tcW w:w="2159" w:type="dxa"/>
            <w:noWrap/>
            <w:tcMar>
              <w:top w:w="12" w:type="dxa"/>
              <w:left w:w="12" w:type="dxa"/>
              <w:bottom w:w="0" w:type="dxa"/>
              <w:right w:w="12" w:type="dxa"/>
            </w:tcMar>
            <w:vAlign w:val="center"/>
          </w:tcPr>
          <w:p w14:paraId="1594DE79" w14:textId="7777777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264</w:t>
            </w:r>
          </w:p>
        </w:tc>
        <w:tc>
          <w:tcPr>
            <w:tcW w:w="1873" w:type="dxa"/>
            <w:vAlign w:val="center"/>
          </w:tcPr>
          <w:p w14:paraId="0B278C98" w14:textId="77777777" w:rsidR="000D5096" w:rsidRPr="00A36B68" w:rsidRDefault="000D5096" w:rsidP="00D20A1E">
            <w:pPr>
              <w:keepNext/>
              <w:keepLines/>
              <w:widowControl/>
              <w:tabs>
                <w:tab w:val="decimal" w:pos="1120"/>
              </w:tabs>
              <w:spacing w:before="40" w:after="40"/>
              <w:rPr>
                <w:rFonts w:eastAsia="Arial Unicode MS" w:cs="Arial"/>
                <w:sz w:val="20"/>
                <w:szCs w:val="20"/>
              </w:rPr>
            </w:pPr>
          </w:p>
        </w:tc>
        <w:tc>
          <w:tcPr>
            <w:tcW w:w="1876" w:type="dxa"/>
            <w:vAlign w:val="center"/>
          </w:tcPr>
          <w:p w14:paraId="07496562" w14:textId="77777777" w:rsidR="000D5096" w:rsidRPr="00A36B68" w:rsidRDefault="000D5096" w:rsidP="00D20A1E">
            <w:pPr>
              <w:keepNext/>
              <w:keepLines/>
              <w:widowControl/>
              <w:tabs>
                <w:tab w:val="decimal" w:pos="1090"/>
              </w:tabs>
              <w:spacing w:before="40" w:after="40"/>
              <w:rPr>
                <w:rFonts w:eastAsia="Arial Unicode MS" w:cs="Arial"/>
                <w:sz w:val="20"/>
                <w:szCs w:val="20"/>
              </w:rPr>
            </w:pPr>
          </w:p>
        </w:tc>
      </w:tr>
      <w:tr w:rsidR="000D5096" w:rsidRPr="00A36B68" w14:paraId="1DD5E6C6" w14:textId="77777777" w:rsidTr="00577EF3">
        <w:trPr>
          <w:trHeight w:val="264"/>
        </w:trPr>
        <w:tc>
          <w:tcPr>
            <w:tcW w:w="1558" w:type="dxa"/>
            <w:tcBorders>
              <w:top w:val="nil"/>
              <w:bottom w:val="single" w:sz="4" w:space="0" w:color="auto"/>
            </w:tcBorders>
            <w:noWrap/>
            <w:tcMar>
              <w:top w:w="12" w:type="dxa"/>
              <w:left w:w="12" w:type="dxa"/>
              <w:bottom w:w="0" w:type="dxa"/>
              <w:right w:w="12" w:type="dxa"/>
            </w:tcMar>
            <w:vAlign w:val="center"/>
          </w:tcPr>
          <w:p w14:paraId="4A221B34"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bottom w:val="single" w:sz="4" w:space="0" w:color="auto"/>
            </w:tcBorders>
            <w:noWrap/>
            <w:tcMar>
              <w:top w:w="12" w:type="dxa"/>
              <w:left w:w="12" w:type="dxa"/>
              <w:bottom w:w="0" w:type="dxa"/>
              <w:right w:w="12" w:type="dxa"/>
            </w:tcMar>
            <w:vAlign w:val="center"/>
          </w:tcPr>
          <w:p w14:paraId="197A64D2"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New Zealand</w:t>
            </w:r>
          </w:p>
        </w:tc>
        <w:tc>
          <w:tcPr>
            <w:tcW w:w="1781" w:type="dxa"/>
            <w:noWrap/>
            <w:tcMar>
              <w:top w:w="12" w:type="dxa"/>
              <w:left w:w="12" w:type="dxa"/>
              <w:bottom w:w="0" w:type="dxa"/>
              <w:right w:w="12" w:type="dxa"/>
            </w:tcMar>
            <w:vAlign w:val="center"/>
          </w:tcPr>
          <w:p w14:paraId="077A9858"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vAlign w:val="center"/>
          </w:tcPr>
          <w:p w14:paraId="05332976" w14:textId="77777777" w:rsidR="000D5096" w:rsidRPr="00A36B68" w:rsidRDefault="000D5096" w:rsidP="00D20A1E">
            <w:pPr>
              <w:keepNext/>
              <w:keepLines/>
              <w:widowControl/>
              <w:tabs>
                <w:tab w:val="decimal" w:pos="1891"/>
              </w:tabs>
              <w:spacing w:before="40" w:after="40"/>
              <w:rPr>
                <w:rFonts w:eastAsia="Arial Unicode MS" w:cs="Arial"/>
                <w:sz w:val="20"/>
                <w:szCs w:val="20"/>
              </w:rPr>
            </w:pPr>
            <w:r w:rsidRPr="00662A81">
              <w:rPr>
                <w:rFonts w:eastAsia="Arial Unicode MS" w:cs="Arial"/>
                <w:sz w:val="20"/>
                <w:szCs w:val="20"/>
              </w:rPr>
              <w:t>310</w:t>
            </w:r>
          </w:p>
        </w:tc>
        <w:tc>
          <w:tcPr>
            <w:tcW w:w="2159" w:type="dxa"/>
            <w:noWrap/>
            <w:tcMar>
              <w:top w:w="12" w:type="dxa"/>
              <w:left w:w="12" w:type="dxa"/>
              <w:bottom w:w="0" w:type="dxa"/>
              <w:right w:w="12" w:type="dxa"/>
            </w:tcMar>
            <w:vAlign w:val="center"/>
          </w:tcPr>
          <w:p w14:paraId="16CA3DE8" w14:textId="7777777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245</w:t>
            </w:r>
          </w:p>
        </w:tc>
        <w:tc>
          <w:tcPr>
            <w:tcW w:w="1873" w:type="dxa"/>
            <w:vAlign w:val="center"/>
          </w:tcPr>
          <w:p w14:paraId="67B59CEF" w14:textId="77777777" w:rsidR="000D5096" w:rsidRPr="00A36B68" w:rsidRDefault="000D5096" w:rsidP="00D20A1E">
            <w:pPr>
              <w:keepNext/>
              <w:keepLines/>
              <w:widowControl/>
              <w:tabs>
                <w:tab w:val="decimal" w:pos="1120"/>
              </w:tabs>
              <w:spacing w:before="40" w:after="40"/>
              <w:rPr>
                <w:rFonts w:eastAsia="Arial Unicode MS" w:cs="Arial"/>
                <w:sz w:val="20"/>
                <w:szCs w:val="20"/>
              </w:rPr>
            </w:pPr>
          </w:p>
        </w:tc>
        <w:tc>
          <w:tcPr>
            <w:tcW w:w="1876" w:type="dxa"/>
            <w:vAlign w:val="center"/>
          </w:tcPr>
          <w:p w14:paraId="3D526ABF" w14:textId="77777777" w:rsidR="000D5096" w:rsidRPr="00A36B68" w:rsidRDefault="000D5096" w:rsidP="00D20A1E">
            <w:pPr>
              <w:keepNext/>
              <w:keepLines/>
              <w:widowControl/>
              <w:tabs>
                <w:tab w:val="decimal" w:pos="1090"/>
              </w:tabs>
              <w:spacing w:before="40" w:after="40"/>
              <w:rPr>
                <w:rFonts w:eastAsia="Arial Unicode MS" w:cs="Arial"/>
                <w:sz w:val="20"/>
                <w:szCs w:val="20"/>
              </w:rPr>
            </w:pPr>
          </w:p>
        </w:tc>
      </w:tr>
      <w:tr w:rsidR="000D5096" w:rsidRPr="00A36B68" w14:paraId="31EBA987" w14:textId="77777777" w:rsidTr="00577EF3">
        <w:trPr>
          <w:trHeight w:val="264"/>
        </w:trPr>
        <w:tc>
          <w:tcPr>
            <w:tcW w:w="1558" w:type="dxa"/>
            <w:tcBorders>
              <w:bottom w:val="nil"/>
            </w:tcBorders>
            <w:noWrap/>
            <w:tcMar>
              <w:top w:w="12" w:type="dxa"/>
              <w:left w:w="12" w:type="dxa"/>
              <w:bottom w:w="0" w:type="dxa"/>
              <w:right w:w="12" w:type="dxa"/>
            </w:tcMar>
            <w:vAlign w:val="center"/>
          </w:tcPr>
          <w:p w14:paraId="33A9B26A"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Phosphorus (mg)</w:t>
            </w:r>
          </w:p>
        </w:tc>
        <w:tc>
          <w:tcPr>
            <w:tcW w:w="1203" w:type="dxa"/>
            <w:tcBorders>
              <w:bottom w:val="nil"/>
            </w:tcBorders>
            <w:noWrap/>
            <w:tcMar>
              <w:top w:w="12" w:type="dxa"/>
              <w:left w:w="12" w:type="dxa"/>
              <w:bottom w:w="0" w:type="dxa"/>
              <w:right w:w="12" w:type="dxa"/>
            </w:tcMar>
            <w:vAlign w:val="center"/>
          </w:tcPr>
          <w:p w14:paraId="102E5052"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Australia</w:t>
            </w:r>
          </w:p>
        </w:tc>
        <w:tc>
          <w:tcPr>
            <w:tcW w:w="1781" w:type="dxa"/>
            <w:tcMar>
              <w:top w:w="12" w:type="dxa"/>
              <w:left w:w="12" w:type="dxa"/>
              <w:bottom w:w="0" w:type="dxa"/>
              <w:right w:w="12" w:type="dxa"/>
            </w:tcMar>
            <w:vAlign w:val="center"/>
          </w:tcPr>
          <w:p w14:paraId="5BCC1C06"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 years and above</w:t>
            </w:r>
          </w:p>
        </w:tc>
        <w:tc>
          <w:tcPr>
            <w:tcW w:w="3531" w:type="dxa"/>
            <w:vAlign w:val="center"/>
          </w:tcPr>
          <w:p w14:paraId="405C01E6" w14:textId="77777777" w:rsidR="000D5096" w:rsidRPr="00A36B68" w:rsidRDefault="000D5096" w:rsidP="00D20A1E">
            <w:pPr>
              <w:keepNext/>
              <w:keepLines/>
              <w:widowControl/>
              <w:tabs>
                <w:tab w:val="decimal" w:pos="1891"/>
              </w:tabs>
              <w:spacing w:before="40" w:after="40"/>
              <w:rPr>
                <w:rFonts w:eastAsia="Arial Unicode MS" w:cs="Arial"/>
                <w:sz w:val="20"/>
                <w:szCs w:val="20"/>
              </w:rPr>
            </w:pPr>
            <w:r>
              <w:rPr>
                <w:rFonts w:eastAsia="Arial Unicode MS" w:cs="Arial"/>
                <w:sz w:val="20"/>
                <w:szCs w:val="20"/>
              </w:rPr>
              <w:t>1,451</w:t>
            </w:r>
          </w:p>
        </w:tc>
        <w:tc>
          <w:tcPr>
            <w:tcW w:w="2159" w:type="dxa"/>
            <w:noWrap/>
            <w:tcMar>
              <w:top w:w="12" w:type="dxa"/>
              <w:left w:w="12" w:type="dxa"/>
              <w:bottom w:w="0" w:type="dxa"/>
              <w:right w:w="12" w:type="dxa"/>
            </w:tcMar>
            <w:vAlign w:val="center"/>
          </w:tcPr>
          <w:p w14:paraId="24C1A7BA" w14:textId="7777777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1,045</w:t>
            </w:r>
          </w:p>
        </w:tc>
        <w:tc>
          <w:tcPr>
            <w:tcW w:w="1873" w:type="dxa"/>
            <w:vAlign w:val="center"/>
          </w:tcPr>
          <w:p w14:paraId="344C55E0" w14:textId="77777777" w:rsidR="000D5096" w:rsidRPr="00A36B68" w:rsidRDefault="000D5096" w:rsidP="00D20A1E">
            <w:pPr>
              <w:keepNext/>
              <w:keepLines/>
              <w:widowControl/>
              <w:tabs>
                <w:tab w:val="decimal" w:pos="1120"/>
              </w:tabs>
              <w:spacing w:before="40" w:after="40"/>
              <w:rPr>
                <w:rFonts w:eastAsia="Arial Unicode MS" w:cs="Arial"/>
                <w:sz w:val="20"/>
                <w:szCs w:val="20"/>
              </w:rPr>
            </w:pPr>
            <w:r w:rsidRPr="00A36B68">
              <w:rPr>
                <w:rFonts w:cs="Arial"/>
                <w:sz w:val="20"/>
                <w:szCs w:val="20"/>
              </w:rPr>
              <w:t>1,208</w:t>
            </w:r>
          </w:p>
        </w:tc>
        <w:tc>
          <w:tcPr>
            <w:tcW w:w="1876" w:type="dxa"/>
            <w:vAlign w:val="center"/>
          </w:tcPr>
          <w:p w14:paraId="6F873AE7" w14:textId="77777777" w:rsidR="000D5096" w:rsidRPr="00A36B68" w:rsidRDefault="000D5096" w:rsidP="00D20A1E">
            <w:pPr>
              <w:keepNext/>
              <w:keepLines/>
              <w:widowControl/>
              <w:tabs>
                <w:tab w:val="decimal" w:pos="1090"/>
              </w:tabs>
              <w:spacing w:before="40" w:after="40"/>
              <w:rPr>
                <w:rFonts w:eastAsia="Arial Unicode MS" w:cs="Arial"/>
                <w:sz w:val="20"/>
                <w:szCs w:val="20"/>
              </w:rPr>
            </w:pPr>
            <w:r w:rsidRPr="00A36B68">
              <w:rPr>
                <w:rFonts w:cs="Arial"/>
                <w:sz w:val="20"/>
                <w:szCs w:val="20"/>
              </w:rPr>
              <w:t>1,426</w:t>
            </w:r>
          </w:p>
        </w:tc>
      </w:tr>
      <w:tr w:rsidR="000D5096" w:rsidRPr="00A36B68" w14:paraId="050CC887"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38D37264"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22D831B5"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5AF7BC40" w14:textId="12AB35BE"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3531" w:type="dxa"/>
            <w:vAlign w:val="center"/>
          </w:tcPr>
          <w:p w14:paraId="6CFDD8BC" w14:textId="77777777" w:rsidR="000D5096" w:rsidRPr="00A36B68" w:rsidRDefault="000D5096" w:rsidP="00D20A1E">
            <w:pPr>
              <w:keepNext/>
              <w:keepLines/>
              <w:widowControl/>
              <w:tabs>
                <w:tab w:val="decimal" w:pos="1891"/>
              </w:tabs>
              <w:spacing w:before="40" w:after="40"/>
              <w:rPr>
                <w:rFonts w:eastAsia="Arial Unicode MS" w:cs="Arial"/>
                <w:sz w:val="20"/>
                <w:szCs w:val="20"/>
              </w:rPr>
            </w:pPr>
            <w:r>
              <w:rPr>
                <w:rFonts w:eastAsia="Arial Unicode MS" w:cs="Arial"/>
                <w:sz w:val="20"/>
                <w:szCs w:val="20"/>
              </w:rPr>
              <w:t>1,047</w:t>
            </w:r>
          </w:p>
        </w:tc>
        <w:tc>
          <w:tcPr>
            <w:tcW w:w="2159" w:type="dxa"/>
            <w:noWrap/>
            <w:tcMar>
              <w:top w:w="12" w:type="dxa"/>
              <w:left w:w="12" w:type="dxa"/>
              <w:bottom w:w="0" w:type="dxa"/>
              <w:right w:w="12" w:type="dxa"/>
            </w:tcMar>
            <w:vAlign w:val="center"/>
          </w:tcPr>
          <w:p w14:paraId="61709D4E" w14:textId="08598CA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643</w:t>
            </w:r>
            <w:r w:rsidR="00A62EBB" w:rsidRPr="00A62EBB">
              <w:rPr>
                <w:rFonts w:eastAsia="Arial Unicode MS" w:cs="Arial"/>
                <w:sz w:val="20"/>
                <w:szCs w:val="20"/>
                <w:vertAlign w:val="superscript"/>
              </w:rPr>
              <w:sym w:font="Webdings" w:char="F0EA"/>
            </w:r>
          </w:p>
        </w:tc>
        <w:tc>
          <w:tcPr>
            <w:tcW w:w="1873" w:type="dxa"/>
            <w:vAlign w:val="center"/>
          </w:tcPr>
          <w:p w14:paraId="384FA0AA" w14:textId="77777777" w:rsidR="000D5096" w:rsidRPr="00A36B68" w:rsidRDefault="000D5096" w:rsidP="00D20A1E">
            <w:pPr>
              <w:keepNext/>
              <w:keepLines/>
              <w:widowControl/>
              <w:tabs>
                <w:tab w:val="decimal" w:pos="1120"/>
              </w:tabs>
              <w:spacing w:before="40" w:after="40"/>
              <w:rPr>
                <w:rFonts w:eastAsia="Arial Unicode MS" w:cs="Arial"/>
                <w:sz w:val="20"/>
                <w:szCs w:val="20"/>
              </w:rPr>
            </w:pPr>
          </w:p>
        </w:tc>
        <w:tc>
          <w:tcPr>
            <w:tcW w:w="1876" w:type="dxa"/>
            <w:vAlign w:val="center"/>
          </w:tcPr>
          <w:p w14:paraId="61D35FBD" w14:textId="77777777" w:rsidR="000D5096" w:rsidRPr="00A36B68" w:rsidRDefault="000D5096" w:rsidP="00D20A1E">
            <w:pPr>
              <w:keepNext/>
              <w:keepLines/>
              <w:widowControl/>
              <w:tabs>
                <w:tab w:val="decimal" w:pos="1090"/>
              </w:tabs>
              <w:spacing w:before="40" w:after="40"/>
              <w:rPr>
                <w:rFonts w:eastAsia="Arial Unicode MS" w:cs="Arial"/>
                <w:sz w:val="20"/>
                <w:szCs w:val="20"/>
              </w:rPr>
            </w:pPr>
          </w:p>
        </w:tc>
      </w:tr>
      <w:tr w:rsidR="000D5096" w:rsidRPr="00A36B68" w14:paraId="1BCCF467"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5675A7FA"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7AB9FFDA"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4C994CD3" w14:textId="467FE049"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3531" w:type="dxa"/>
            <w:vAlign w:val="center"/>
          </w:tcPr>
          <w:p w14:paraId="30251372" w14:textId="77777777" w:rsidR="000D5096" w:rsidRPr="00A36B68" w:rsidRDefault="000D5096" w:rsidP="00D20A1E">
            <w:pPr>
              <w:keepNext/>
              <w:keepLines/>
              <w:widowControl/>
              <w:tabs>
                <w:tab w:val="decimal" w:pos="1891"/>
              </w:tabs>
              <w:spacing w:before="40" w:after="40"/>
              <w:rPr>
                <w:rFonts w:eastAsia="Arial Unicode MS" w:cs="Arial"/>
                <w:sz w:val="20"/>
                <w:szCs w:val="20"/>
              </w:rPr>
            </w:pPr>
            <w:r>
              <w:rPr>
                <w:rFonts w:eastAsia="Arial Unicode MS" w:cs="Arial"/>
                <w:sz w:val="20"/>
                <w:szCs w:val="20"/>
              </w:rPr>
              <w:t>1,304</w:t>
            </w:r>
          </w:p>
        </w:tc>
        <w:tc>
          <w:tcPr>
            <w:tcW w:w="2159" w:type="dxa"/>
            <w:noWrap/>
            <w:tcMar>
              <w:top w:w="12" w:type="dxa"/>
              <w:left w:w="12" w:type="dxa"/>
              <w:bottom w:w="0" w:type="dxa"/>
              <w:right w:w="12" w:type="dxa"/>
            </w:tcMar>
            <w:vAlign w:val="center"/>
          </w:tcPr>
          <w:p w14:paraId="1967B942" w14:textId="7777777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823</w:t>
            </w:r>
          </w:p>
        </w:tc>
        <w:tc>
          <w:tcPr>
            <w:tcW w:w="1873" w:type="dxa"/>
            <w:vAlign w:val="center"/>
          </w:tcPr>
          <w:p w14:paraId="3B3ADF56" w14:textId="77777777" w:rsidR="000D5096" w:rsidRPr="00A36B68" w:rsidRDefault="000D5096" w:rsidP="00D20A1E">
            <w:pPr>
              <w:keepNext/>
              <w:keepLines/>
              <w:widowControl/>
              <w:tabs>
                <w:tab w:val="decimal" w:pos="1120"/>
              </w:tabs>
              <w:spacing w:before="40" w:after="40"/>
              <w:rPr>
                <w:rFonts w:eastAsia="Arial Unicode MS" w:cs="Arial"/>
                <w:sz w:val="20"/>
                <w:szCs w:val="20"/>
              </w:rPr>
            </w:pPr>
          </w:p>
        </w:tc>
        <w:tc>
          <w:tcPr>
            <w:tcW w:w="1876" w:type="dxa"/>
            <w:vAlign w:val="center"/>
          </w:tcPr>
          <w:p w14:paraId="5C96AF39" w14:textId="77777777" w:rsidR="000D5096" w:rsidRPr="00A36B68" w:rsidRDefault="000D5096" w:rsidP="00D20A1E">
            <w:pPr>
              <w:keepNext/>
              <w:keepLines/>
              <w:widowControl/>
              <w:tabs>
                <w:tab w:val="decimal" w:pos="1090"/>
              </w:tabs>
              <w:spacing w:before="40" w:after="40"/>
              <w:rPr>
                <w:rFonts w:eastAsia="Arial Unicode MS" w:cs="Arial"/>
                <w:sz w:val="20"/>
                <w:szCs w:val="20"/>
              </w:rPr>
            </w:pPr>
          </w:p>
        </w:tc>
      </w:tr>
      <w:tr w:rsidR="000D5096" w:rsidRPr="00A36B68" w14:paraId="5F3EDFF6"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20C8CCF7"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tcBorders>
            <w:noWrap/>
            <w:tcMar>
              <w:top w:w="12" w:type="dxa"/>
              <w:left w:w="12" w:type="dxa"/>
              <w:bottom w:w="0" w:type="dxa"/>
              <w:right w:w="12" w:type="dxa"/>
            </w:tcMar>
            <w:vAlign w:val="center"/>
          </w:tcPr>
          <w:p w14:paraId="526BE663"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107248D2"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vAlign w:val="center"/>
          </w:tcPr>
          <w:p w14:paraId="0B606680" w14:textId="77777777" w:rsidR="000D5096" w:rsidRPr="00A36B68" w:rsidRDefault="000D5096" w:rsidP="00D20A1E">
            <w:pPr>
              <w:keepNext/>
              <w:keepLines/>
              <w:widowControl/>
              <w:tabs>
                <w:tab w:val="decimal" w:pos="1891"/>
              </w:tabs>
              <w:spacing w:before="40" w:after="40"/>
              <w:rPr>
                <w:rFonts w:eastAsia="Arial Unicode MS" w:cs="Arial"/>
                <w:sz w:val="20"/>
                <w:szCs w:val="20"/>
              </w:rPr>
            </w:pPr>
            <w:r>
              <w:rPr>
                <w:rFonts w:eastAsia="Arial Unicode MS" w:cs="Arial"/>
                <w:sz w:val="20"/>
                <w:szCs w:val="20"/>
              </w:rPr>
              <w:t>1,495</w:t>
            </w:r>
          </w:p>
        </w:tc>
        <w:tc>
          <w:tcPr>
            <w:tcW w:w="2159" w:type="dxa"/>
            <w:noWrap/>
            <w:tcMar>
              <w:top w:w="12" w:type="dxa"/>
              <w:left w:w="12" w:type="dxa"/>
              <w:bottom w:w="0" w:type="dxa"/>
              <w:right w:w="12" w:type="dxa"/>
            </w:tcMar>
            <w:vAlign w:val="center"/>
          </w:tcPr>
          <w:p w14:paraId="0C48F78C" w14:textId="7777777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1,088</w:t>
            </w:r>
          </w:p>
        </w:tc>
        <w:tc>
          <w:tcPr>
            <w:tcW w:w="1873" w:type="dxa"/>
            <w:vAlign w:val="center"/>
          </w:tcPr>
          <w:p w14:paraId="664D6E6E" w14:textId="77777777" w:rsidR="000D5096" w:rsidRPr="00A36B68" w:rsidRDefault="000D5096" w:rsidP="00D20A1E">
            <w:pPr>
              <w:keepNext/>
              <w:keepLines/>
              <w:widowControl/>
              <w:tabs>
                <w:tab w:val="decimal" w:pos="1120"/>
              </w:tabs>
              <w:spacing w:before="40" w:after="40"/>
              <w:rPr>
                <w:rFonts w:eastAsia="Arial Unicode MS" w:cs="Arial"/>
                <w:sz w:val="20"/>
                <w:szCs w:val="20"/>
              </w:rPr>
            </w:pPr>
          </w:p>
        </w:tc>
        <w:tc>
          <w:tcPr>
            <w:tcW w:w="1876" w:type="dxa"/>
            <w:vAlign w:val="center"/>
          </w:tcPr>
          <w:p w14:paraId="4392511F" w14:textId="77777777" w:rsidR="000D5096" w:rsidRPr="00A36B68" w:rsidRDefault="000D5096" w:rsidP="00D20A1E">
            <w:pPr>
              <w:keepNext/>
              <w:keepLines/>
              <w:widowControl/>
              <w:tabs>
                <w:tab w:val="decimal" w:pos="1090"/>
              </w:tabs>
              <w:spacing w:before="40" w:after="40"/>
              <w:rPr>
                <w:rFonts w:eastAsia="Arial Unicode MS" w:cs="Arial"/>
                <w:sz w:val="20"/>
                <w:szCs w:val="20"/>
              </w:rPr>
            </w:pPr>
          </w:p>
        </w:tc>
      </w:tr>
      <w:tr w:rsidR="000D5096" w:rsidRPr="00A36B68" w14:paraId="3F860FD6" w14:textId="77777777" w:rsidTr="00577EF3">
        <w:trPr>
          <w:trHeight w:val="264"/>
        </w:trPr>
        <w:tc>
          <w:tcPr>
            <w:tcW w:w="1558" w:type="dxa"/>
            <w:tcBorders>
              <w:top w:val="nil"/>
              <w:bottom w:val="single" w:sz="4" w:space="0" w:color="auto"/>
            </w:tcBorders>
            <w:noWrap/>
            <w:tcMar>
              <w:top w:w="12" w:type="dxa"/>
              <w:left w:w="12" w:type="dxa"/>
              <w:bottom w:w="0" w:type="dxa"/>
              <w:right w:w="12" w:type="dxa"/>
            </w:tcMar>
            <w:vAlign w:val="center"/>
          </w:tcPr>
          <w:p w14:paraId="0A22C812"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bottom w:val="single" w:sz="4" w:space="0" w:color="auto"/>
            </w:tcBorders>
            <w:noWrap/>
            <w:tcMar>
              <w:top w:w="12" w:type="dxa"/>
              <w:left w:w="12" w:type="dxa"/>
              <w:bottom w:w="0" w:type="dxa"/>
              <w:right w:w="12" w:type="dxa"/>
            </w:tcMar>
            <w:vAlign w:val="center"/>
          </w:tcPr>
          <w:p w14:paraId="73621CFF"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New Zealand</w:t>
            </w:r>
          </w:p>
        </w:tc>
        <w:tc>
          <w:tcPr>
            <w:tcW w:w="1781" w:type="dxa"/>
            <w:noWrap/>
            <w:tcMar>
              <w:top w:w="12" w:type="dxa"/>
              <w:left w:w="12" w:type="dxa"/>
              <w:bottom w:w="0" w:type="dxa"/>
              <w:right w:w="12" w:type="dxa"/>
            </w:tcMar>
            <w:vAlign w:val="center"/>
          </w:tcPr>
          <w:p w14:paraId="15FF6743"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vAlign w:val="center"/>
          </w:tcPr>
          <w:p w14:paraId="02293C27" w14:textId="77777777" w:rsidR="000D5096" w:rsidRPr="00A36B68" w:rsidRDefault="000D5096" w:rsidP="00D20A1E">
            <w:pPr>
              <w:keepNext/>
              <w:keepLines/>
              <w:widowControl/>
              <w:tabs>
                <w:tab w:val="decimal" w:pos="1891"/>
              </w:tabs>
              <w:spacing w:before="40" w:after="40"/>
              <w:rPr>
                <w:rFonts w:eastAsia="Arial Unicode MS" w:cs="Arial"/>
                <w:sz w:val="20"/>
                <w:szCs w:val="20"/>
              </w:rPr>
            </w:pPr>
            <w:r w:rsidRPr="00662A81">
              <w:rPr>
                <w:rFonts w:eastAsia="Arial Unicode MS" w:cs="Arial"/>
                <w:sz w:val="20"/>
                <w:szCs w:val="20"/>
              </w:rPr>
              <w:t>1</w:t>
            </w:r>
            <w:r>
              <w:rPr>
                <w:rFonts w:eastAsia="Arial Unicode MS" w:cs="Arial"/>
                <w:sz w:val="20"/>
                <w:szCs w:val="20"/>
              </w:rPr>
              <w:t>,</w:t>
            </w:r>
            <w:r w:rsidRPr="00662A81">
              <w:rPr>
                <w:rFonts w:eastAsia="Arial Unicode MS" w:cs="Arial"/>
                <w:sz w:val="20"/>
                <w:szCs w:val="20"/>
              </w:rPr>
              <w:t>46</w:t>
            </w:r>
            <w:r>
              <w:rPr>
                <w:rFonts w:eastAsia="Arial Unicode MS" w:cs="Arial"/>
                <w:sz w:val="20"/>
                <w:szCs w:val="20"/>
              </w:rPr>
              <w:t>8</w:t>
            </w:r>
          </w:p>
        </w:tc>
        <w:tc>
          <w:tcPr>
            <w:tcW w:w="2159" w:type="dxa"/>
            <w:noWrap/>
            <w:tcMar>
              <w:top w:w="12" w:type="dxa"/>
              <w:left w:w="12" w:type="dxa"/>
              <w:bottom w:w="0" w:type="dxa"/>
              <w:right w:w="12" w:type="dxa"/>
            </w:tcMar>
            <w:vAlign w:val="center"/>
          </w:tcPr>
          <w:p w14:paraId="02F54A3C" w14:textId="7777777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1,008</w:t>
            </w:r>
          </w:p>
        </w:tc>
        <w:tc>
          <w:tcPr>
            <w:tcW w:w="1873" w:type="dxa"/>
            <w:vAlign w:val="center"/>
          </w:tcPr>
          <w:p w14:paraId="172D9DC5" w14:textId="77777777" w:rsidR="000D5096" w:rsidRPr="00A36B68" w:rsidRDefault="000D5096" w:rsidP="00D20A1E">
            <w:pPr>
              <w:keepNext/>
              <w:keepLines/>
              <w:widowControl/>
              <w:tabs>
                <w:tab w:val="decimal" w:pos="1120"/>
              </w:tabs>
              <w:spacing w:before="40" w:after="40"/>
              <w:rPr>
                <w:rFonts w:eastAsia="Arial Unicode MS" w:cs="Arial"/>
                <w:sz w:val="20"/>
                <w:szCs w:val="20"/>
              </w:rPr>
            </w:pPr>
          </w:p>
        </w:tc>
        <w:tc>
          <w:tcPr>
            <w:tcW w:w="1876" w:type="dxa"/>
            <w:vAlign w:val="center"/>
          </w:tcPr>
          <w:p w14:paraId="4C0A3AFE" w14:textId="77777777" w:rsidR="000D5096" w:rsidRPr="00A36B68" w:rsidRDefault="000D5096" w:rsidP="00D20A1E">
            <w:pPr>
              <w:keepNext/>
              <w:keepLines/>
              <w:widowControl/>
              <w:tabs>
                <w:tab w:val="decimal" w:pos="1090"/>
              </w:tabs>
              <w:spacing w:before="40" w:after="40"/>
              <w:rPr>
                <w:rFonts w:eastAsia="Arial Unicode MS" w:cs="Arial"/>
                <w:sz w:val="20"/>
                <w:szCs w:val="20"/>
              </w:rPr>
            </w:pPr>
          </w:p>
        </w:tc>
      </w:tr>
      <w:tr w:rsidR="000D5096" w:rsidRPr="00A36B68" w14:paraId="3A272552" w14:textId="77777777" w:rsidTr="00577EF3">
        <w:trPr>
          <w:trHeight w:val="264"/>
        </w:trPr>
        <w:tc>
          <w:tcPr>
            <w:tcW w:w="1558" w:type="dxa"/>
            <w:tcBorders>
              <w:bottom w:val="nil"/>
            </w:tcBorders>
            <w:noWrap/>
            <w:tcMar>
              <w:top w:w="12" w:type="dxa"/>
              <w:left w:w="12" w:type="dxa"/>
              <w:bottom w:w="0" w:type="dxa"/>
              <w:right w:w="12" w:type="dxa"/>
            </w:tcMar>
            <w:vAlign w:val="center"/>
          </w:tcPr>
          <w:p w14:paraId="19E9718A"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Riboflavin (mg)</w:t>
            </w:r>
          </w:p>
        </w:tc>
        <w:tc>
          <w:tcPr>
            <w:tcW w:w="1203" w:type="dxa"/>
            <w:tcBorders>
              <w:bottom w:val="nil"/>
            </w:tcBorders>
            <w:noWrap/>
            <w:tcMar>
              <w:top w:w="12" w:type="dxa"/>
              <w:left w:w="12" w:type="dxa"/>
              <w:bottom w:w="0" w:type="dxa"/>
              <w:right w:w="12" w:type="dxa"/>
            </w:tcMar>
            <w:vAlign w:val="center"/>
          </w:tcPr>
          <w:p w14:paraId="2BB58D7B"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Australia</w:t>
            </w:r>
          </w:p>
        </w:tc>
        <w:tc>
          <w:tcPr>
            <w:tcW w:w="1781" w:type="dxa"/>
            <w:tcMar>
              <w:top w:w="12" w:type="dxa"/>
              <w:left w:w="12" w:type="dxa"/>
              <w:bottom w:w="0" w:type="dxa"/>
              <w:right w:w="12" w:type="dxa"/>
            </w:tcMar>
            <w:vAlign w:val="center"/>
          </w:tcPr>
          <w:p w14:paraId="6F01730F"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 years and above</w:t>
            </w:r>
          </w:p>
        </w:tc>
        <w:tc>
          <w:tcPr>
            <w:tcW w:w="3531" w:type="dxa"/>
            <w:vAlign w:val="center"/>
          </w:tcPr>
          <w:p w14:paraId="25A7FC50"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2.1</w:t>
            </w:r>
          </w:p>
        </w:tc>
        <w:tc>
          <w:tcPr>
            <w:tcW w:w="2159" w:type="dxa"/>
            <w:noWrap/>
            <w:tcMar>
              <w:top w:w="12" w:type="dxa"/>
              <w:left w:w="12" w:type="dxa"/>
              <w:bottom w:w="0" w:type="dxa"/>
              <w:right w:w="12" w:type="dxa"/>
            </w:tcMar>
            <w:vAlign w:val="center"/>
          </w:tcPr>
          <w:p w14:paraId="38875843"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1.2</w:t>
            </w:r>
          </w:p>
        </w:tc>
        <w:tc>
          <w:tcPr>
            <w:tcW w:w="1873" w:type="dxa"/>
            <w:vAlign w:val="center"/>
          </w:tcPr>
          <w:p w14:paraId="3B51DBF4" w14:textId="77777777" w:rsidR="000D5096" w:rsidRPr="00A36B68" w:rsidRDefault="000D5096" w:rsidP="00D20A1E">
            <w:pPr>
              <w:pStyle w:val="FootnoteText"/>
              <w:keepNext/>
              <w:keepLines/>
              <w:widowControl/>
              <w:tabs>
                <w:tab w:val="decimal" w:pos="1120"/>
              </w:tabs>
              <w:spacing w:before="40" w:after="40"/>
              <w:rPr>
                <w:rFonts w:eastAsia="Arial Unicode MS" w:cs="Arial"/>
              </w:rPr>
            </w:pPr>
            <w:r w:rsidRPr="00A36B68">
              <w:rPr>
                <w:rFonts w:cs="Arial"/>
                <w:lang w:bidi="ar-SA"/>
              </w:rPr>
              <w:t>1.3</w:t>
            </w:r>
          </w:p>
        </w:tc>
        <w:tc>
          <w:tcPr>
            <w:tcW w:w="1876" w:type="dxa"/>
            <w:vAlign w:val="center"/>
          </w:tcPr>
          <w:p w14:paraId="4E7002C5" w14:textId="77777777" w:rsidR="000D5096" w:rsidRPr="00A36B68" w:rsidRDefault="000D5096" w:rsidP="00D20A1E">
            <w:pPr>
              <w:pStyle w:val="FootnoteText"/>
              <w:keepNext/>
              <w:keepLines/>
              <w:widowControl/>
              <w:tabs>
                <w:tab w:val="decimal" w:pos="1090"/>
              </w:tabs>
              <w:spacing w:before="40" w:after="40"/>
              <w:rPr>
                <w:rFonts w:eastAsia="Arial Unicode MS" w:cs="Arial"/>
              </w:rPr>
            </w:pPr>
            <w:r w:rsidRPr="00A36B68">
              <w:rPr>
                <w:rFonts w:cs="Arial"/>
                <w:lang w:bidi="ar-SA"/>
              </w:rPr>
              <w:t>1.8</w:t>
            </w:r>
          </w:p>
        </w:tc>
      </w:tr>
      <w:tr w:rsidR="000D5096" w:rsidRPr="00A36B68" w14:paraId="0CEC38B0"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0ACF87E5"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569D0C25"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61E7CADF" w14:textId="568BB918"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3531" w:type="dxa"/>
            <w:vAlign w:val="center"/>
          </w:tcPr>
          <w:p w14:paraId="145EA847"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1.9</w:t>
            </w:r>
          </w:p>
        </w:tc>
        <w:tc>
          <w:tcPr>
            <w:tcW w:w="2159" w:type="dxa"/>
            <w:noWrap/>
            <w:tcMar>
              <w:top w:w="12" w:type="dxa"/>
              <w:left w:w="12" w:type="dxa"/>
              <w:bottom w:w="0" w:type="dxa"/>
              <w:right w:w="12" w:type="dxa"/>
            </w:tcMar>
            <w:vAlign w:val="center"/>
          </w:tcPr>
          <w:p w14:paraId="0E6A686A" w14:textId="731F730F"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0.8</w:t>
            </w:r>
            <w:r w:rsidR="00A62EBB" w:rsidRPr="00A62EBB">
              <w:rPr>
                <w:rFonts w:eastAsia="Arial Unicode MS" w:cs="Arial"/>
                <w:vertAlign w:val="superscript"/>
              </w:rPr>
              <w:sym w:font="Webdings" w:char="F0EA"/>
            </w:r>
          </w:p>
        </w:tc>
        <w:tc>
          <w:tcPr>
            <w:tcW w:w="1873" w:type="dxa"/>
            <w:vAlign w:val="center"/>
          </w:tcPr>
          <w:p w14:paraId="23345BF6"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2AB8C1B6"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5189A808"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5D477C0C"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1A6EB679"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245AF8D4" w14:textId="5F633D8F"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3531" w:type="dxa"/>
            <w:vAlign w:val="center"/>
          </w:tcPr>
          <w:p w14:paraId="5108B1AF"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2.2</w:t>
            </w:r>
          </w:p>
        </w:tc>
        <w:tc>
          <w:tcPr>
            <w:tcW w:w="2159" w:type="dxa"/>
            <w:noWrap/>
            <w:tcMar>
              <w:top w:w="12" w:type="dxa"/>
              <w:left w:w="12" w:type="dxa"/>
              <w:bottom w:w="0" w:type="dxa"/>
              <w:right w:w="12" w:type="dxa"/>
            </w:tcMar>
            <w:vAlign w:val="center"/>
          </w:tcPr>
          <w:p w14:paraId="55956A27"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1.0</w:t>
            </w:r>
          </w:p>
        </w:tc>
        <w:tc>
          <w:tcPr>
            <w:tcW w:w="1873" w:type="dxa"/>
            <w:vAlign w:val="center"/>
          </w:tcPr>
          <w:p w14:paraId="6016435E"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512347E3"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08530B38"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29000935"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tcBorders>
            <w:noWrap/>
            <w:tcMar>
              <w:top w:w="12" w:type="dxa"/>
              <w:left w:w="12" w:type="dxa"/>
              <w:bottom w:w="0" w:type="dxa"/>
              <w:right w:w="12" w:type="dxa"/>
            </w:tcMar>
            <w:vAlign w:val="center"/>
          </w:tcPr>
          <w:p w14:paraId="016E08FB"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755B26AC"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vAlign w:val="center"/>
          </w:tcPr>
          <w:p w14:paraId="44E79C1B"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sidRPr="00736F1D">
              <w:rPr>
                <w:rFonts w:eastAsia="Arial Unicode MS" w:cs="Arial"/>
              </w:rPr>
              <w:t>2</w:t>
            </w:r>
            <w:r>
              <w:rPr>
                <w:rFonts w:eastAsia="Arial Unicode MS" w:cs="Arial"/>
              </w:rPr>
              <w:t>.0</w:t>
            </w:r>
          </w:p>
        </w:tc>
        <w:tc>
          <w:tcPr>
            <w:tcW w:w="2159" w:type="dxa"/>
            <w:noWrap/>
            <w:tcMar>
              <w:top w:w="12" w:type="dxa"/>
              <w:left w:w="12" w:type="dxa"/>
              <w:bottom w:w="0" w:type="dxa"/>
              <w:right w:w="12" w:type="dxa"/>
            </w:tcMar>
            <w:vAlign w:val="center"/>
          </w:tcPr>
          <w:p w14:paraId="045C9459"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1.3</w:t>
            </w:r>
          </w:p>
        </w:tc>
        <w:tc>
          <w:tcPr>
            <w:tcW w:w="1873" w:type="dxa"/>
            <w:vAlign w:val="center"/>
          </w:tcPr>
          <w:p w14:paraId="6EB3DA51"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04CB5A47"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0FE86A79" w14:textId="77777777" w:rsidTr="00577EF3">
        <w:trPr>
          <w:trHeight w:val="264"/>
        </w:trPr>
        <w:tc>
          <w:tcPr>
            <w:tcW w:w="1558" w:type="dxa"/>
            <w:tcBorders>
              <w:top w:val="nil"/>
              <w:bottom w:val="single" w:sz="4" w:space="0" w:color="auto"/>
            </w:tcBorders>
            <w:noWrap/>
            <w:tcMar>
              <w:top w:w="12" w:type="dxa"/>
              <w:left w:w="12" w:type="dxa"/>
              <w:bottom w:w="0" w:type="dxa"/>
              <w:right w:w="12" w:type="dxa"/>
            </w:tcMar>
            <w:vAlign w:val="center"/>
          </w:tcPr>
          <w:p w14:paraId="74E22A5F"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bottom w:val="single" w:sz="4" w:space="0" w:color="auto"/>
            </w:tcBorders>
            <w:noWrap/>
            <w:tcMar>
              <w:top w:w="12" w:type="dxa"/>
              <w:left w:w="12" w:type="dxa"/>
              <w:bottom w:w="0" w:type="dxa"/>
              <w:right w:w="12" w:type="dxa"/>
            </w:tcMar>
            <w:vAlign w:val="center"/>
          </w:tcPr>
          <w:p w14:paraId="23808635"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New Zealand</w:t>
            </w:r>
          </w:p>
        </w:tc>
        <w:tc>
          <w:tcPr>
            <w:tcW w:w="1781" w:type="dxa"/>
            <w:noWrap/>
            <w:tcMar>
              <w:top w:w="12" w:type="dxa"/>
              <w:left w:w="12" w:type="dxa"/>
              <w:bottom w:w="0" w:type="dxa"/>
              <w:right w:w="12" w:type="dxa"/>
            </w:tcMar>
            <w:vAlign w:val="center"/>
          </w:tcPr>
          <w:p w14:paraId="14A9774C"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vAlign w:val="center"/>
          </w:tcPr>
          <w:p w14:paraId="4452627F"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1.</w:t>
            </w:r>
            <w:r w:rsidRPr="00662A81">
              <w:rPr>
                <w:rFonts w:eastAsia="Arial Unicode MS" w:cs="Arial"/>
              </w:rPr>
              <w:t>8</w:t>
            </w:r>
          </w:p>
        </w:tc>
        <w:tc>
          <w:tcPr>
            <w:tcW w:w="2159" w:type="dxa"/>
            <w:noWrap/>
            <w:tcMar>
              <w:top w:w="12" w:type="dxa"/>
              <w:left w:w="12" w:type="dxa"/>
              <w:bottom w:w="0" w:type="dxa"/>
              <w:right w:w="12" w:type="dxa"/>
            </w:tcMar>
            <w:vAlign w:val="center"/>
          </w:tcPr>
          <w:p w14:paraId="27996B58"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1.0</w:t>
            </w:r>
          </w:p>
        </w:tc>
        <w:tc>
          <w:tcPr>
            <w:tcW w:w="1873" w:type="dxa"/>
            <w:vAlign w:val="center"/>
          </w:tcPr>
          <w:p w14:paraId="43B7D434"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7E54A26F"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49630BFC" w14:textId="77777777" w:rsidTr="00577EF3">
        <w:trPr>
          <w:trHeight w:val="264"/>
        </w:trPr>
        <w:tc>
          <w:tcPr>
            <w:tcW w:w="1558" w:type="dxa"/>
            <w:tcBorders>
              <w:bottom w:val="nil"/>
            </w:tcBorders>
            <w:noWrap/>
            <w:tcMar>
              <w:top w:w="12" w:type="dxa"/>
              <w:left w:w="12" w:type="dxa"/>
              <w:bottom w:w="0" w:type="dxa"/>
              <w:right w:w="12" w:type="dxa"/>
            </w:tcMar>
            <w:vAlign w:val="center"/>
          </w:tcPr>
          <w:p w14:paraId="08B4CC06"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Thiamin (mg)</w:t>
            </w:r>
          </w:p>
        </w:tc>
        <w:tc>
          <w:tcPr>
            <w:tcW w:w="1203" w:type="dxa"/>
            <w:tcBorders>
              <w:bottom w:val="nil"/>
            </w:tcBorders>
            <w:noWrap/>
            <w:tcMar>
              <w:top w:w="12" w:type="dxa"/>
              <w:left w:w="12" w:type="dxa"/>
              <w:bottom w:w="0" w:type="dxa"/>
              <w:right w:w="12" w:type="dxa"/>
            </w:tcMar>
            <w:vAlign w:val="center"/>
          </w:tcPr>
          <w:p w14:paraId="1B03B8BB"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Australia</w:t>
            </w:r>
          </w:p>
        </w:tc>
        <w:tc>
          <w:tcPr>
            <w:tcW w:w="1781" w:type="dxa"/>
            <w:tcMar>
              <w:top w:w="12" w:type="dxa"/>
              <w:left w:w="12" w:type="dxa"/>
              <w:bottom w:w="0" w:type="dxa"/>
              <w:right w:w="12" w:type="dxa"/>
            </w:tcMar>
            <w:vAlign w:val="center"/>
          </w:tcPr>
          <w:p w14:paraId="78D29A66"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 years and above</w:t>
            </w:r>
          </w:p>
        </w:tc>
        <w:tc>
          <w:tcPr>
            <w:tcW w:w="3531" w:type="dxa"/>
            <w:vAlign w:val="center"/>
          </w:tcPr>
          <w:p w14:paraId="427A2B4C"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1.6</w:t>
            </w:r>
          </w:p>
        </w:tc>
        <w:tc>
          <w:tcPr>
            <w:tcW w:w="2159" w:type="dxa"/>
            <w:noWrap/>
            <w:tcMar>
              <w:top w:w="12" w:type="dxa"/>
              <w:left w:w="12" w:type="dxa"/>
              <w:bottom w:w="0" w:type="dxa"/>
              <w:right w:w="12" w:type="dxa"/>
            </w:tcMar>
            <w:vAlign w:val="center"/>
          </w:tcPr>
          <w:p w14:paraId="63DBE031"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1.3</w:t>
            </w:r>
          </w:p>
        </w:tc>
        <w:tc>
          <w:tcPr>
            <w:tcW w:w="1873" w:type="dxa"/>
            <w:vAlign w:val="center"/>
          </w:tcPr>
          <w:p w14:paraId="0534B2FD" w14:textId="77777777" w:rsidR="000D5096" w:rsidRPr="00A36B68" w:rsidRDefault="000D5096" w:rsidP="00D20A1E">
            <w:pPr>
              <w:pStyle w:val="FootnoteText"/>
              <w:keepNext/>
              <w:keepLines/>
              <w:widowControl/>
              <w:tabs>
                <w:tab w:val="decimal" w:pos="1120"/>
              </w:tabs>
              <w:spacing w:before="40" w:after="40"/>
              <w:rPr>
                <w:rFonts w:eastAsia="Arial Unicode MS" w:cs="Arial"/>
              </w:rPr>
            </w:pPr>
            <w:r w:rsidRPr="00A36B68">
              <w:rPr>
                <w:rFonts w:cs="Arial"/>
                <w:lang w:bidi="ar-SA"/>
              </w:rPr>
              <w:t>1.7</w:t>
            </w:r>
          </w:p>
        </w:tc>
        <w:tc>
          <w:tcPr>
            <w:tcW w:w="1876" w:type="dxa"/>
            <w:vAlign w:val="center"/>
          </w:tcPr>
          <w:p w14:paraId="51C338B3" w14:textId="77777777" w:rsidR="000D5096" w:rsidRPr="00A36B68" w:rsidRDefault="000D5096" w:rsidP="00D20A1E">
            <w:pPr>
              <w:pStyle w:val="FootnoteText"/>
              <w:keepNext/>
              <w:keepLines/>
              <w:widowControl/>
              <w:tabs>
                <w:tab w:val="decimal" w:pos="1090"/>
              </w:tabs>
              <w:spacing w:before="40" w:after="40"/>
              <w:rPr>
                <w:rFonts w:eastAsia="Arial Unicode MS" w:cs="Arial"/>
              </w:rPr>
            </w:pPr>
            <w:r w:rsidRPr="00A36B68">
              <w:rPr>
                <w:rFonts w:cs="Arial"/>
                <w:lang w:bidi="ar-SA"/>
              </w:rPr>
              <w:t>1.7</w:t>
            </w:r>
          </w:p>
        </w:tc>
      </w:tr>
      <w:tr w:rsidR="000D5096" w:rsidRPr="00A36B68" w14:paraId="45B44234"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77CF9E08"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72EE90CA"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45358733" w14:textId="4420D7ED"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3531" w:type="dxa"/>
            <w:vAlign w:val="center"/>
          </w:tcPr>
          <w:p w14:paraId="31908612"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1.3</w:t>
            </w:r>
          </w:p>
        </w:tc>
        <w:tc>
          <w:tcPr>
            <w:tcW w:w="2159" w:type="dxa"/>
            <w:noWrap/>
            <w:tcMar>
              <w:top w:w="12" w:type="dxa"/>
              <w:left w:w="12" w:type="dxa"/>
              <w:bottom w:w="0" w:type="dxa"/>
              <w:right w:w="12" w:type="dxa"/>
            </w:tcMar>
            <w:vAlign w:val="center"/>
          </w:tcPr>
          <w:p w14:paraId="10743284" w14:textId="12D960B6"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1.0</w:t>
            </w:r>
            <w:r w:rsidR="00A62EBB" w:rsidRPr="00A62EBB">
              <w:rPr>
                <w:rFonts w:eastAsia="Arial Unicode MS" w:cs="Arial"/>
                <w:vertAlign w:val="superscript"/>
              </w:rPr>
              <w:sym w:font="Webdings" w:char="F0EA"/>
            </w:r>
          </w:p>
        </w:tc>
        <w:tc>
          <w:tcPr>
            <w:tcW w:w="1873" w:type="dxa"/>
            <w:vAlign w:val="center"/>
          </w:tcPr>
          <w:p w14:paraId="54C29A7D"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48AD9184"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653F9845"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2F5CA925"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10D1CBA2"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5B7DBB80" w14:textId="68A9FA66"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3531" w:type="dxa"/>
            <w:vAlign w:val="center"/>
          </w:tcPr>
          <w:p w14:paraId="018EF971"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1.7</w:t>
            </w:r>
          </w:p>
        </w:tc>
        <w:tc>
          <w:tcPr>
            <w:tcW w:w="2159" w:type="dxa"/>
            <w:noWrap/>
            <w:tcMar>
              <w:top w:w="12" w:type="dxa"/>
              <w:left w:w="12" w:type="dxa"/>
              <w:bottom w:w="0" w:type="dxa"/>
              <w:right w:w="12" w:type="dxa"/>
            </w:tcMar>
            <w:vAlign w:val="center"/>
          </w:tcPr>
          <w:p w14:paraId="650412A7"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1.2</w:t>
            </w:r>
          </w:p>
        </w:tc>
        <w:tc>
          <w:tcPr>
            <w:tcW w:w="1873" w:type="dxa"/>
            <w:vAlign w:val="center"/>
          </w:tcPr>
          <w:p w14:paraId="684C901F"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5C41D970"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139887DF"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53C16F33"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tcBorders>
            <w:noWrap/>
            <w:tcMar>
              <w:top w:w="12" w:type="dxa"/>
              <w:left w:w="12" w:type="dxa"/>
              <w:bottom w:w="0" w:type="dxa"/>
              <w:right w:w="12" w:type="dxa"/>
            </w:tcMar>
            <w:vAlign w:val="center"/>
          </w:tcPr>
          <w:p w14:paraId="3ED3D317"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5F55F1D8"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vAlign w:val="center"/>
          </w:tcPr>
          <w:p w14:paraId="7F2BD929"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sidRPr="00736F1D">
              <w:rPr>
                <w:rFonts w:eastAsia="Arial Unicode MS" w:cs="Arial"/>
              </w:rPr>
              <w:t>1.6</w:t>
            </w:r>
          </w:p>
        </w:tc>
        <w:tc>
          <w:tcPr>
            <w:tcW w:w="2159" w:type="dxa"/>
            <w:noWrap/>
            <w:tcMar>
              <w:top w:w="12" w:type="dxa"/>
              <w:left w:w="12" w:type="dxa"/>
              <w:bottom w:w="0" w:type="dxa"/>
              <w:right w:w="12" w:type="dxa"/>
            </w:tcMar>
            <w:vAlign w:val="center"/>
          </w:tcPr>
          <w:p w14:paraId="5036F719"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1.4</w:t>
            </w:r>
          </w:p>
        </w:tc>
        <w:tc>
          <w:tcPr>
            <w:tcW w:w="1873" w:type="dxa"/>
            <w:vAlign w:val="center"/>
          </w:tcPr>
          <w:p w14:paraId="67B26800"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424CB3BF"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3C51E848" w14:textId="77777777" w:rsidTr="00577EF3">
        <w:trPr>
          <w:trHeight w:val="264"/>
        </w:trPr>
        <w:tc>
          <w:tcPr>
            <w:tcW w:w="1558" w:type="dxa"/>
            <w:tcBorders>
              <w:top w:val="nil"/>
              <w:bottom w:val="single" w:sz="4" w:space="0" w:color="auto"/>
            </w:tcBorders>
            <w:noWrap/>
            <w:tcMar>
              <w:top w:w="12" w:type="dxa"/>
              <w:left w:w="12" w:type="dxa"/>
              <w:bottom w:w="0" w:type="dxa"/>
              <w:right w:w="12" w:type="dxa"/>
            </w:tcMar>
            <w:vAlign w:val="center"/>
          </w:tcPr>
          <w:p w14:paraId="5DA1358D"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bottom w:val="single" w:sz="4" w:space="0" w:color="auto"/>
            </w:tcBorders>
            <w:noWrap/>
            <w:tcMar>
              <w:top w:w="12" w:type="dxa"/>
              <w:left w:w="12" w:type="dxa"/>
              <w:bottom w:w="0" w:type="dxa"/>
              <w:right w:w="12" w:type="dxa"/>
            </w:tcMar>
            <w:vAlign w:val="center"/>
          </w:tcPr>
          <w:p w14:paraId="0C903D44"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New Zealand</w:t>
            </w:r>
          </w:p>
        </w:tc>
        <w:tc>
          <w:tcPr>
            <w:tcW w:w="1781" w:type="dxa"/>
            <w:noWrap/>
            <w:tcMar>
              <w:top w:w="12" w:type="dxa"/>
              <w:left w:w="12" w:type="dxa"/>
              <w:bottom w:w="0" w:type="dxa"/>
              <w:right w:w="12" w:type="dxa"/>
            </w:tcMar>
            <w:vAlign w:val="center"/>
          </w:tcPr>
          <w:p w14:paraId="148B016B"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vAlign w:val="center"/>
          </w:tcPr>
          <w:p w14:paraId="33C223B0"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sidRPr="0030752B">
              <w:rPr>
                <w:rFonts w:eastAsia="Arial Unicode MS" w:cs="Arial"/>
              </w:rPr>
              <w:t>1.4</w:t>
            </w:r>
          </w:p>
        </w:tc>
        <w:tc>
          <w:tcPr>
            <w:tcW w:w="2159" w:type="dxa"/>
            <w:noWrap/>
            <w:tcMar>
              <w:top w:w="12" w:type="dxa"/>
              <w:left w:w="12" w:type="dxa"/>
              <w:bottom w:w="0" w:type="dxa"/>
              <w:right w:w="12" w:type="dxa"/>
            </w:tcMar>
            <w:vAlign w:val="center"/>
          </w:tcPr>
          <w:p w14:paraId="39DFEB28"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1.0</w:t>
            </w:r>
          </w:p>
        </w:tc>
        <w:tc>
          <w:tcPr>
            <w:tcW w:w="1873" w:type="dxa"/>
            <w:vAlign w:val="center"/>
          </w:tcPr>
          <w:p w14:paraId="5E4D3DAA"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54437E52"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2C7052CC" w14:textId="77777777" w:rsidTr="00577EF3">
        <w:trPr>
          <w:trHeight w:val="264"/>
        </w:trPr>
        <w:tc>
          <w:tcPr>
            <w:tcW w:w="1558" w:type="dxa"/>
            <w:tcBorders>
              <w:bottom w:val="nil"/>
            </w:tcBorders>
            <w:noWrap/>
            <w:tcMar>
              <w:top w:w="12" w:type="dxa"/>
              <w:left w:w="12" w:type="dxa"/>
              <w:bottom w:w="0" w:type="dxa"/>
              <w:right w:w="12" w:type="dxa"/>
            </w:tcMar>
            <w:vAlign w:val="center"/>
          </w:tcPr>
          <w:p w14:paraId="4952099F" w14:textId="494D3E77" w:rsidR="000D5096" w:rsidRPr="00A36B68" w:rsidRDefault="000D5096" w:rsidP="00D20A1E">
            <w:pPr>
              <w:keepNext/>
              <w:keepLines/>
              <w:pageBreakBefore/>
              <w:widowControl/>
              <w:spacing w:before="40" w:after="40"/>
              <w:rPr>
                <w:rFonts w:eastAsia="Arial Unicode MS" w:cs="Arial"/>
                <w:sz w:val="20"/>
                <w:szCs w:val="20"/>
              </w:rPr>
            </w:pPr>
            <w:r w:rsidRPr="00A36B68">
              <w:rPr>
                <w:rFonts w:cs="Arial"/>
                <w:sz w:val="20"/>
                <w:szCs w:val="20"/>
              </w:rPr>
              <w:lastRenderedPageBreak/>
              <w:t xml:space="preserve">Vitamin A </w:t>
            </w:r>
            <w:r w:rsidR="002745A5">
              <w:rPr>
                <w:rFonts w:cs="Arial"/>
                <w:sz w:val="20"/>
                <w:szCs w:val="20"/>
              </w:rPr>
              <w:t>(</w:t>
            </w:r>
            <w:r w:rsidR="00326E1B">
              <w:rPr>
                <w:rFonts w:cs="Arial"/>
                <w:sz w:val="20"/>
                <w:szCs w:val="20"/>
              </w:rPr>
              <w:t>retinol equivalents</w:t>
            </w:r>
            <w:r w:rsidR="002745A5">
              <w:rPr>
                <w:rFonts w:cs="Arial"/>
                <w:sz w:val="20"/>
                <w:szCs w:val="20"/>
              </w:rPr>
              <w:t xml:space="preserve">) </w:t>
            </w:r>
            <w:r w:rsidRPr="00A36B68">
              <w:rPr>
                <w:rFonts w:cs="Arial"/>
                <w:sz w:val="20"/>
                <w:szCs w:val="20"/>
              </w:rPr>
              <w:t>(</w:t>
            </w:r>
            <w:r w:rsidRPr="00A36B68">
              <w:rPr>
                <w:rFonts w:eastAsia="Arial Unicode MS" w:cs="Arial"/>
                <w:sz w:val="20"/>
                <w:szCs w:val="20"/>
              </w:rPr>
              <w:t>µ</w:t>
            </w:r>
            <w:r w:rsidRPr="00A36B68">
              <w:rPr>
                <w:rFonts w:cs="Arial"/>
                <w:sz w:val="20"/>
                <w:szCs w:val="20"/>
              </w:rPr>
              <w:t>g)</w:t>
            </w:r>
          </w:p>
        </w:tc>
        <w:tc>
          <w:tcPr>
            <w:tcW w:w="1203" w:type="dxa"/>
            <w:tcBorders>
              <w:bottom w:val="nil"/>
            </w:tcBorders>
            <w:noWrap/>
            <w:tcMar>
              <w:top w:w="12" w:type="dxa"/>
              <w:left w:w="12" w:type="dxa"/>
              <w:bottom w:w="0" w:type="dxa"/>
              <w:right w:w="12" w:type="dxa"/>
            </w:tcMar>
            <w:vAlign w:val="center"/>
          </w:tcPr>
          <w:p w14:paraId="6B47FF09" w14:textId="77777777" w:rsidR="000D5096" w:rsidRPr="00A36B68" w:rsidRDefault="000D5096" w:rsidP="00D20A1E">
            <w:pPr>
              <w:pStyle w:val="E-mailSignature"/>
              <w:keepNext/>
              <w:keepLines/>
              <w:spacing w:before="40" w:after="40"/>
              <w:rPr>
                <w:rFonts w:eastAsia="Arial Unicode MS" w:cs="Arial"/>
                <w:lang w:bidi="ar-SA"/>
              </w:rPr>
            </w:pPr>
            <w:r w:rsidRPr="00A36B68">
              <w:rPr>
                <w:rFonts w:cs="Arial"/>
                <w:lang w:bidi="ar-SA"/>
              </w:rPr>
              <w:t>Australia</w:t>
            </w:r>
          </w:p>
        </w:tc>
        <w:tc>
          <w:tcPr>
            <w:tcW w:w="1781" w:type="dxa"/>
            <w:tcMar>
              <w:top w:w="12" w:type="dxa"/>
              <w:left w:w="12" w:type="dxa"/>
              <w:bottom w:w="0" w:type="dxa"/>
              <w:right w:w="12" w:type="dxa"/>
            </w:tcMar>
            <w:vAlign w:val="center"/>
          </w:tcPr>
          <w:p w14:paraId="440FFA26"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 years and above</w:t>
            </w:r>
          </w:p>
        </w:tc>
        <w:tc>
          <w:tcPr>
            <w:tcW w:w="3531" w:type="dxa"/>
            <w:shd w:val="clear" w:color="auto" w:fill="auto"/>
            <w:vAlign w:val="center"/>
          </w:tcPr>
          <w:p w14:paraId="33FC63A4" w14:textId="36C9981E" w:rsidR="000D5096" w:rsidRPr="004644F5" w:rsidRDefault="002745A5" w:rsidP="00D20A1E">
            <w:pPr>
              <w:keepNext/>
              <w:keepLines/>
              <w:widowControl/>
              <w:tabs>
                <w:tab w:val="decimal" w:pos="1891"/>
              </w:tabs>
              <w:spacing w:before="40" w:after="40"/>
              <w:rPr>
                <w:rFonts w:eastAsia="Arial Unicode MS" w:cs="Arial"/>
                <w:sz w:val="20"/>
                <w:szCs w:val="20"/>
              </w:rPr>
            </w:pPr>
            <w:r w:rsidRPr="004644F5">
              <w:rPr>
                <w:rFonts w:eastAsia="Arial Unicode MS" w:cs="Arial"/>
                <w:sz w:val="20"/>
                <w:szCs w:val="20"/>
              </w:rPr>
              <w:t>1,123</w:t>
            </w:r>
          </w:p>
        </w:tc>
        <w:tc>
          <w:tcPr>
            <w:tcW w:w="2159" w:type="dxa"/>
            <w:noWrap/>
            <w:tcMar>
              <w:top w:w="12" w:type="dxa"/>
              <w:left w:w="12" w:type="dxa"/>
              <w:bottom w:w="0" w:type="dxa"/>
              <w:right w:w="12" w:type="dxa"/>
            </w:tcMar>
            <w:vAlign w:val="center"/>
          </w:tcPr>
          <w:p w14:paraId="74874A44" w14:textId="7777777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1,010</w:t>
            </w:r>
          </w:p>
        </w:tc>
        <w:tc>
          <w:tcPr>
            <w:tcW w:w="1873" w:type="dxa"/>
            <w:vAlign w:val="center"/>
          </w:tcPr>
          <w:p w14:paraId="0538FBAE" w14:textId="77777777" w:rsidR="000D5096" w:rsidRPr="00A36B68" w:rsidRDefault="000D5096" w:rsidP="00D20A1E">
            <w:pPr>
              <w:keepNext/>
              <w:keepLines/>
              <w:widowControl/>
              <w:tabs>
                <w:tab w:val="decimal" w:pos="1120"/>
              </w:tabs>
              <w:spacing w:before="40" w:after="40"/>
              <w:rPr>
                <w:rFonts w:eastAsia="Arial Unicode MS" w:cs="Arial"/>
                <w:sz w:val="20"/>
                <w:szCs w:val="20"/>
              </w:rPr>
            </w:pPr>
            <w:r w:rsidRPr="00A36B68">
              <w:rPr>
                <w:rFonts w:cs="Arial"/>
                <w:sz w:val="20"/>
                <w:szCs w:val="20"/>
              </w:rPr>
              <w:t>1,012</w:t>
            </w:r>
          </w:p>
        </w:tc>
        <w:tc>
          <w:tcPr>
            <w:tcW w:w="1876" w:type="dxa"/>
            <w:vAlign w:val="center"/>
          </w:tcPr>
          <w:p w14:paraId="761C081E" w14:textId="77777777" w:rsidR="000D5096" w:rsidRPr="00A36B68" w:rsidRDefault="000D5096" w:rsidP="00D20A1E">
            <w:pPr>
              <w:keepNext/>
              <w:keepLines/>
              <w:widowControl/>
              <w:tabs>
                <w:tab w:val="decimal" w:pos="1090"/>
              </w:tabs>
              <w:spacing w:before="40" w:after="40"/>
              <w:rPr>
                <w:rFonts w:eastAsia="Arial Unicode MS" w:cs="Arial"/>
                <w:sz w:val="20"/>
                <w:szCs w:val="20"/>
              </w:rPr>
            </w:pPr>
            <w:r w:rsidRPr="00A36B68">
              <w:rPr>
                <w:rFonts w:cs="Arial"/>
                <w:sz w:val="20"/>
                <w:szCs w:val="20"/>
              </w:rPr>
              <w:t>1,170</w:t>
            </w:r>
          </w:p>
        </w:tc>
      </w:tr>
      <w:tr w:rsidR="000D5096" w:rsidRPr="00A36B68" w14:paraId="59B2B274"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6C252529"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680F99EB"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3990A829" w14:textId="6A9D4434"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3531" w:type="dxa"/>
            <w:shd w:val="clear" w:color="auto" w:fill="auto"/>
            <w:vAlign w:val="center"/>
          </w:tcPr>
          <w:p w14:paraId="7D8FF3EC" w14:textId="50648B16" w:rsidR="000D5096" w:rsidRPr="004644F5" w:rsidRDefault="002745A5" w:rsidP="00D20A1E">
            <w:pPr>
              <w:keepNext/>
              <w:keepLines/>
              <w:widowControl/>
              <w:tabs>
                <w:tab w:val="decimal" w:pos="1891"/>
              </w:tabs>
              <w:spacing w:before="40" w:after="40"/>
              <w:rPr>
                <w:rFonts w:eastAsia="Arial Unicode MS" w:cs="Arial"/>
                <w:sz w:val="20"/>
                <w:szCs w:val="20"/>
              </w:rPr>
            </w:pPr>
            <w:r w:rsidRPr="004644F5">
              <w:rPr>
                <w:rFonts w:eastAsia="Arial Unicode MS" w:cs="Arial"/>
                <w:sz w:val="20"/>
                <w:szCs w:val="20"/>
              </w:rPr>
              <w:t>714</w:t>
            </w:r>
          </w:p>
        </w:tc>
        <w:tc>
          <w:tcPr>
            <w:tcW w:w="2159" w:type="dxa"/>
            <w:noWrap/>
            <w:tcMar>
              <w:top w:w="12" w:type="dxa"/>
              <w:left w:w="12" w:type="dxa"/>
              <w:bottom w:w="0" w:type="dxa"/>
              <w:right w:w="12" w:type="dxa"/>
            </w:tcMar>
            <w:vAlign w:val="center"/>
          </w:tcPr>
          <w:p w14:paraId="168DAC6F" w14:textId="067C4FCB"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326</w:t>
            </w:r>
            <w:r w:rsidR="00A62EBB" w:rsidRPr="00A62EBB">
              <w:rPr>
                <w:rFonts w:eastAsia="Arial Unicode MS" w:cs="Arial"/>
                <w:sz w:val="20"/>
                <w:szCs w:val="20"/>
                <w:vertAlign w:val="superscript"/>
              </w:rPr>
              <w:sym w:font="Webdings" w:char="F0EA"/>
            </w:r>
          </w:p>
        </w:tc>
        <w:tc>
          <w:tcPr>
            <w:tcW w:w="1873" w:type="dxa"/>
            <w:vAlign w:val="center"/>
          </w:tcPr>
          <w:p w14:paraId="541CD000" w14:textId="77777777" w:rsidR="000D5096" w:rsidRPr="00A36B68" w:rsidRDefault="000D5096" w:rsidP="00D20A1E">
            <w:pPr>
              <w:keepNext/>
              <w:keepLines/>
              <w:widowControl/>
              <w:tabs>
                <w:tab w:val="decimal" w:pos="1120"/>
              </w:tabs>
              <w:spacing w:before="40" w:after="40"/>
              <w:rPr>
                <w:rFonts w:eastAsia="Arial Unicode MS" w:cs="Arial"/>
                <w:sz w:val="20"/>
                <w:szCs w:val="20"/>
              </w:rPr>
            </w:pPr>
          </w:p>
        </w:tc>
        <w:tc>
          <w:tcPr>
            <w:tcW w:w="1876" w:type="dxa"/>
            <w:vAlign w:val="center"/>
          </w:tcPr>
          <w:p w14:paraId="70647A3F" w14:textId="77777777" w:rsidR="000D5096" w:rsidRPr="00A36B68" w:rsidRDefault="000D5096" w:rsidP="00D20A1E">
            <w:pPr>
              <w:keepNext/>
              <w:keepLines/>
              <w:widowControl/>
              <w:tabs>
                <w:tab w:val="decimal" w:pos="1090"/>
              </w:tabs>
              <w:spacing w:before="40" w:after="40"/>
              <w:rPr>
                <w:rFonts w:eastAsia="Arial Unicode MS" w:cs="Arial"/>
                <w:sz w:val="20"/>
                <w:szCs w:val="20"/>
              </w:rPr>
            </w:pPr>
          </w:p>
        </w:tc>
      </w:tr>
      <w:tr w:rsidR="000D5096" w:rsidRPr="00A36B68" w14:paraId="729243B1"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3774F7D0"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1D53C114"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3122DFED" w14:textId="0000945D"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3531" w:type="dxa"/>
            <w:shd w:val="clear" w:color="auto" w:fill="auto"/>
            <w:vAlign w:val="center"/>
          </w:tcPr>
          <w:p w14:paraId="21F561C3" w14:textId="1830715F" w:rsidR="000D5096" w:rsidRPr="004644F5" w:rsidRDefault="002745A5" w:rsidP="00D20A1E">
            <w:pPr>
              <w:keepNext/>
              <w:keepLines/>
              <w:widowControl/>
              <w:tabs>
                <w:tab w:val="decimal" w:pos="1891"/>
              </w:tabs>
              <w:spacing w:before="40" w:after="40"/>
              <w:rPr>
                <w:rFonts w:eastAsia="Arial Unicode MS" w:cs="Arial"/>
                <w:sz w:val="20"/>
                <w:szCs w:val="20"/>
              </w:rPr>
            </w:pPr>
            <w:r w:rsidRPr="002745A5">
              <w:rPr>
                <w:rFonts w:eastAsia="Arial Unicode MS" w:cs="Arial"/>
                <w:sz w:val="20"/>
                <w:szCs w:val="20"/>
              </w:rPr>
              <w:t>956</w:t>
            </w:r>
          </w:p>
        </w:tc>
        <w:tc>
          <w:tcPr>
            <w:tcW w:w="2159" w:type="dxa"/>
            <w:noWrap/>
            <w:tcMar>
              <w:top w:w="12" w:type="dxa"/>
              <w:left w:w="12" w:type="dxa"/>
              <w:bottom w:w="0" w:type="dxa"/>
              <w:right w:w="12" w:type="dxa"/>
            </w:tcMar>
            <w:vAlign w:val="center"/>
          </w:tcPr>
          <w:p w14:paraId="5DB4476F" w14:textId="7777777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553</w:t>
            </w:r>
          </w:p>
        </w:tc>
        <w:tc>
          <w:tcPr>
            <w:tcW w:w="1873" w:type="dxa"/>
            <w:vAlign w:val="center"/>
          </w:tcPr>
          <w:p w14:paraId="6825661B" w14:textId="77777777" w:rsidR="000D5096" w:rsidRPr="00A36B68" w:rsidRDefault="000D5096" w:rsidP="00D20A1E">
            <w:pPr>
              <w:keepNext/>
              <w:keepLines/>
              <w:widowControl/>
              <w:tabs>
                <w:tab w:val="decimal" w:pos="1120"/>
              </w:tabs>
              <w:spacing w:before="40" w:after="40"/>
              <w:rPr>
                <w:rFonts w:eastAsia="Arial Unicode MS" w:cs="Arial"/>
                <w:sz w:val="20"/>
                <w:szCs w:val="20"/>
              </w:rPr>
            </w:pPr>
          </w:p>
        </w:tc>
        <w:tc>
          <w:tcPr>
            <w:tcW w:w="1876" w:type="dxa"/>
            <w:vAlign w:val="center"/>
          </w:tcPr>
          <w:p w14:paraId="7DCB1284" w14:textId="77777777" w:rsidR="000D5096" w:rsidRPr="00A36B68" w:rsidRDefault="000D5096" w:rsidP="00D20A1E">
            <w:pPr>
              <w:keepNext/>
              <w:keepLines/>
              <w:widowControl/>
              <w:tabs>
                <w:tab w:val="decimal" w:pos="1090"/>
              </w:tabs>
              <w:spacing w:before="40" w:after="40"/>
              <w:rPr>
                <w:rFonts w:eastAsia="Arial Unicode MS" w:cs="Arial"/>
                <w:sz w:val="20"/>
                <w:szCs w:val="20"/>
              </w:rPr>
            </w:pPr>
          </w:p>
        </w:tc>
      </w:tr>
      <w:tr w:rsidR="000D5096" w:rsidRPr="00A36B68" w14:paraId="3EBBF3A9"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703BD329"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tcBorders>
            <w:noWrap/>
            <w:tcMar>
              <w:top w:w="12" w:type="dxa"/>
              <w:left w:w="12" w:type="dxa"/>
              <w:bottom w:w="0" w:type="dxa"/>
              <w:right w:w="12" w:type="dxa"/>
            </w:tcMar>
            <w:vAlign w:val="center"/>
          </w:tcPr>
          <w:p w14:paraId="4220C175"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7DAA7F31"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shd w:val="clear" w:color="auto" w:fill="auto"/>
            <w:vAlign w:val="center"/>
          </w:tcPr>
          <w:p w14:paraId="10DE64E7" w14:textId="24776AC6" w:rsidR="000D5096" w:rsidRPr="004644F5" w:rsidRDefault="002745A5" w:rsidP="00D20A1E">
            <w:pPr>
              <w:keepNext/>
              <w:keepLines/>
              <w:widowControl/>
              <w:tabs>
                <w:tab w:val="decimal" w:pos="1891"/>
              </w:tabs>
              <w:spacing w:before="40" w:after="40"/>
              <w:rPr>
                <w:rFonts w:eastAsia="Arial Unicode MS" w:cs="Arial"/>
                <w:sz w:val="20"/>
                <w:szCs w:val="20"/>
              </w:rPr>
            </w:pPr>
            <w:r w:rsidRPr="002745A5">
              <w:rPr>
                <w:rFonts w:eastAsia="Arial Unicode MS" w:cs="Arial"/>
                <w:sz w:val="20"/>
                <w:szCs w:val="20"/>
              </w:rPr>
              <w:t>1</w:t>
            </w:r>
            <w:r>
              <w:rPr>
                <w:rFonts w:eastAsia="Arial Unicode MS" w:cs="Arial"/>
                <w:sz w:val="20"/>
                <w:szCs w:val="20"/>
              </w:rPr>
              <w:t>,</w:t>
            </w:r>
            <w:r w:rsidRPr="002745A5">
              <w:rPr>
                <w:rFonts w:eastAsia="Arial Unicode MS" w:cs="Arial"/>
                <w:sz w:val="20"/>
                <w:szCs w:val="20"/>
              </w:rPr>
              <w:t>171</w:t>
            </w:r>
          </w:p>
        </w:tc>
        <w:tc>
          <w:tcPr>
            <w:tcW w:w="2159" w:type="dxa"/>
            <w:noWrap/>
            <w:tcMar>
              <w:top w:w="12" w:type="dxa"/>
              <w:left w:w="12" w:type="dxa"/>
              <w:bottom w:w="0" w:type="dxa"/>
              <w:right w:w="12" w:type="dxa"/>
            </w:tcMar>
            <w:vAlign w:val="center"/>
          </w:tcPr>
          <w:p w14:paraId="3ED1AD30" w14:textId="7777777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1,095</w:t>
            </w:r>
          </w:p>
        </w:tc>
        <w:tc>
          <w:tcPr>
            <w:tcW w:w="1873" w:type="dxa"/>
            <w:vAlign w:val="center"/>
          </w:tcPr>
          <w:p w14:paraId="0CEDD7EB" w14:textId="77777777" w:rsidR="000D5096" w:rsidRPr="00A36B68" w:rsidRDefault="000D5096" w:rsidP="00D20A1E">
            <w:pPr>
              <w:keepNext/>
              <w:keepLines/>
              <w:widowControl/>
              <w:tabs>
                <w:tab w:val="decimal" w:pos="1120"/>
              </w:tabs>
              <w:spacing w:before="40" w:after="40"/>
              <w:rPr>
                <w:rFonts w:eastAsia="Arial Unicode MS" w:cs="Arial"/>
                <w:sz w:val="20"/>
                <w:szCs w:val="20"/>
              </w:rPr>
            </w:pPr>
          </w:p>
        </w:tc>
        <w:tc>
          <w:tcPr>
            <w:tcW w:w="1876" w:type="dxa"/>
            <w:vAlign w:val="center"/>
          </w:tcPr>
          <w:p w14:paraId="1B80FECE" w14:textId="77777777" w:rsidR="000D5096" w:rsidRPr="00A36B68" w:rsidRDefault="000D5096" w:rsidP="00D20A1E">
            <w:pPr>
              <w:keepNext/>
              <w:keepLines/>
              <w:widowControl/>
              <w:tabs>
                <w:tab w:val="decimal" w:pos="1090"/>
              </w:tabs>
              <w:spacing w:before="40" w:after="40"/>
              <w:rPr>
                <w:rFonts w:eastAsia="Arial Unicode MS" w:cs="Arial"/>
                <w:sz w:val="20"/>
                <w:szCs w:val="20"/>
              </w:rPr>
            </w:pPr>
          </w:p>
        </w:tc>
      </w:tr>
      <w:tr w:rsidR="000D5096" w:rsidRPr="00A36B68" w14:paraId="0798AA43" w14:textId="77777777" w:rsidTr="00577EF3">
        <w:trPr>
          <w:trHeight w:val="264"/>
        </w:trPr>
        <w:tc>
          <w:tcPr>
            <w:tcW w:w="1558" w:type="dxa"/>
            <w:tcBorders>
              <w:top w:val="nil"/>
              <w:bottom w:val="single" w:sz="4" w:space="0" w:color="auto"/>
            </w:tcBorders>
            <w:noWrap/>
            <w:tcMar>
              <w:top w:w="12" w:type="dxa"/>
              <w:left w:w="12" w:type="dxa"/>
              <w:bottom w:w="0" w:type="dxa"/>
              <w:right w:w="12" w:type="dxa"/>
            </w:tcMar>
            <w:vAlign w:val="center"/>
          </w:tcPr>
          <w:p w14:paraId="4B7F7788"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bottom w:val="single" w:sz="4" w:space="0" w:color="auto"/>
            </w:tcBorders>
            <w:noWrap/>
            <w:tcMar>
              <w:top w:w="12" w:type="dxa"/>
              <w:left w:w="12" w:type="dxa"/>
              <w:bottom w:w="0" w:type="dxa"/>
              <w:right w:w="12" w:type="dxa"/>
            </w:tcMar>
            <w:vAlign w:val="center"/>
          </w:tcPr>
          <w:p w14:paraId="74196DC7"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New Zealand</w:t>
            </w:r>
          </w:p>
        </w:tc>
        <w:tc>
          <w:tcPr>
            <w:tcW w:w="1781" w:type="dxa"/>
            <w:noWrap/>
            <w:tcMar>
              <w:top w:w="12" w:type="dxa"/>
              <w:left w:w="12" w:type="dxa"/>
              <w:bottom w:w="0" w:type="dxa"/>
              <w:right w:w="12" w:type="dxa"/>
            </w:tcMar>
            <w:vAlign w:val="center"/>
          </w:tcPr>
          <w:p w14:paraId="0E954F2D"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shd w:val="clear" w:color="auto" w:fill="auto"/>
            <w:vAlign w:val="center"/>
          </w:tcPr>
          <w:p w14:paraId="110B29C6" w14:textId="77777777" w:rsidR="000D5096" w:rsidRPr="002745A5" w:rsidRDefault="000D5096" w:rsidP="00D20A1E">
            <w:pPr>
              <w:keepNext/>
              <w:keepLines/>
              <w:widowControl/>
              <w:tabs>
                <w:tab w:val="decimal" w:pos="1891"/>
              </w:tabs>
              <w:spacing w:before="40" w:after="40"/>
              <w:rPr>
                <w:rFonts w:eastAsia="Arial Unicode MS" w:cs="Arial"/>
                <w:sz w:val="20"/>
                <w:szCs w:val="20"/>
              </w:rPr>
            </w:pPr>
            <w:r w:rsidRPr="002745A5">
              <w:rPr>
                <w:rFonts w:eastAsia="Arial Unicode MS" w:cs="Arial"/>
                <w:sz w:val="20"/>
                <w:szCs w:val="20"/>
              </w:rPr>
              <w:t>1,105</w:t>
            </w:r>
          </w:p>
        </w:tc>
        <w:tc>
          <w:tcPr>
            <w:tcW w:w="2159" w:type="dxa"/>
            <w:noWrap/>
            <w:tcMar>
              <w:top w:w="12" w:type="dxa"/>
              <w:left w:w="12" w:type="dxa"/>
              <w:bottom w:w="0" w:type="dxa"/>
              <w:right w:w="12" w:type="dxa"/>
            </w:tcMar>
            <w:vAlign w:val="center"/>
          </w:tcPr>
          <w:p w14:paraId="744E3BC9" w14:textId="77777777" w:rsidR="000D5096" w:rsidRPr="00A36B68" w:rsidRDefault="000D5096" w:rsidP="00D20A1E">
            <w:pPr>
              <w:keepNext/>
              <w:keepLines/>
              <w:widowControl/>
              <w:tabs>
                <w:tab w:val="decimal" w:pos="1141"/>
              </w:tabs>
              <w:spacing w:before="40" w:after="40"/>
              <w:rPr>
                <w:rFonts w:eastAsia="Arial Unicode MS" w:cs="Arial"/>
                <w:sz w:val="20"/>
                <w:szCs w:val="20"/>
              </w:rPr>
            </w:pPr>
            <w:r w:rsidRPr="00A36B68">
              <w:rPr>
                <w:rFonts w:eastAsia="Arial Unicode MS" w:cs="Arial"/>
                <w:sz w:val="20"/>
                <w:szCs w:val="20"/>
              </w:rPr>
              <w:t>759</w:t>
            </w:r>
          </w:p>
        </w:tc>
        <w:tc>
          <w:tcPr>
            <w:tcW w:w="1873" w:type="dxa"/>
            <w:vAlign w:val="center"/>
          </w:tcPr>
          <w:p w14:paraId="78588A53" w14:textId="77777777" w:rsidR="000D5096" w:rsidRPr="00A36B68" w:rsidRDefault="000D5096" w:rsidP="00D20A1E">
            <w:pPr>
              <w:keepNext/>
              <w:keepLines/>
              <w:widowControl/>
              <w:tabs>
                <w:tab w:val="decimal" w:pos="1120"/>
              </w:tabs>
              <w:spacing w:before="40" w:after="40"/>
              <w:rPr>
                <w:rFonts w:eastAsia="Arial Unicode MS" w:cs="Arial"/>
                <w:sz w:val="20"/>
                <w:szCs w:val="20"/>
              </w:rPr>
            </w:pPr>
          </w:p>
        </w:tc>
        <w:tc>
          <w:tcPr>
            <w:tcW w:w="1876" w:type="dxa"/>
            <w:vAlign w:val="center"/>
          </w:tcPr>
          <w:p w14:paraId="77BF792D" w14:textId="77777777" w:rsidR="000D5096" w:rsidRPr="00A36B68" w:rsidRDefault="000D5096" w:rsidP="00D20A1E">
            <w:pPr>
              <w:keepNext/>
              <w:keepLines/>
              <w:widowControl/>
              <w:tabs>
                <w:tab w:val="decimal" w:pos="1090"/>
              </w:tabs>
              <w:spacing w:before="40" w:after="40"/>
              <w:rPr>
                <w:rFonts w:eastAsia="Arial Unicode MS" w:cs="Arial"/>
                <w:sz w:val="20"/>
                <w:szCs w:val="20"/>
              </w:rPr>
            </w:pPr>
          </w:p>
        </w:tc>
      </w:tr>
      <w:tr w:rsidR="000D5096" w:rsidRPr="00A36B68" w14:paraId="27AECD9F" w14:textId="77777777" w:rsidTr="00577EF3">
        <w:trPr>
          <w:trHeight w:val="264"/>
        </w:trPr>
        <w:tc>
          <w:tcPr>
            <w:tcW w:w="1558" w:type="dxa"/>
            <w:tcBorders>
              <w:bottom w:val="nil"/>
            </w:tcBorders>
            <w:noWrap/>
            <w:tcMar>
              <w:top w:w="12" w:type="dxa"/>
              <w:left w:w="12" w:type="dxa"/>
              <w:bottom w:w="0" w:type="dxa"/>
              <w:right w:w="12" w:type="dxa"/>
            </w:tcMar>
            <w:vAlign w:val="center"/>
          </w:tcPr>
          <w:p w14:paraId="4C6F8FCE"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Vitamin B</w:t>
            </w:r>
            <w:r w:rsidRPr="00A36B68">
              <w:rPr>
                <w:rFonts w:cs="Arial"/>
                <w:sz w:val="20"/>
                <w:szCs w:val="20"/>
                <w:vertAlign w:val="subscript"/>
              </w:rPr>
              <w:t>6</w:t>
            </w:r>
            <w:r w:rsidRPr="00A36B68">
              <w:rPr>
                <w:rFonts w:cs="Arial"/>
                <w:sz w:val="20"/>
                <w:szCs w:val="20"/>
              </w:rPr>
              <w:t xml:space="preserve"> (mg)</w:t>
            </w:r>
          </w:p>
        </w:tc>
        <w:tc>
          <w:tcPr>
            <w:tcW w:w="1203" w:type="dxa"/>
            <w:tcBorders>
              <w:bottom w:val="nil"/>
            </w:tcBorders>
            <w:noWrap/>
            <w:tcMar>
              <w:top w:w="12" w:type="dxa"/>
              <w:left w:w="12" w:type="dxa"/>
              <w:bottom w:w="0" w:type="dxa"/>
              <w:right w:w="12" w:type="dxa"/>
            </w:tcMar>
            <w:vAlign w:val="center"/>
          </w:tcPr>
          <w:p w14:paraId="6EECA4A1"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Australia</w:t>
            </w:r>
          </w:p>
        </w:tc>
        <w:tc>
          <w:tcPr>
            <w:tcW w:w="1781" w:type="dxa"/>
            <w:tcMar>
              <w:top w:w="12" w:type="dxa"/>
              <w:left w:w="12" w:type="dxa"/>
              <w:bottom w:w="0" w:type="dxa"/>
              <w:right w:w="12" w:type="dxa"/>
            </w:tcMar>
            <w:vAlign w:val="center"/>
          </w:tcPr>
          <w:p w14:paraId="0774A9AE"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 years and above</w:t>
            </w:r>
          </w:p>
        </w:tc>
        <w:tc>
          <w:tcPr>
            <w:tcW w:w="3531" w:type="dxa"/>
            <w:vAlign w:val="center"/>
          </w:tcPr>
          <w:p w14:paraId="219E2EFC"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1.5</w:t>
            </w:r>
          </w:p>
        </w:tc>
        <w:tc>
          <w:tcPr>
            <w:tcW w:w="2159" w:type="dxa"/>
            <w:noWrap/>
            <w:tcMar>
              <w:top w:w="12" w:type="dxa"/>
              <w:left w:w="12" w:type="dxa"/>
              <w:bottom w:w="0" w:type="dxa"/>
              <w:right w:w="12" w:type="dxa"/>
            </w:tcMar>
            <w:vAlign w:val="center"/>
          </w:tcPr>
          <w:p w14:paraId="4C7D4AEB"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1.2</w:t>
            </w:r>
          </w:p>
        </w:tc>
        <w:tc>
          <w:tcPr>
            <w:tcW w:w="1873" w:type="dxa"/>
            <w:vAlign w:val="center"/>
          </w:tcPr>
          <w:p w14:paraId="7DAFFD3F" w14:textId="77777777" w:rsidR="000D5096" w:rsidRPr="00A36B68" w:rsidRDefault="000D5096" w:rsidP="00D20A1E">
            <w:pPr>
              <w:pStyle w:val="FootnoteText"/>
              <w:keepNext/>
              <w:keepLines/>
              <w:widowControl/>
              <w:tabs>
                <w:tab w:val="decimal" w:pos="1120"/>
              </w:tabs>
              <w:spacing w:before="40" w:after="40"/>
              <w:rPr>
                <w:rFonts w:eastAsia="Arial Unicode MS" w:cs="Arial"/>
              </w:rPr>
            </w:pPr>
            <w:r w:rsidRPr="00A36B68">
              <w:rPr>
                <w:rFonts w:cs="Arial"/>
                <w:lang w:bidi="ar-SA"/>
              </w:rPr>
              <w:t>1.7</w:t>
            </w:r>
          </w:p>
        </w:tc>
        <w:tc>
          <w:tcPr>
            <w:tcW w:w="1876" w:type="dxa"/>
            <w:vAlign w:val="center"/>
          </w:tcPr>
          <w:p w14:paraId="63935EF5" w14:textId="77777777" w:rsidR="000D5096" w:rsidRPr="00A36B68" w:rsidRDefault="000D5096" w:rsidP="00D20A1E">
            <w:pPr>
              <w:pStyle w:val="FootnoteText"/>
              <w:keepNext/>
              <w:keepLines/>
              <w:widowControl/>
              <w:tabs>
                <w:tab w:val="decimal" w:pos="1090"/>
              </w:tabs>
              <w:spacing w:before="40" w:after="40"/>
              <w:rPr>
                <w:rFonts w:eastAsia="Arial Unicode MS" w:cs="Arial"/>
              </w:rPr>
            </w:pPr>
            <w:r w:rsidRPr="00A36B68">
              <w:rPr>
                <w:rFonts w:cs="Arial"/>
                <w:lang w:bidi="ar-SA"/>
              </w:rPr>
              <w:t>1.8</w:t>
            </w:r>
          </w:p>
        </w:tc>
      </w:tr>
      <w:tr w:rsidR="000D5096" w:rsidRPr="00A36B68" w14:paraId="3D0127B7"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781326D3"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11C5533B"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5A16CB89" w14:textId="2636A86A"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3531" w:type="dxa"/>
            <w:vAlign w:val="center"/>
          </w:tcPr>
          <w:p w14:paraId="378B1D16"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1.1</w:t>
            </w:r>
          </w:p>
        </w:tc>
        <w:tc>
          <w:tcPr>
            <w:tcW w:w="2159" w:type="dxa"/>
            <w:noWrap/>
            <w:tcMar>
              <w:top w:w="12" w:type="dxa"/>
              <w:left w:w="12" w:type="dxa"/>
              <w:bottom w:w="0" w:type="dxa"/>
              <w:right w:w="12" w:type="dxa"/>
            </w:tcMar>
            <w:vAlign w:val="center"/>
          </w:tcPr>
          <w:p w14:paraId="6EE7B86B" w14:textId="068F646A"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0.9</w:t>
            </w:r>
            <w:r w:rsidR="00A62EBB" w:rsidRPr="00A62EBB">
              <w:rPr>
                <w:rFonts w:eastAsia="Arial Unicode MS" w:cs="Arial"/>
                <w:vertAlign w:val="superscript"/>
              </w:rPr>
              <w:sym w:font="Webdings" w:char="F0EA"/>
            </w:r>
          </w:p>
        </w:tc>
        <w:tc>
          <w:tcPr>
            <w:tcW w:w="1873" w:type="dxa"/>
            <w:vAlign w:val="center"/>
          </w:tcPr>
          <w:p w14:paraId="4A9AE27F"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32F0051E"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1C9E0BF6"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705D6CD2"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4B24B038"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59893ED1" w14:textId="77659126"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3531" w:type="dxa"/>
            <w:vAlign w:val="center"/>
          </w:tcPr>
          <w:p w14:paraId="013BB60A"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1.5</w:t>
            </w:r>
          </w:p>
        </w:tc>
        <w:tc>
          <w:tcPr>
            <w:tcW w:w="2159" w:type="dxa"/>
            <w:noWrap/>
            <w:tcMar>
              <w:top w:w="12" w:type="dxa"/>
              <w:left w:w="12" w:type="dxa"/>
              <w:bottom w:w="0" w:type="dxa"/>
              <w:right w:w="12" w:type="dxa"/>
            </w:tcMar>
            <w:vAlign w:val="center"/>
          </w:tcPr>
          <w:p w14:paraId="6AC35680"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0.9</w:t>
            </w:r>
          </w:p>
        </w:tc>
        <w:tc>
          <w:tcPr>
            <w:tcW w:w="1873" w:type="dxa"/>
            <w:vAlign w:val="center"/>
          </w:tcPr>
          <w:p w14:paraId="62DA6788"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6FC2BB73"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1CDEA0E7"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763DA678"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tcBorders>
            <w:noWrap/>
            <w:tcMar>
              <w:top w:w="12" w:type="dxa"/>
              <w:left w:w="12" w:type="dxa"/>
              <w:bottom w:w="0" w:type="dxa"/>
              <w:right w:w="12" w:type="dxa"/>
            </w:tcMar>
            <w:vAlign w:val="center"/>
          </w:tcPr>
          <w:p w14:paraId="36283C16"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4095E073"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vAlign w:val="center"/>
          </w:tcPr>
          <w:p w14:paraId="50D0680E"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sidRPr="00736F1D">
              <w:rPr>
                <w:rFonts w:eastAsia="Arial Unicode MS" w:cs="Arial"/>
              </w:rPr>
              <w:t>1.6</w:t>
            </w:r>
          </w:p>
        </w:tc>
        <w:tc>
          <w:tcPr>
            <w:tcW w:w="2159" w:type="dxa"/>
            <w:noWrap/>
            <w:tcMar>
              <w:top w:w="12" w:type="dxa"/>
              <w:left w:w="12" w:type="dxa"/>
              <w:bottom w:w="0" w:type="dxa"/>
              <w:right w:w="12" w:type="dxa"/>
            </w:tcMar>
            <w:vAlign w:val="center"/>
          </w:tcPr>
          <w:p w14:paraId="6634B77A"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1.3</w:t>
            </w:r>
          </w:p>
        </w:tc>
        <w:tc>
          <w:tcPr>
            <w:tcW w:w="1873" w:type="dxa"/>
            <w:vAlign w:val="center"/>
          </w:tcPr>
          <w:p w14:paraId="0F6FADB9"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4A6842FC"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20E564D8" w14:textId="77777777" w:rsidTr="00577EF3">
        <w:trPr>
          <w:trHeight w:val="264"/>
        </w:trPr>
        <w:tc>
          <w:tcPr>
            <w:tcW w:w="1558" w:type="dxa"/>
            <w:tcBorders>
              <w:top w:val="nil"/>
              <w:bottom w:val="single" w:sz="4" w:space="0" w:color="auto"/>
            </w:tcBorders>
            <w:noWrap/>
            <w:tcMar>
              <w:top w:w="12" w:type="dxa"/>
              <w:left w:w="12" w:type="dxa"/>
              <w:bottom w:w="0" w:type="dxa"/>
              <w:right w:w="12" w:type="dxa"/>
            </w:tcMar>
            <w:vAlign w:val="center"/>
          </w:tcPr>
          <w:p w14:paraId="23CF9237"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bottom w:val="single" w:sz="4" w:space="0" w:color="auto"/>
            </w:tcBorders>
            <w:noWrap/>
            <w:tcMar>
              <w:top w:w="12" w:type="dxa"/>
              <w:left w:w="12" w:type="dxa"/>
              <w:bottom w:w="0" w:type="dxa"/>
              <w:right w:w="12" w:type="dxa"/>
            </w:tcMar>
            <w:vAlign w:val="center"/>
          </w:tcPr>
          <w:p w14:paraId="6D2908B7"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New Zealand</w:t>
            </w:r>
          </w:p>
        </w:tc>
        <w:tc>
          <w:tcPr>
            <w:tcW w:w="1781" w:type="dxa"/>
            <w:noWrap/>
            <w:tcMar>
              <w:top w:w="12" w:type="dxa"/>
              <w:left w:w="12" w:type="dxa"/>
              <w:bottom w:w="0" w:type="dxa"/>
              <w:right w:w="12" w:type="dxa"/>
            </w:tcMar>
            <w:vAlign w:val="center"/>
          </w:tcPr>
          <w:p w14:paraId="5A405249"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vAlign w:val="center"/>
          </w:tcPr>
          <w:p w14:paraId="70A19375"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sidRPr="0030752B">
              <w:rPr>
                <w:rFonts w:eastAsia="Arial Unicode MS" w:cs="Arial"/>
              </w:rPr>
              <w:t>1.4</w:t>
            </w:r>
          </w:p>
        </w:tc>
        <w:tc>
          <w:tcPr>
            <w:tcW w:w="2159" w:type="dxa"/>
            <w:noWrap/>
            <w:tcMar>
              <w:top w:w="12" w:type="dxa"/>
              <w:left w:w="12" w:type="dxa"/>
              <w:bottom w:w="0" w:type="dxa"/>
              <w:right w:w="12" w:type="dxa"/>
            </w:tcMar>
            <w:vAlign w:val="center"/>
          </w:tcPr>
          <w:p w14:paraId="01A2E0A6"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1.1</w:t>
            </w:r>
          </w:p>
        </w:tc>
        <w:tc>
          <w:tcPr>
            <w:tcW w:w="1873" w:type="dxa"/>
            <w:vAlign w:val="center"/>
          </w:tcPr>
          <w:p w14:paraId="6090FE6B"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357D3EF7"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08E7AE29" w14:textId="77777777" w:rsidTr="00577EF3">
        <w:trPr>
          <w:trHeight w:val="264"/>
        </w:trPr>
        <w:tc>
          <w:tcPr>
            <w:tcW w:w="1558" w:type="dxa"/>
            <w:tcBorders>
              <w:bottom w:val="nil"/>
            </w:tcBorders>
            <w:noWrap/>
            <w:tcMar>
              <w:top w:w="12" w:type="dxa"/>
              <w:left w:w="12" w:type="dxa"/>
              <w:bottom w:w="0" w:type="dxa"/>
              <w:right w:w="12" w:type="dxa"/>
            </w:tcMar>
            <w:vAlign w:val="center"/>
          </w:tcPr>
          <w:p w14:paraId="120379F5"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Vitamin B</w:t>
            </w:r>
            <w:r w:rsidRPr="00A36B68">
              <w:rPr>
                <w:rFonts w:cs="Arial"/>
                <w:sz w:val="20"/>
                <w:szCs w:val="20"/>
                <w:vertAlign w:val="subscript"/>
              </w:rPr>
              <w:t>12</w:t>
            </w:r>
            <w:r w:rsidRPr="00A36B68">
              <w:rPr>
                <w:rFonts w:cs="Arial"/>
                <w:sz w:val="20"/>
                <w:szCs w:val="20"/>
              </w:rPr>
              <w:t xml:space="preserve"> (</w:t>
            </w:r>
            <w:r w:rsidRPr="00A36B68">
              <w:rPr>
                <w:rFonts w:eastAsia="Arial Unicode MS" w:cs="Arial"/>
                <w:sz w:val="20"/>
                <w:szCs w:val="20"/>
              </w:rPr>
              <w:t>µ</w:t>
            </w:r>
            <w:r w:rsidRPr="00A36B68">
              <w:rPr>
                <w:rFonts w:cs="Arial"/>
                <w:sz w:val="20"/>
                <w:szCs w:val="20"/>
              </w:rPr>
              <w:t>g)</w:t>
            </w:r>
          </w:p>
        </w:tc>
        <w:tc>
          <w:tcPr>
            <w:tcW w:w="1203" w:type="dxa"/>
            <w:tcBorders>
              <w:bottom w:val="nil"/>
            </w:tcBorders>
            <w:noWrap/>
            <w:tcMar>
              <w:top w:w="12" w:type="dxa"/>
              <w:left w:w="12" w:type="dxa"/>
              <w:bottom w:w="0" w:type="dxa"/>
              <w:right w:w="12" w:type="dxa"/>
            </w:tcMar>
            <w:vAlign w:val="center"/>
          </w:tcPr>
          <w:p w14:paraId="2A6A6C7B"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Australia</w:t>
            </w:r>
          </w:p>
        </w:tc>
        <w:tc>
          <w:tcPr>
            <w:tcW w:w="1781" w:type="dxa"/>
            <w:tcMar>
              <w:top w:w="12" w:type="dxa"/>
              <w:left w:w="12" w:type="dxa"/>
              <w:bottom w:w="0" w:type="dxa"/>
              <w:right w:w="12" w:type="dxa"/>
            </w:tcMar>
            <w:vAlign w:val="center"/>
          </w:tcPr>
          <w:p w14:paraId="4FD07CEB"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 years and above</w:t>
            </w:r>
          </w:p>
        </w:tc>
        <w:tc>
          <w:tcPr>
            <w:tcW w:w="3531" w:type="dxa"/>
            <w:vAlign w:val="center"/>
          </w:tcPr>
          <w:p w14:paraId="0C55177B"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4.3</w:t>
            </w:r>
          </w:p>
        </w:tc>
        <w:tc>
          <w:tcPr>
            <w:tcW w:w="2159" w:type="dxa"/>
            <w:noWrap/>
            <w:tcMar>
              <w:top w:w="12" w:type="dxa"/>
              <w:left w:w="12" w:type="dxa"/>
              <w:bottom w:w="0" w:type="dxa"/>
              <w:right w:w="12" w:type="dxa"/>
            </w:tcMar>
            <w:vAlign w:val="center"/>
          </w:tcPr>
          <w:p w14:paraId="37728C39"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4.1</w:t>
            </w:r>
          </w:p>
        </w:tc>
        <w:tc>
          <w:tcPr>
            <w:tcW w:w="1873" w:type="dxa"/>
            <w:vAlign w:val="center"/>
          </w:tcPr>
          <w:p w14:paraId="407A2592" w14:textId="77777777" w:rsidR="000D5096" w:rsidRPr="00A36B68" w:rsidRDefault="000D5096" w:rsidP="00D20A1E">
            <w:pPr>
              <w:pStyle w:val="FootnoteText"/>
              <w:keepNext/>
              <w:keepLines/>
              <w:widowControl/>
              <w:tabs>
                <w:tab w:val="decimal" w:pos="1120"/>
              </w:tabs>
              <w:spacing w:before="40" w:after="40"/>
              <w:rPr>
                <w:rFonts w:eastAsia="Arial Unicode MS" w:cs="Arial"/>
              </w:rPr>
            </w:pPr>
            <w:r w:rsidRPr="00A36B68">
              <w:rPr>
                <w:rFonts w:cs="Arial"/>
                <w:lang w:bidi="ar-SA"/>
              </w:rPr>
              <w:t>2.1</w:t>
            </w:r>
          </w:p>
        </w:tc>
        <w:tc>
          <w:tcPr>
            <w:tcW w:w="1876" w:type="dxa"/>
            <w:vAlign w:val="center"/>
          </w:tcPr>
          <w:p w14:paraId="29003B17" w14:textId="77777777" w:rsidR="000D5096" w:rsidRPr="00A36B68" w:rsidRDefault="000D5096" w:rsidP="00D20A1E">
            <w:pPr>
              <w:pStyle w:val="FootnoteText"/>
              <w:keepNext/>
              <w:keepLines/>
              <w:widowControl/>
              <w:tabs>
                <w:tab w:val="decimal" w:pos="1090"/>
              </w:tabs>
              <w:spacing w:before="40" w:after="40"/>
              <w:rPr>
                <w:rFonts w:eastAsia="Arial Unicode MS" w:cs="Arial"/>
              </w:rPr>
            </w:pPr>
            <w:r w:rsidRPr="00A36B68">
              <w:rPr>
                <w:rFonts w:cs="Arial"/>
                <w:lang w:bidi="ar-SA"/>
              </w:rPr>
              <w:t>3.2</w:t>
            </w:r>
          </w:p>
        </w:tc>
      </w:tr>
      <w:tr w:rsidR="000D5096" w:rsidRPr="00A36B68" w14:paraId="2443E541"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3B111557"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196C7829"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714A704B" w14:textId="6D3C0A3B"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3531" w:type="dxa"/>
            <w:vAlign w:val="center"/>
          </w:tcPr>
          <w:p w14:paraId="4FC2DE50"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2.8</w:t>
            </w:r>
          </w:p>
        </w:tc>
        <w:tc>
          <w:tcPr>
            <w:tcW w:w="2159" w:type="dxa"/>
            <w:noWrap/>
            <w:tcMar>
              <w:top w:w="12" w:type="dxa"/>
              <w:left w:w="12" w:type="dxa"/>
              <w:bottom w:w="0" w:type="dxa"/>
              <w:right w:w="12" w:type="dxa"/>
            </w:tcMar>
            <w:vAlign w:val="center"/>
          </w:tcPr>
          <w:p w14:paraId="01D780A7" w14:textId="6DFF49DA"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2.2</w:t>
            </w:r>
            <w:r w:rsidR="00A62EBB" w:rsidRPr="00A62EBB">
              <w:rPr>
                <w:rFonts w:eastAsia="Arial Unicode MS" w:cs="Arial"/>
                <w:vertAlign w:val="superscript"/>
              </w:rPr>
              <w:sym w:font="Webdings" w:char="F0EA"/>
            </w:r>
          </w:p>
        </w:tc>
        <w:tc>
          <w:tcPr>
            <w:tcW w:w="1873" w:type="dxa"/>
            <w:vAlign w:val="center"/>
          </w:tcPr>
          <w:p w14:paraId="436F3520"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1C55D7C8"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07628B8A"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5BBEC108"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4000489E"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65EEA0C6"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5-14 years</w:t>
            </w:r>
          </w:p>
        </w:tc>
        <w:tc>
          <w:tcPr>
            <w:tcW w:w="3531" w:type="dxa"/>
            <w:vAlign w:val="center"/>
          </w:tcPr>
          <w:p w14:paraId="0E9AC1CC"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3.7</w:t>
            </w:r>
          </w:p>
        </w:tc>
        <w:tc>
          <w:tcPr>
            <w:tcW w:w="2159" w:type="dxa"/>
            <w:noWrap/>
            <w:tcMar>
              <w:top w:w="12" w:type="dxa"/>
              <w:left w:w="12" w:type="dxa"/>
              <w:bottom w:w="0" w:type="dxa"/>
              <w:right w:w="12" w:type="dxa"/>
            </w:tcMar>
            <w:vAlign w:val="center"/>
          </w:tcPr>
          <w:p w14:paraId="620957DE"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2.4</w:t>
            </w:r>
          </w:p>
        </w:tc>
        <w:tc>
          <w:tcPr>
            <w:tcW w:w="1873" w:type="dxa"/>
            <w:vAlign w:val="center"/>
          </w:tcPr>
          <w:p w14:paraId="1B7CD8A9"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1F908C49"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3785A8A9"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6A8FD764"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tcBorders>
            <w:noWrap/>
            <w:tcMar>
              <w:top w:w="12" w:type="dxa"/>
              <w:left w:w="12" w:type="dxa"/>
              <w:bottom w:w="0" w:type="dxa"/>
              <w:right w:w="12" w:type="dxa"/>
            </w:tcMar>
            <w:vAlign w:val="center"/>
          </w:tcPr>
          <w:p w14:paraId="2B470241"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5E2E32CE"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vAlign w:val="center"/>
          </w:tcPr>
          <w:p w14:paraId="2D5FF5B5"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sidRPr="00736F1D">
              <w:rPr>
                <w:rFonts w:eastAsia="Arial Unicode MS" w:cs="Arial"/>
              </w:rPr>
              <w:t>4.5</w:t>
            </w:r>
          </w:p>
        </w:tc>
        <w:tc>
          <w:tcPr>
            <w:tcW w:w="2159" w:type="dxa"/>
            <w:noWrap/>
            <w:tcMar>
              <w:top w:w="12" w:type="dxa"/>
              <w:left w:w="12" w:type="dxa"/>
              <w:bottom w:w="0" w:type="dxa"/>
              <w:right w:w="12" w:type="dxa"/>
            </w:tcMar>
            <w:vAlign w:val="center"/>
          </w:tcPr>
          <w:p w14:paraId="5561F7AB"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4.4</w:t>
            </w:r>
          </w:p>
        </w:tc>
        <w:tc>
          <w:tcPr>
            <w:tcW w:w="1873" w:type="dxa"/>
            <w:vAlign w:val="center"/>
          </w:tcPr>
          <w:p w14:paraId="2A674FF0"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5872647B"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2482AFF3" w14:textId="77777777" w:rsidTr="00577EF3">
        <w:trPr>
          <w:trHeight w:val="264"/>
        </w:trPr>
        <w:tc>
          <w:tcPr>
            <w:tcW w:w="1558" w:type="dxa"/>
            <w:tcBorders>
              <w:top w:val="nil"/>
              <w:bottom w:val="single" w:sz="4" w:space="0" w:color="auto"/>
            </w:tcBorders>
            <w:noWrap/>
            <w:tcMar>
              <w:top w:w="12" w:type="dxa"/>
              <w:left w:w="12" w:type="dxa"/>
              <w:bottom w:w="0" w:type="dxa"/>
              <w:right w:w="12" w:type="dxa"/>
            </w:tcMar>
            <w:vAlign w:val="center"/>
          </w:tcPr>
          <w:p w14:paraId="1DA43D67"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bottom w:val="single" w:sz="4" w:space="0" w:color="auto"/>
            </w:tcBorders>
            <w:noWrap/>
            <w:tcMar>
              <w:top w:w="12" w:type="dxa"/>
              <w:left w:w="12" w:type="dxa"/>
              <w:bottom w:w="0" w:type="dxa"/>
              <w:right w:w="12" w:type="dxa"/>
            </w:tcMar>
            <w:vAlign w:val="center"/>
          </w:tcPr>
          <w:p w14:paraId="40D4625F"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New Zealand</w:t>
            </w:r>
          </w:p>
        </w:tc>
        <w:tc>
          <w:tcPr>
            <w:tcW w:w="1781" w:type="dxa"/>
            <w:noWrap/>
            <w:tcMar>
              <w:top w:w="12" w:type="dxa"/>
              <w:left w:w="12" w:type="dxa"/>
              <w:bottom w:w="0" w:type="dxa"/>
              <w:right w:w="12" w:type="dxa"/>
            </w:tcMar>
            <w:vAlign w:val="center"/>
          </w:tcPr>
          <w:p w14:paraId="2ECEBB11"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vAlign w:val="center"/>
          </w:tcPr>
          <w:p w14:paraId="4BEB4BE0"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4.8</w:t>
            </w:r>
          </w:p>
        </w:tc>
        <w:tc>
          <w:tcPr>
            <w:tcW w:w="2159" w:type="dxa"/>
            <w:noWrap/>
            <w:tcMar>
              <w:top w:w="12" w:type="dxa"/>
              <w:left w:w="12" w:type="dxa"/>
              <w:bottom w:w="0" w:type="dxa"/>
              <w:right w:w="12" w:type="dxa"/>
            </w:tcMar>
            <w:vAlign w:val="center"/>
          </w:tcPr>
          <w:p w14:paraId="1CCA9BE8"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3.7</w:t>
            </w:r>
          </w:p>
        </w:tc>
        <w:tc>
          <w:tcPr>
            <w:tcW w:w="1873" w:type="dxa"/>
            <w:vAlign w:val="center"/>
          </w:tcPr>
          <w:p w14:paraId="23CBCA5B"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5C1ECBF0"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3E0A110A" w14:textId="77777777" w:rsidTr="00577EF3">
        <w:trPr>
          <w:trHeight w:val="264"/>
        </w:trPr>
        <w:tc>
          <w:tcPr>
            <w:tcW w:w="1558" w:type="dxa"/>
            <w:tcBorders>
              <w:bottom w:val="nil"/>
            </w:tcBorders>
            <w:noWrap/>
            <w:tcMar>
              <w:top w:w="12" w:type="dxa"/>
              <w:left w:w="12" w:type="dxa"/>
              <w:bottom w:w="0" w:type="dxa"/>
              <w:right w:w="12" w:type="dxa"/>
            </w:tcMar>
            <w:vAlign w:val="center"/>
          </w:tcPr>
          <w:p w14:paraId="77B2129E" w14:textId="77777777" w:rsidR="000D5096" w:rsidRPr="00A36B68" w:rsidRDefault="000D5096" w:rsidP="00D20A1E">
            <w:pPr>
              <w:keepNext/>
              <w:keepLines/>
              <w:widowControl/>
              <w:spacing w:before="40" w:after="40"/>
              <w:rPr>
                <w:rFonts w:eastAsia="Arial Unicode MS" w:cs="Arial"/>
                <w:sz w:val="20"/>
                <w:szCs w:val="20"/>
              </w:rPr>
            </w:pPr>
            <w:r w:rsidRPr="00A36B68">
              <w:rPr>
                <w:rFonts w:eastAsia="Arial Unicode MS" w:cs="Arial"/>
                <w:sz w:val="20"/>
                <w:szCs w:val="20"/>
              </w:rPr>
              <w:t>Vitamin D</w:t>
            </w:r>
            <w:r w:rsidRPr="00A36B68">
              <w:rPr>
                <w:rFonts w:cs="Arial"/>
                <w:sz w:val="20"/>
                <w:szCs w:val="20"/>
              </w:rPr>
              <w:t xml:space="preserve"> (</w:t>
            </w:r>
            <w:r w:rsidRPr="00A36B68">
              <w:rPr>
                <w:rFonts w:eastAsia="Arial Unicode MS" w:cs="Arial"/>
                <w:sz w:val="20"/>
                <w:szCs w:val="20"/>
              </w:rPr>
              <w:t>µ</w:t>
            </w:r>
            <w:r w:rsidRPr="00A36B68">
              <w:rPr>
                <w:rFonts w:cs="Arial"/>
                <w:sz w:val="20"/>
                <w:szCs w:val="20"/>
              </w:rPr>
              <w:t>g)</w:t>
            </w:r>
          </w:p>
        </w:tc>
        <w:tc>
          <w:tcPr>
            <w:tcW w:w="1203" w:type="dxa"/>
            <w:tcBorders>
              <w:bottom w:val="nil"/>
            </w:tcBorders>
            <w:noWrap/>
            <w:tcMar>
              <w:top w:w="12" w:type="dxa"/>
              <w:left w:w="12" w:type="dxa"/>
              <w:bottom w:w="0" w:type="dxa"/>
              <w:right w:w="12" w:type="dxa"/>
            </w:tcMar>
            <w:vAlign w:val="center"/>
          </w:tcPr>
          <w:p w14:paraId="05811F54"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Australia</w:t>
            </w:r>
          </w:p>
        </w:tc>
        <w:tc>
          <w:tcPr>
            <w:tcW w:w="1781" w:type="dxa"/>
            <w:noWrap/>
            <w:tcMar>
              <w:top w:w="12" w:type="dxa"/>
              <w:left w:w="12" w:type="dxa"/>
              <w:bottom w:w="0" w:type="dxa"/>
              <w:right w:w="12" w:type="dxa"/>
            </w:tcMar>
            <w:vAlign w:val="center"/>
          </w:tcPr>
          <w:p w14:paraId="459B8A98"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 years and above</w:t>
            </w:r>
          </w:p>
        </w:tc>
        <w:tc>
          <w:tcPr>
            <w:tcW w:w="3531" w:type="dxa"/>
            <w:vAlign w:val="center"/>
          </w:tcPr>
          <w:p w14:paraId="7B20C215"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1.9</w:t>
            </w:r>
          </w:p>
        </w:tc>
        <w:tc>
          <w:tcPr>
            <w:tcW w:w="2159" w:type="dxa"/>
            <w:noWrap/>
            <w:tcMar>
              <w:top w:w="12" w:type="dxa"/>
              <w:left w:w="12" w:type="dxa"/>
              <w:bottom w:w="0" w:type="dxa"/>
              <w:right w:w="12" w:type="dxa"/>
            </w:tcMar>
            <w:vAlign w:val="center"/>
          </w:tcPr>
          <w:p w14:paraId="32C289CE"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1.6</w:t>
            </w:r>
          </w:p>
        </w:tc>
        <w:tc>
          <w:tcPr>
            <w:tcW w:w="1873" w:type="dxa"/>
            <w:vAlign w:val="center"/>
          </w:tcPr>
          <w:p w14:paraId="6C2D6625" w14:textId="77777777" w:rsidR="000D5096" w:rsidRPr="00A36B68" w:rsidRDefault="000D5096" w:rsidP="00D20A1E">
            <w:pPr>
              <w:pStyle w:val="FootnoteText"/>
              <w:keepNext/>
              <w:keepLines/>
              <w:widowControl/>
              <w:tabs>
                <w:tab w:val="decimal" w:pos="1120"/>
              </w:tabs>
              <w:spacing w:before="40" w:after="40"/>
              <w:rPr>
                <w:rFonts w:eastAsia="Arial Unicode MS" w:cs="Arial"/>
              </w:rPr>
            </w:pPr>
            <w:r w:rsidRPr="00A36B68">
              <w:rPr>
                <w:rFonts w:cs="Arial"/>
                <w:lang w:bidi="ar-SA"/>
              </w:rPr>
              <w:t>1.5</w:t>
            </w:r>
          </w:p>
        </w:tc>
        <w:tc>
          <w:tcPr>
            <w:tcW w:w="1876" w:type="dxa"/>
            <w:vAlign w:val="center"/>
          </w:tcPr>
          <w:p w14:paraId="24B49021" w14:textId="77777777" w:rsidR="000D5096" w:rsidRPr="00A36B68" w:rsidRDefault="000D5096" w:rsidP="00D20A1E">
            <w:pPr>
              <w:pStyle w:val="FootnoteText"/>
              <w:keepNext/>
              <w:keepLines/>
              <w:widowControl/>
              <w:tabs>
                <w:tab w:val="decimal" w:pos="1090"/>
              </w:tabs>
              <w:spacing w:before="40" w:after="40"/>
              <w:rPr>
                <w:rFonts w:eastAsia="Arial Unicode MS" w:cs="Arial"/>
              </w:rPr>
            </w:pPr>
            <w:r w:rsidRPr="00A36B68">
              <w:rPr>
                <w:rFonts w:cs="Arial"/>
                <w:lang w:bidi="ar-SA"/>
              </w:rPr>
              <w:t>3.5</w:t>
            </w:r>
          </w:p>
        </w:tc>
      </w:tr>
      <w:tr w:rsidR="000D5096" w:rsidRPr="00A36B68" w14:paraId="21A03212"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233C7850"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61E05A12"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76EC498A" w14:textId="729F33CF"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3531" w:type="dxa"/>
            <w:vAlign w:val="center"/>
          </w:tcPr>
          <w:p w14:paraId="61CE2DA4"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1.2</w:t>
            </w:r>
          </w:p>
        </w:tc>
        <w:tc>
          <w:tcPr>
            <w:tcW w:w="2159" w:type="dxa"/>
            <w:noWrap/>
            <w:tcMar>
              <w:top w:w="12" w:type="dxa"/>
              <w:left w:w="12" w:type="dxa"/>
              <w:bottom w:w="0" w:type="dxa"/>
              <w:right w:w="12" w:type="dxa"/>
            </w:tcMar>
            <w:vAlign w:val="center"/>
          </w:tcPr>
          <w:p w14:paraId="3DB9C5D1" w14:textId="2F317D69"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0.7</w:t>
            </w:r>
            <w:r w:rsidR="00A62EBB" w:rsidRPr="00A62EBB">
              <w:rPr>
                <w:rFonts w:eastAsia="Arial Unicode MS" w:cs="Arial"/>
                <w:vertAlign w:val="superscript"/>
              </w:rPr>
              <w:sym w:font="Webdings" w:char="F0EA"/>
            </w:r>
          </w:p>
        </w:tc>
        <w:tc>
          <w:tcPr>
            <w:tcW w:w="1873" w:type="dxa"/>
            <w:vAlign w:val="center"/>
          </w:tcPr>
          <w:p w14:paraId="1AE6C995"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22D006C3"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4A213747"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19AD9E1B"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349722D0"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251F5776"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5-14 years</w:t>
            </w:r>
          </w:p>
        </w:tc>
        <w:tc>
          <w:tcPr>
            <w:tcW w:w="3531" w:type="dxa"/>
            <w:vAlign w:val="center"/>
          </w:tcPr>
          <w:p w14:paraId="3E6B11CC"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1.8</w:t>
            </w:r>
          </w:p>
        </w:tc>
        <w:tc>
          <w:tcPr>
            <w:tcW w:w="2159" w:type="dxa"/>
            <w:noWrap/>
            <w:tcMar>
              <w:top w:w="12" w:type="dxa"/>
              <w:left w:w="12" w:type="dxa"/>
              <w:bottom w:w="0" w:type="dxa"/>
              <w:right w:w="12" w:type="dxa"/>
            </w:tcMar>
            <w:vAlign w:val="center"/>
          </w:tcPr>
          <w:p w14:paraId="2C96A756"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1.3</w:t>
            </w:r>
          </w:p>
        </w:tc>
        <w:tc>
          <w:tcPr>
            <w:tcW w:w="1873" w:type="dxa"/>
            <w:vAlign w:val="center"/>
          </w:tcPr>
          <w:p w14:paraId="2A9E5B1F"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181A75AD"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062CC464"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775278EE"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tcBorders>
            <w:noWrap/>
            <w:tcMar>
              <w:top w:w="12" w:type="dxa"/>
              <w:left w:w="12" w:type="dxa"/>
              <w:bottom w:w="0" w:type="dxa"/>
              <w:right w:w="12" w:type="dxa"/>
            </w:tcMar>
            <w:vAlign w:val="center"/>
          </w:tcPr>
          <w:p w14:paraId="31F63002"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4C9C85A2"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vAlign w:val="center"/>
          </w:tcPr>
          <w:p w14:paraId="2BBF6794"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sidRPr="00736F1D">
              <w:rPr>
                <w:rFonts w:eastAsia="Arial Unicode MS" w:cs="Arial"/>
              </w:rPr>
              <w:t>2</w:t>
            </w:r>
            <w:r>
              <w:rPr>
                <w:rFonts w:eastAsia="Arial Unicode MS" w:cs="Arial"/>
              </w:rPr>
              <w:t>.0</w:t>
            </w:r>
          </w:p>
        </w:tc>
        <w:tc>
          <w:tcPr>
            <w:tcW w:w="2159" w:type="dxa"/>
            <w:noWrap/>
            <w:tcMar>
              <w:top w:w="12" w:type="dxa"/>
              <w:left w:w="12" w:type="dxa"/>
              <w:bottom w:w="0" w:type="dxa"/>
              <w:right w:w="12" w:type="dxa"/>
            </w:tcMar>
            <w:vAlign w:val="center"/>
          </w:tcPr>
          <w:p w14:paraId="68F5566E"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1.6</w:t>
            </w:r>
          </w:p>
        </w:tc>
        <w:tc>
          <w:tcPr>
            <w:tcW w:w="1873" w:type="dxa"/>
            <w:vAlign w:val="center"/>
          </w:tcPr>
          <w:p w14:paraId="2701A69C"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056170B0"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17A4C577" w14:textId="77777777" w:rsidTr="00577EF3">
        <w:trPr>
          <w:trHeight w:val="264"/>
        </w:trPr>
        <w:tc>
          <w:tcPr>
            <w:tcW w:w="1558" w:type="dxa"/>
            <w:tcBorders>
              <w:top w:val="nil"/>
              <w:bottom w:val="single" w:sz="4" w:space="0" w:color="auto"/>
            </w:tcBorders>
            <w:noWrap/>
            <w:tcMar>
              <w:top w:w="12" w:type="dxa"/>
              <w:left w:w="12" w:type="dxa"/>
              <w:bottom w:w="0" w:type="dxa"/>
              <w:right w:w="12" w:type="dxa"/>
            </w:tcMar>
            <w:vAlign w:val="center"/>
          </w:tcPr>
          <w:p w14:paraId="7E76E97F" w14:textId="77777777" w:rsidR="000D5096" w:rsidRPr="00A36B68" w:rsidRDefault="000D5096" w:rsidP="00D20A1E">
            <w:pPr>
              <w:widowControl/>
              <w:spacing w:before="40" w:after="40"/>
              <w:rPr>
                <w:rFonts w:eastAsia="Arial Unicode MS" w:cs="Arial"/>
                <w:sz w:val="20"/>
                <w:szCs w:val="20"/>
              </w:rPr>
            </w:pPr>
          </w:p>
        </w:tc>
        <w:tc>
          <w:tcPr>
            <w:tcW w:w="1203" w:type="dxa"/>
            <w:tcBorders>
              <w:bottom w:val="single" w:sz="4" w:space="0" w:color="auto"/>
            </w:tcBorders>
            <w:noWrap/>
            <w:tcMar>
              <w:top w:w="12" w:type="dxa"/>
              <w:left w:w="12" w:type="dxa"/>
              <w:bottom w:w="0" w:type="dxa"/>
              <w:right w:w="12" w:type="dxa"/>
            </w:tcMar>
            <w:vAlign w:val="center"/>
          </w:tcPr>
          <w:p w14:paraId="32E89DAE"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New Zealand</w:t>
            </w:r>
          </w:p>
        </w:tc>
        <w:tc>
          <w:tcPr>
            <w:tcW w:w="1781" w:type="dxa"/>
            <w:noWrap/>
            <w:tcMar>
              <w:top w:w="12" w:type="dxa"/>
              <w:left w:w="12" w:type="dxa"/>
              <w:bottom w:w="0" w:type="dxa"/>
              <w:right w:w="12" w:type="dxa"/>
            </w:tcMar>
            <w:vAlign w:val="center"/>
          </w:tcPr>
          <w:p w14:paraId="20F5EF4F"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vAlign w:val="center"/>
          </w:tcPr>
          <w:p w14:paraId="15EA6E09" w14:textId="77777777" w:rsidR="000D5096" w:rsidRPr="00A36B68" w:rsidRDefault="000D5096" w:rsidP="00D20A1E">
            <w:pPr>
              <w:pStyle w:val="FootnoteText"/>
              <w:widowControl/>
              <w:tabs>
                <w:tab w:val="decimal" w:pos="1891"/>
              </w:tabs>
              <w:spacing w:before="40" w:after="40"/>
              <w:rPr>
                <w:rFonts w:eastAsia="Arial Unicode MS" w:cs="Arial"/>
              </w:rPr>
            </w:pPr>
            <w:r w:rsidRPr="0030752B">
              <w:rPr>
                <w:rFonts w:eastAsia="Arial Unicode MS" w:cs="Arial"/>
              </w:rPr>
              <w:t>2.3</w:t>
            </w:r>
          </w:p>
        </w:tc>
        <w:tc>
          <w:tcPr>
            <w:tcW w:w="2159" w:type="dxa"/>
            <w:noWrap/>
            <w:tcMar>
              <w:top w:w="12" w:type="dxa"/>
              <w:left w:w="12" w:type="dxa"/>
              <w:bottom w:w="0" w:type="dxa"/>
              <w:right w:w="12" w:type="dxa"/>
            </w:tcMar>
            <w:vAlign w:val="center"/>
          </w:tcPr>
          <w:p w14:paraId="5D8C1BEB" w14:textId="77777777" w:rsidR="000D5096" w:rsidRPr="00A36B68" w:rsidRDefault="000D5096" w:rsidP="00D20A1E">
            <w:pPr>
              <w:pStyle w:val="FootnoteText"/>
              <w:widowControl/>
              <w:tabs>
                <w:tab w:val="decimal" w:pos="1141"/>
              </w:tabs>
              <w:spacing w:before="40" w:after="40"/>
              <w:rPr>
                <w:rFonts w:eastAsia="Arial Unicode MS" w:cs="Arial"/>
              </w:rPr>
            </w:pPr>
            <w:r w:rsidRPr="00A36B68">
              <w:rPr>
                <w:rFonts w:eastAsia="Arial Unicode MS" w:cs="Arial"/>
              </w:rPr>
              <w:t>2.0</w:t>
            </w:r>
          </w:p>
        </w:tc>
        <w:tc>
          <w:tcPr>
            <w:tcW w:w="1873" w:type="dxa"/>
            <w:vAlign w:val="center"/>
          </w:tcPr>
          <w:p w14:paraId="6317FF9A" w14:textId="77777777" w:rsidR="000D5096" w:rsidRPr="00A36B68" w:rsidRDefault="000D5096" w:rsidP="00D20A1E">
            <w:pPr>
              <w:pStyle w:val="FootnoteText"/>
              <w:widowControl/>
              <w:tabs>
                <w:tab w:val="decimal" w:pos="1120"/>
              </w:tabs>
              <w:spacing w:before="40" w:after="40"/>
              <w:rPr>
                <w:rFonts w:eastAsia="Arial Unicode MS" w:cs="Arial"/>
              </w:rPr>
            </w:pPr>
          </w:p>
        </w:tc>
        <w:tc>
          <w:tcPr>
            <w:tcW w:w="1876" w:type="dxa"/>
            <w:vAlign w:val="center"/>
          </w:tcPr>
          <w:p w14:paraId="2AB5B31A" w14:textId="77777777" w:rsidR="000D5096" w:rsidRPr="00A36B68" w:rsidRDefault="000D5096" w:rsidP="00D20A1E">
            <w:pPr>
              <w:pStyle w:val="FootnoteText"/>
              <w:widowControl/>
              <w:tabs>
                <w:tab w:val="decimal" w:pos="1090"/>
              </w:tabs>
              <w:spacing w:before="40" w:after="40"/>
              <w:rPr>
                <w:rFonts w:eastAsia="Arial Unicode MS" w:cs="Arial"/>
              </w:rPr>
            </w:pPr>
          </w:p>
        </w:tc>
      </w:tr>
      <w:tr w:rsidR="000D5096" w:rsidRPr="00A36B68" w14:paraId="4C0F8C07" w14:textId="77777777" w:rsidTr="00577EF3">
        <w:trPr>
          <w:trHeight w:val="264"/>
        </w:trPr>
        <w:tc>
          <w:tcPr>
            <w:tcW w:w="1558" w:type="dxa"/>
            <w:tcBorders>
              <w:bottom w:val="nil"/>
            </w:tcBorders>
            <w:noWrap/>
            <w:tcMar>
              <w:top w:w="12" w:type="dxa"/>
              <w:left w:w="12" w:type="dxa"/>
              <w:bottom w:w="0" w:type="dxa"/>
              <w:right w:w="12" w:type="dxa"/>
            </w:tcMar>
            <w:vAlign w:val="center"/>
          </w:tcPr>
          <w:p w14:paraId="01BFB518"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lastRenderedPageBreak/>
              <w:t>Zinc (mg)</w:t>
            </w:r>
          </w:p>
        </w:tc>
        <w:tc>
          <w:tcPr>
            <w:tcW w:w="1203" w:type="dxa"/>
            <w:tcBorders>
              <w:bottom w:val="nil"/>
            </w:tcBorders>
            <w:noWrap/>
            <w:tcMar>
              <w:top w:w="12" w:type="dxa"/>
              <w:left w:w="12" w:type="dxa"/>
              <w:bottom w:w="0" w:type="dxa"/>
              <w:right w:w="12" w:type="dxa"/>
            </w:tcMar>
            <w:vAlign w:val="center"/>
          </w:tcPr>
          <w:p w14:paraId="329316B6"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Australia</w:t>
            </w:r>
          </w:p>
        </w:tc>
        <w:tc>
          <w:tcPr>
            <w:tcW w:w="1781" w:type="dxa"/>
            <w:tcMar>
              <w:top w:w="12" w:type="dxa"/>
              <w:left w:w="12" w:type="dxa"/>
              <w:bottom w:w="0" w:type="dxa"/>
              <w:right w:w="12" w:type="dxa"/>
            </w:tcMar>
            <w:vAlign w:val="center"/>
          </w:tcPr>
          <w:p w14:paraId="4FDB186A"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 years and above</w:t>
            </w:r>
          </w:p>
        </w:tc>
        <w:tc>
          <w:tcPr>
            <w:tcW w:w="3531" w:type="dxa"/>
            <w:vAlign w:val="center"/>
          </w:tcPr>
          <w:p w14:paraId="23447240"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11.4</w:t>
            </w:r>
          </w:p>
        </w:tc>
        <w:tc>
          <w:tcPr>
            <w:tcW w:w="2159" w:type="dxa"/>
            <w:noWrap/>
            <w:tcMar>
              <w:top w:w="12" w:type="dxa"/>
              <w:left w:w="12" w:type="dxa"/>
              <w:bottom w:w="0" w:type="dxa"/>
              <w:right w:w="12" w:type="dxa"/>
            </w:tcMar>
            <w:vAlign w:val="center"/>
          </w:tcPr>
          <w:p w14:paraId="13DFCFA1"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9.7</w:t>
            </w:r>
          </w:p>
        </w:tc>
        <w:tc>
          <w:tcPr>
            <w:tcW w:w="1873" w:type="dxa"/>
            <w:vAlign w:val="center"/>
          </w:tcPr>
          <w:p w14:paraId="0C2D06D1" w14:textId="77777777" w:rsidR="000D5096" w:rsidRPr="00A36B68" w:rsidRDefault="000D5096" w:rsidP="00D20A1E">
            <w:pPr>
              <w:pStyle w:val="FootnoteText"/>
              <w:keepNext/>
              <w:keepLines/>
              <w:widowControl/>
              <w:tabs>
                <w:tab w:val="decimal" w:pos="1120"/>
              </w:tabs>
              <w:spacing w:before="40" w:after="40"/>
              <w:rPr>
                <w:rFonts w:eastAsia="Arial Unicode MS" w:cs="Arial"/>
              </w:rPr>
            </w:pPr>
            <w:r w:rsidRPr="00A36B68">
              <w:rPr>
                <w:rFonts w:cs="Arial"/>
                <w:lang w:bidi="ar-SA"/>
              </w:rPr>
              <w:t>9.6</w:t>
            </w:r>
          </w:p>
        </w:tc>
        <w:tc>
          <w:tcPr>
            <w:tcW w:w="1876" w:type="dxa"/>
            <w:vAlign w:val="center"/>
          </w:tcPr>
          <w:p w14:paraId="366B43A9" w14:textId="77777777" w:rsidR="000D5096" w:rsidRPr="00A36B68" w:rsidRDefault="000D5096" w:rsidP="00D20A1E">
            <w:pPr>
              <w:pStyle w:val="FootnoteText"/>
              <w:keepNext/>
              <w:keepLines/>
              <w:widowControl/>
              <w:tabs>
                <w:tab w:val="decimal" w:pos="1090"/>
              </w:tabs>
              <w:spacing w:before="40" w:after="40"/>
              <w:rPr>
                <w:rFonts w:eastAsia="Arial Unicode MS" w:cs="Arial"/>
              </w:rPr>
            </w:pPr>
            <w:r w:rsidRPr="00A36B68">
              <w:rPr>
                <w:rFonts w:cs="Arial"/>
                <w:lang w:bidi="ar-SA"/>
              </w:rPr>
              <w:t>10.4</w:t>
            </w:r>
          </w:p>
        </w:tc>
      </w:tr>
      <w:tr w:rsidR="000D5096" w:rsidRPr="00A36B68" w14:paraId="7DF8E921"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0B7BB606"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2402B09D"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163E45DD" w14:textId="5C0FADFC"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3531" w:type="dxa"/>
            <w:vAlign w:val="center"/>
          </w:tcPr>
          <w:p w14:paraId="6E0AE60E" w14:textId="77777777" w:rsidR="000D5096" w:rsidRPr="00A36B68" w:rsidRDefault="000D5096" w:rsidP="00D20A1E">
            <w:pPr>
              <w:pStyle w:val="E-mailSignature"/>
              <w:keepNext/>
              <w:keepLines/>
              <w:tabs>
                <w:tab w:val="decimal" w:pos="1891"/>
              </w:tabs>
              <w:spacing w:before="40" w:after="40"/>
              <w:rPr>
                <w:rFonts w:cs="Arial"/>
                <w:lang w:bidi="ar-SA"/>
              </w:rPr>
            </w:pPr>
            <w:r>
              <w:rPr>
                <w:rFonts w:cs="Arial"/>
                <w:lang w:bidi="ar-SA"/>
              </w:rPr>
              <w:t>7.2</w:t>
            </w:r>
          </w:p>
        </w:tc>
        <w:tc>
          <w:tcPr>
            <w:tcW w:w="2159" w:type="dxa"/>
            <w:noWrap/>
            <w:tcMar>
              <w:top w:w="12" w:type="dxa"/>
              <w:left w:w="12" w:type="dxa"/>
              <w:bottom w:w="0" w:type="dxa"/>
              <w:right w:w="12" w:type="dxa"/>
            </w:tcMar>
            <w:vAlign w:val="center"/>
          </w:tcPr>
          <w:p w14:paraId="33289ED3" w14:textId="749BCBE7" w:rsidR="000D5096" w:rsidRPr="00A36B68" w:rsidRDefault="000D5096" w:rsidP="00D20A1E">
            <w:pPr>
              <w:pStyle w:val="E-mailSignature"/>
              <w:keepNext/>
              <w:keepLines/>
              <w:tabs>
                <w:tab w:val="decimal" w:pos="1141"/>
              </w:tabs>
              <w:spacing w:before="40" w:after="40"/>
              <w:rPr>
                <w:rFonts w:eastAsia="Arial Unicode MS" w:cs="Arial"/>
                <w:lang w:bidi="ar-SA"/>
              </w:rPr>
            </w:pPr>
            <w:r w:rsidRPr="00A36B68">
              <w:rPr>
                <w:rFonts w:cs="Arial"/>
                <w:lang w:bidi="ar-SA"/>
              </w:rPr>
              <w:t>4.9</w:t>
            </w:r>
            <w:r w:rsidR="00A62EBB" w:rsidRPr="00A62EBB">
              <w:rPr>
                <w:rFonts w:eastAsia="Arial Unicode MS" w:cs="Arial"/>
                <w:vertAlign w:val="superscript"/>
              </w:rPr>
              <w:sym w:font="Webdings" w:char="F0EA"/>
            </w:r>
          </w:p>
        </w:tc>
        <w:tc>
          <w:tcPr>
            <w:tcW w:w="1873" w:type="dxa"/>
            <w:vAlign w:val="center"/>
          </w:tcPr>
          <w:p w14:paraId="3861C22B" w14:textId="77777777" w:rsidR="000D5096" w:rsidRPr="00A36B68" w:rsidRDefault="000D5096" w:rsidP="00D20A1E">
            <w:pPr>
              <w:pStyle w:val="E-mailSignature"/>
              <w:keepNext/>
              <w:keepLines/>
              <w:tabs>
                <w:tab w:val="decimal" w:pos="1120"/>
              </w:tabs>
              <w:spacing w:before="40" w:after="40"/>
              <w:rPr>
                <w:rFonts w:cs="Arial"/>
                <w:lang w:bidi="ar-SA"/>
              </w:rPr>
            </w:pPr>
          </w:p>
        </w:tc>
        <w:tc>
          <w:tcPr>
            <w:tcW w:w="1876" w:type="dxa"/>
            <w:vAlign w:val="center"/>
          </w:tcPr>
          <w:p w14:paraId="1962CA55" w14:textId="77777777" w:rsidR="000D5096" w:rsidRPr="00A36B68" w:rsidRDefault="000D5096" w:rsidP="00D20A1E">
            <w:pPr>
              <w:pStyle w:val="E-mailSignature"/>
              <w:keepNext/>
              <w:keepLines/>
              <w:tabs>
                <w:tab w:val="decimal" w:pos="1090"/>
              </w:tabs>
              <w:spacing w:before="40" w:after="40"/>
              <w:rPr>
                <w:rFonts w:cs="Arial"/>
                <w:lang w:bidi="ar-SA"/>
              </w:rPr>
            </w:pPr>
          </w:p>
        </w:tc>
      </w:tr>
      <w:tr w:rsidR="000D5096" w:rsidRPr="00A36B68" w14:paraId="2DF7BA32"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5114976A"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bottom w:val="nil"/>
            </w:tcBorders>
            <w:noWrap/>
            <w:tcMar>
              <w:top w:w="12" w:type="dxa"/>
              <w:left w:w="12" w:type="dxa"/>
              <w:bottom w:w="0" w:type="dxa"/>
              <w:right w:w="12" w:type="dxa"/>
            </w:tcMar>
            <w:vAlign w:val="center"/>
          </w:tcPr>
          <w:p w14:paraId="1E01A416"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4000AD05" w14:textId="1215A270"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3531" w:type="dxa"/>
            <w:vAlign w:val="center"/>
          </w:tcPr>
          <w:p w14:paraId="74FA682A"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9.9</w:t>
            </w:r>
          </w:p>
        </w:tc>
        <w:tc>
          <w:tcPr>
            <w:tcW w:w="2159" w:type="dxa"/>
            <w:noWrap/>
            <w:tcMar>
              <w:top w:w="12" w:type="dxa"/>
              <w:left w:w="12" w:type="dxa"/>
              <w:bottom w:w="0" w:type="dxa"/>
              <w:right w:w="12" w:type="dxa"/>
            </w:tcMar>
            <w:vAlign w:val="center"/>
          </w:tcPr>
          <w:p w14:paraId="457AFACF"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7.5</w:t>
            </w:r>
          </w:p>
        </w:tc>
        <w:tc>
          <w:tcPr>
            <w:tcW w:w="1873" w:type="dxa"/>
            <w:vAlign w:val="center"/>
          </w:tcPr>
          <w:p w14:paraId="19F4B217"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5B60DC7E"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3217943A" w14:textId="77777777" w:rsidTr="00577EF3">
        <w:trPr>
          <w:trHeight w:val="264"/>
        </w:trPr>
        <w:tc>
          <w:tcPr>
            <w:tcW w:w="1558" w:type="dxa"/>
            <w:tcBorders>
              <w:top w:val="nil"/>
              <w:bottom w:val="nil"/>
            </w:tcBorders>
            <w:noWrap/>
            <w:tcMar>
              <w:top w:w="12" w:type="dxa"/>
              <w:left w:w="12" w:type="dxa"/>
              <w:bottom w:w="0" w:type="dxa"/>
              <w:right w:w="12" w:type="dxa"/>
            </w:tcMar>
            <w:vAlign w:val="center"/>
          </w:tcPr>
          <w:p w14:paraId="13AEE3A3" w14:textId="77777777" w:rsidR="000D5096" w:rsidRPr="00A36B68" w:rsidRDefault="000D5096" w:rsidP="00D20A1E">
            <w:pPr>
              <w:keepNext/>
              <w:keepLines/>
              <w:widowControl/>
              <w:spacing w:before="40" w:after="40"/>
              <w:rPr>
                <w:rFonts w:eastAsia="Arial Unicode MS" w:cs="Arial"/>
                <w:sz w:val="20"/>
                <w:szCs w:val="20"/>
              </w:rPr>
            </w:pPr>
          </w:p>
        </w:tc>
        <w:tc>
          <w:tcPr>
            <w:tcW w:w="1203" w:type="dxa"/>
            <w:tcBorders>
              <w:top w:val="nil"/>
            </w:tcBorders>
            <w:noWrap/>
            <w:tcMar>
              <w:top w:w="12" w:type="dxa"/>
              <w:left w:w="12" w:type="dxa"/>
              <w:bottom w:w="0" w:type="dxa"/>
              <w:right w:w="12" w:type="dxa"/>
            </w:tcMar>
            <w:vAlign w:val="center"/>
          </w:tcPr>
          <w:p w14:paraId="375FA507" w14:textId="77777777" w:rsidR="000D5096" w:rsidRPr="00A36B68" w:rsidRDefault="000D5096" w:rsidP="00D20A1E">
            <w:pPr>
              <w:keepNext/>
              <w:keepLines/>
              <w:widowControl/>
              <w:spacing w:before="40" w:after="40"/>
              <w:rPr>
                <w:rFonts w:eastAsia="Arial Unicode MS" w:cs="Arial"/>
                <w:sz w:val="20"/>
                <w:szCs w:val="20"/>
              </w:rPr>
            </w:pPr>
          </w:p>
        </w:tc>
        <w:tc>
          <w:tcPr>
            <w:tcW w:w="1781" w:type="dxa"/>
            <w:noWrap/>
            <w:tcMar>
              <w:top w:w="12" w:type="dxa"/>
              <w:left w:w="12" w:type="dxa"/>
              <w:bottom w:w="0" w:type="dxa"/>
              <w:right w:w="12" w:type="dxa"/>
            </w:tcMar>
            <w:vAlign w:val="center"/>
          </w:tcPr>
          <w:p w14:paraId="6B4ADBF3"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vAlign w:val="center"/>
          </w:tcPr>
          <w:p w14:paraId="31E4F463"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Pr>
                <w:rFonts w:eastAsia="Arial Unicode MS" w:cs="Arial"/>
              </w:rPr>
              <w:t>11.8</w:t>
            </w:r>
          </w:p>
        </w:tc>
        <w:tc>
          <w:tcPr>
            <w:tcW w:w="2159" w:type="dxa"/>
            <w:noWrap/>
            <w:tcMar>
              <w:top w:w="12" w:type="dxa"/>
              <w:left w:w="12" w:type="dxa"/>
              <w:bottom w:w="0" w:type="dxa"/>
              <w:right w:w="12" w:type="dxa"/>
            </w:tcMar>
            <w:vAlign w:val="center"/>
          </w:tcPr>
          <w:p w14:paraId="37803E3A"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10.1</w:t>
            </w:r>
          </w:p>
        </w:tc>
        <w:tc>
          <w:tcPr>
            <w:tcW w:w="1873" w:type="dxa"/>
            <w:vAlign w:val="center"/>
          </w:tcPr>
          <w:p w14:paraId="4DDFFCC1"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24F04F1B"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r w:rsidR="000D5096" w:rsidRPr="00A36B68" w14:paraId="544148A4" w14:textId="77777777" w:rsidTr="00577EF3">
        <w:trPr>
          <w:trHeight w:val="264"/>
        </w:trPr>
        <w:tc>
          <w:tcPr>
            <w:tcW w:w="1558" w:type="dxa"/>
            <w:tcBorders>
              <w:top w:val="nil"/>
            </w:tcBorders>
            <w:noWrap/>
            <w:tcMar>
              <w:top w:w="12" w:type="dxa"/>
              <w:left w:w="12" w:type="dxa"/>
              <w:bottom w:w="0" w:type="dxa"/>
              <w:right w:w="12" w:type="dxa"/>
            </w:tcMar>
            <w:vAlign w:val="center"/>
          </w:tcPr>
          <w:p w14:paraId="4D9E519B" w14:textId="77777777" w:rsidR="000D5096" w:rsidRPr="00A36B68" w:rsidRDefault="000D5096" w:rsidP="00D20A1E">
            <w:pPr>
              <w:keepNext/>
              <w:keepLines/>
              <w:widowControl/>
              <w:spacing w:before="40" w:after="40"/>
              <w:rPr>
                <w:rFonts w:eastAsia="Arial Unicode MS" w:cs="Arial"/>
                <w:sz w:val="20"/>
                <w:szCs w:val="20"/>
              </w:rPr>
            </w:pPr>
          </w:p>
        </w:tc>
        <w:tc>
          <w:tcPr>
            <w:tcW w:w="1203" w:type="dxa"/>
            <w:noWrap/>
            <w:tcMar>
              <w:top w:w="12" w:type="dxa"/>
              <w:left w:w="12" w:type="dxa"/>
              <w:bottom w:w="0" w:type="dxa"/>
              <w:right w:w="12" w:type="dxa"/>
            </w:tcMar>
            <w:vAlign w:val="center"/>
          </w:tcPr>
          <w:p w14:paraId="4DAD8DA9"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New Zealand</w:t>
            </w:r>
          </w:p>
        </w:tc>
        <w:tc>
          <w:tcPr>
            <w:tcW w:w="1781" w:type="dxa"/>
            <w:noWrap/>
            <w:tcMar>
              <w:top w:w="12" w:type="dxa"/>
              <w:left w:w="12" w:type="dxa"/>
              <w:bottom w:w="0" w:type="dxa"/>
              <w:right w:w="12" w:type="dxa"/>
            </w:tcMar>
            <w:vAlign w:val="center"/>
          </w:tcPr>
          <w:p w14:paraId="16206AE2"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3531" w:type="dxa"/>
            <w:vAlign w:val="center"/>
          </w:tcPr>
          <w:p w14:paraId="74B11573" w14:textId="77777777" w:rsidR="000D5096" w:rsidRPr="00A36B68" w:rsidRDefault="000D5096" w:rsidP="00D20A1E">
            <w:pPr>
              <w:pStyle w:val="FootnoteText"/>
              <w:keepNext/>
              <w:keepLines/>
              <w:widowControl/>
              <w:tabs>
                <w:tab w:val="decimal" w:pos="1891"/>
              </w:tabs>
              <w:spacing w:before="40" w:after="40"/>
              <w:rPr>
                <w:rFonts w:eastAsia="Arial Unicode MS" w:cs="Arial"/>
              </w:rPr>
            </w:pPr>
            <w:r w:rsidRPr="0030752B">
              <w:rPr>
                <w:rFonts w:eastAsia="Arial Unicode MS" w:cs="Arial"/>
              </w:rPr>
              <w:t>12.2</w:t>
            </w:r>
          </w:p>
        </w:tc>
        <w:tc>
          <w:tcPr>
            <w:tcW w:w="2159" w:type="dxa"/>
            <w:noWrap/>
            <w:tcMar>
              <w:top w:w="12" w:type="dxa"/>
              <w:left w:w="12" w:type="dxa"/>
              <w:bottom w:w="0" w:type="dxa"/>
              <w:right w:w="12" w:type="dxa"/>
            </w:tcMar>
            <w:vAlign w:val="center"/>
          </w:tcPr>
          <w:p w14:paraId="4890C334" w14:textId="77777777" w:rsidR="000D5096" w:rsidRPr="00A36B68" w:rsidRDefault="000D5096" w:rsidP="00D20A1E">
            <w:pPr>
              <w:pStyle w:val="FootnoteText"/>
              <w:keepNext/>
              <w:keepLines/>
              <w:widowControl/>
              <w:tabs>
                <w:tab w:val="decimal" w:pos="1141"/>
              </w:tabs>
              <w:spacing w:before="40" w:after="40"/>
              <w:rPr>
                <w:rFonts w:eastAsia="Arial Unicode MS" w:cs="Arial"/>
              </w:rPr>
            </w:pPr>
            <w:r w:rsidRPr="00A36B68">
              <w:rPr>
                <w:rFonts w:eastAsia="Arial Unicode MS" w:cs="Arial"/>
              </w:rPr>
              <w:t>10.0</w:t>
            </w:r>
          </w:p>
        </w:tc>
        <w:tc>
          <w:tcPr>
            <w:tcW w:w="1873" w:type="dxa"/>
            <w:vAlign w:val="center"/>
          </w:tcPr>
          <w:p w14:paraId="749D876A" w14:textId="77777777" w:rsidR="000D5096" w:rsidRPr="00A36B68" w:rsidRDefault="000D5096" w:rsidP="00D20A1E">
            <w:pPr>
              <w:pStyle w:val="FootnoteText"/>
              <w:keepNext/>
              <w:keepLines/>
              <w:widowControl/>
              <w:tabs>
                <w:tab w:val="decimal" w:pos="1120"/>
              </w:tabs>
              <w:spacing w:before="40" w:after="40"/>
              <w:rPr>
                <w:rFonts w:eastAsia="Arial Unicode MS" w:cs="Arial"/>
              </w:rPr>
            </w:pPr>
          </w:p>
        </w:tc>
        <w:tc>
          <w:tcPr>
            <w:tcW w:w="1876" w:type="dxa"/>
            <w:vAlign w:val="center"/>
          </w:tcPr>
          <w:p w14:paraId="5A60F26E" w14:textId="77777777" w:rsidR="000D5096" w:rsidRPr="00A36B68" w:rsidRDefault="000D5096" w:rsidP="00D20A1E">
            <w:pPr>
              <w:pStyle w:val="FootnoteText"/>
              <w:keepNext/>
              <w:keepLines/>
              <w:widowControl/>
              <w:tabs>
                <w:tab w:val="decimal" w:pos="1090"/>
              </w:tabs>
              <w:spacing w:before="40" w:after="40"/>
              <w:rPr>
                <w:rFonts w:eastAsia="Arial Unicode MS" w:cs="Arial"/>
              </w:rPr>
            </w:pPr>
          </w:p>
        </w:tc>
      </w:tr>
    </w:tbl>
    <w:p w14:paraId="53BB73DF" w14:textId="77777777" w:rsidR="000D5096" w:rsidRPr="00660E89" w:rsidRDefault="000D5096" w:rsidP="00D20A1E">
      <w:pPr>
        <w:widowControl/>
        <w:spacing w:before="20" w:after="20"/>
        <w:rPr>
          <w:rFonts w:cs="Arial"/>
          <w:sz w:val="18"/>
        </w:rPr>
      </w:pPr>
      <w:r w:rsidRPr="00660E89">
        <w:rPr>
          <w:rFonts w:cs="Arial"/>
          <w:sz w:val="18"/>
        </w:rPr>
        <w:t>Consumers only – This includes only the people who have not consumed any ‘dairy products’.</w:t>
      </w:r>
    </w:p>
    <w:p w14:paraId="595913A4" w14:textId="225E8408" w:rsidR="000D5096" w:rsidRPr="00D538AE" w:rsidRDefault="000D5096" w:rsidP="00D20A1E">
      <w:pPr>
        <w:widowControl/>
        <w:spacing w:before="20" w:after="20"/>
        <w:rPr>
          <w:rFonts w:cs="Arial"/>
          <w:sz w:val="18"/>
          <w:szCs w:val="18"/>
        </w:rPr>
      </w:pPr>
      <w:r w:rsidRPr="00E4287E">
        <w:rPr>
          <w:rFonts w:cs="Arial"/>
          <w:sz w:val="18"/>
          <w:szCs w:val="18"/>
        </w:rPr>
        <w:t>^</w:t>
      </w:r>
      <w:r w:rsidR="00E4287E">
        <w:rPr>
          <w:rFonts w:cs="Arial"/>
          <w:sz w:val="18"/>
          <w:szCs w:val="18"/>
        </w:rPr>
        <w:tab/>
      </w:r>
      <w:r w:rsidRPr="00D538AE">
        <w:rPr>
          <w:rFonts w:cs="Arial"/>
          <w:sz w:val="18"/>
          <w:szCs w:val="18"/>
        </w:rPr>
        <w:t>I</w:t>
      </w:r>
      <w:r w:rsidRPr="00D538AE">
        <w:rPr>
          <w:rFonts w:eastAsia="Arial Unicode MS" w:cs="Arial"/>
          <w:sz w:val="18"/>
          <w:szCs w:val="18"/>
        </w:rPr>
        <w:t>nformation regarding consumer numbers assessed for each population group can be found in</w:t>
      </w:r>
      <w:r w:rsidR="00D538AE" w:rsidRPr="00FC1EB0">
        <w:rPr>
          <w:rFonts w:eastAsia="Arial Unicode MS" w:cs="Arial"/>
          <w:sz w:val="18"/>
          <w:szCs w:val="18"/>
        </w:rPr>
        <w:t xml:space="preserve"> </w:t>
      </w:r>
      <w:r w:rsidR="00D538AE" w:rsidRPr="00D538AE">
        <w:rPr>
          <w:rFonts w:eastAsia="Arial Unicode MS" w:cs="Arial"/>
          <w:sz w:val="18"/>
          <w:szCs w:val="18"/>
        </w:rPr>
        <w:fldChar w:fldCharType="begin"/>
      </w:r>
      <w:r w:rsidR="00D538AE" w:rsidRPr="00D538AE">
        <w:rPr>
          <w:rFonts w:eastAsia="Arial Unicode MS" w:cs="Arial"/>
          <w:sz w:val="18"/>
          <w:szCs w:val="18"/>
        </w:rPr>
        <w:instrText xml:space="preserve"> REF _Ref420332068 \h </w:instrText>
      </w:r>
      <w:r w:rsidR="00D538AE">
        <w:rPr>
          <w:rFonts w:eastAsia="Arial Unicode MS" w:cs="Arial"/>
          <w:sz w:val="18"/>
          <w:szCs w:val="18"/>
        </w:rPr>
        <w:instrText xml:space="preserve"> \* MERGEFORMAT </w:instrText>
      </w:r>
      <w:r w:rsidR="00D538AE" w:rsidRPr="00D538AE">
        <w:rPr>
          <w:rFonts w:eastAsia="Arial Unicode MS" w:cs="Arial"/>
          <w:sz w:val="18"/>
          <w:szCs w:val="18"/>
        </w:rPr>
      </w:r>
      <w:r w:rsidR="00D538AE" w:rsidRPr="00D538AE">
        <w:rPr>
          <w:rFonts w:eastAsia="Arial Unicode MS" w:cs="Arial"/>
          <w:sz w:val="18"/>
          <w:szCs w:val="18"/>
        </w:rPr>
        <w:fldChar w:fldCharType="separate"/>
      </w:r>
      <w:r w:rsidR="00047581" w:rsidRPr="00047581">
        <w:rPr>
          <w:sz w:val="18"/>
          <w:szCs w:val="18"/>
        </w:rPr>
        <w:t>Table A1.9</w:t>
      </w:r>
      <w:r w:rsidR="00D538AE" w:rsidRPr="00D538AE">
        <w:rPr>
          <w:rFonts w:eastAsia="Arial Unicode MS" w:cs="Arial"/>
          <w:sz w:val="18"/>
          <w:szCs w:val="18"/>
        </w:rPr>
        <w:fldChar w:fldCharType="end"/>
      </w:r>
      <w:r w:rsidRPr="00D538AE">
        <w:rPr>
          <w:rFonts w:eastAsia="Arial Unicode MS" w:cs="Arial"/>
          <w:sz w:val="18"/>
          <w:szCs w:val="18"/>
        </w:rPr>
        <w:t>.</w:t>
      </w:r>
    </w:p>
    <w:p w14:paraId="14BDD6A0" w14:textId="07FD5DB4" w:rsidR="003611F3" w:rsidRDefault="00A62EBB" w:rsidP="00D20A1E">
      <w:pPr>
        <w:pStyle w:val="Table"/>
        <w:keepNext w:val="0"/>
        <w:spacing w:before="60" w:after="20"/>
        <w:outlineLvl w:val="9"/>
        <w:rPr>
          <w:rFonts w:cs="Arial"/>
          <w:b w:val="0"/>
          <w:bCs w:val="0"/>
          <w:iCs w:val="0"/>
          <w:sz w:val="18"/>
        </w:rPr>
      </w:pPr>
      <w:r w:rsidRPr="00E4287E">
        <w:rPr>
          <w:rFonts w:eastAsia="Arial Unicode MS" w:cs="Arial"/>
          <w:sz w:val="12"/>
          <w:szCs w:val="12"/>
        </w:rPr>
        <w:sym w:font="Webdings" w:char="F0EA"/>
      </w:r>
      <w:r w:rsidR="00E4287E">
        <w:rPr>
          <w:rFonts w:cs="Arial"/>
          <w:b w:val="0"/>
          <w:bCs w:val="0"/>
          <w:iCs w:val="0"/>
          <w:sz w:val="18"/>
        </w:rPr>
        <w:tab/>
      </w:r>
      <w:r w:rsidR="000D5096" w:rsidRPr="00660E89">
        <w:rPr>
          <w:rFonts w:cs="Arial"/>
          <w:b w:val="0"/>
          <w:bCs w:val="0"/>
          <w:iCs w:val="0"/>
          <w:sz w:val="18"/>
        </w:rPr>
        <w:t xml:space="preserve">These figures are to be used as a guide only due to the small consumers </w:t>
      </w:r>
      <w:r w:rsidR="000D5096">
        <w:rPr>
          <w:rFonts w:cs="Arial"/>
          <w:b w:val="0"/>
          <w:bCs w:val="0"/>
          <w:iCs w:val="0"/>
          <w:sz w:val="18"/>
        </w:rPr>
        <w:t>in this population group (n=12).</w:t>
      </w:r>
    </w:p>
    <w:p w14:paraId="49536E6B" w14:textId="51DF7CFC" w:rsidR="000D5096" w:rsidRDefault="000D5096" w:rsidP="00D20A1E">
      <w:pPr>
        <w:pStyle w:val="Table"/>
        <w:keepNext w:val="0"/>
        <w:spacing w:before="0"/>
        <w:outlineLvl w:val="9"/>
        <w:rPr>
          <w:rFonts w:ascii="Times New Roman" w:hAnsi="Times New Roman"/>
          <w:sz w:val="18"/>
        </w:rPr>
      </w:pPr>
      <w:r>
        <w:rPr>
          <w:rFonts w:ascii="Times New Roman" w:hAnsi="Times New Roman"/>
          <w:b w:val="0"/>
          <w:bCs w:val="0"/>
          <w:iCs w:val="0"/>
          <w:sz w:val="18"/>
        </w:rPr>
        <w:br w:type="page"/>
      </w:r>
    </w:p>
    <w:p w14:paraId="20BFD1AB" w14:textId="1CC7888D" w:rsidR="000D5096" w:rsidRDefault="00FA3023" w:rsidP="00D20A1E">
      <w:pPr>
        <w:pStyle w:val="FSTableTitle"/>
        <w:widowControl/>
      </w:pPr>
      <w:bookmarkStart w:id="203" w:name="_Ref420331854"/>
      <w:r>
        <w:lastRenderedPageBreak/>
        <w:t>Table A1.</w:t>
      </w:r>
      <w:fldSimple w:instr=" SEQ Table_A1. \* ARABIC ">
        <w:r w:rsidR="00047581">
          <w:rPr>
            <w:noProof/>
          </w:rPr>
          <w:t>7</w:t>
        </w:r>
      </w:fldSimple>
      <w:bookmarkEnd w:id="203"/>
      <w:r w:rsidR="000D5096" w:rsidRPr="002971A1">
        <w:t>:</w:t>
      </w:r>
      <w:r w:rsidR="00F6296A">
        <w:t xml:space="preserve"> </w:t>
      </w:r>
      <w:r w:rsidR="000D5096">
        <w:t>Comparison of the e</w:t>
      </w:r>
      <w:r w:rsidR="000D5096" w:rsidRPr="002971A1">
        <w:t>stimated mean intakes (per day) of vitamins and minerals</w:t>
      </w:r>
      <w:r w:rsidR="0072004A">
        <w:t>, excluding supplements,</w:t>
      </w:r>
      <w:r w:rsidR="000D5096" w:rsidRPr="002971A1">
        <w:t xml:space="preserve"> for the </w:t>
      </w:r>
      <w:r w:rsidR="0072004A">
        <w:t xml:space="preserve">Australian </w:t>
      </w:r>
      <w:r w:rsidR="000D5096" w:rsidRPr="002971A1">
        <w:t xml:space="preserve">general population </w:t>
      </w:r>
      <w:r w:rsidR="0072004A">
        <w:t>using</w:t>
      </w:r>
      <w:r w:rsidR="000D5096" w:rsidRPr="002971A1">
        <w:t xml:space="preserve"> the 1995, 2007 and 2011-12 nutrition surveys</w:t>
      </w:r>
    </w:p>
    <w:p w14:paraId="28539431" w14:textId="77777777" w:rsidR="0023423F" w:rsidRPr="0023423F" w:rsidRDefault="0023423F" w:rsidP="0023423F"/>
    <w:tbl>
      <w:tblPr>
        <w:tblW w:w="13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6"/>
        <w:gridCol w:w="3059"/>
        <w:gridCol w:w="2648"/>
        <w:gridCol w:w="2648"/>
        <w:gridCol w:w="2639"/>
      </w:tblGrid>
      <w:tr w:rsidR="000D5096" w:rsidRPr="00A36B68" w14:paraId="1FD9408C" w14:textId="77777777" w:rsidTr="00804C57">
        <w:trPr>
          <w:tblHeader/>
        </w:trPr>
        <w:tc>
          <w:tcPr>
            <w:tcW w:w="2986" w:type="dxa"/>
            <w:vMerge w:val="restart"/>
            <w:shd w:val="clear" w:color="auto" w:fill="B8CCE4" w:themeFill="accent1" w:themeFillTint="66"/>
            <w:noWrap/>
            <w:tcMar>
              <w:top w:w="12" w:type="dxa"/>
              <w:left w:w="12" w:type="dxa"/>
              <w:bottom w:w="0" w:type="dxa"/>
              <w:right w:w="12" w:type="dxa"/>
            </w:tcMar>
            <w:vAlign w:val="center"/>
          </w:tcPr>
          <w:p w14:paraId="79DB5BF1" w14:textId="77777777" w:rsidR="000D5096" w:rsidRPr="00A36B68" w:rsidRDefault="000D5096" w:rsidP="00D20A1E">
            <w:pPr>
              <w:widowControl/>
              <w:spacing w:before="40" w:after="40"/>
              <w:rPr>
                <w:rFonts w:eastAsia="Arial Unicode MS" w:cs="Arial"/>
                <w:b/>
                <w:bCs/>
                <w:sz w:val="20"/>
                <w:szCs w:val="20"/>
              </w:rPr>
            </w:pPr>
            <w:r w:rsidRPr="00A36B68">
              <w:rPr>
                <w:rFonts w:cs="Arial"/>
                <w:b/>
                <w:bCs/>
                <w:sz w:val="20"/>
                <w:szCs w:val="20"/>
              </w:rPr>
              <w:t>Vitamin/</w:t>
            </w:r>
            <w:r>
              <w:rPr>
                <w:rFonts w:cs="Arial"/>
                <w:b/>
                <w:bCs/>
                <w:sz w:val="20"/>
                <w:szCs w:val="20"/>
              </w:rPr>
              <w:t xml:space="preserve"> </w:t>
            </w:r>
            <w:r w:rsidRPr="00A36B68">
              <w:rPr>
                <w:rFonts w:cs="Arial"/>
                <w:b/>
                <w:bCs/>
                <w:sz w:val="20"/>
                <w:szCs w:val="20"/>
              </w:rPr>
              <w:t>Mineral</w:t>
            </w:r>
          </w:p>
        </w:tc>
        <w:tc>
          <w:tcPr>
            <w:tcW w:w="3059" w:type="dxa"/>
            <w:vMerge w:val="restart"/>
            <w:shd w:val="clear" w:color="auto" w:fill="B8CCE4" w:themeFill="accent1" w:themeFillTint="66"/>
            <w:tcMar>
              <w:top w:w="12" w:type="dxa"/>
              <w:left w:w="12" w:type="dxa"/>
              <w:bottom w:w="0" w:type="dxa"/>
              <w:right w:w="12" w:type="dxa"/>
            </w:tcMar>
            <w:vAlign w:val="center"/>
          </w:tcPr>
          <w:p w14:paraId="6F63300C" w14:textId="77777777" w:rsidR="000D5096" w:rsidRPr="00A36B68" w:rsidRDefault="000D5096" w:rsidP="00D20A1E">
            <w:pPr>
              <w:widowControl/>
              <w:spacing w:before="40" w:after="40"/>
              <w:rPr>
                <w:rFonts w:eastAsia="Arial Unicode MS" w:cs="Arial"/>
                <w:b/>
                <w:bCs/>
                <w:sz w:val="20"/>
                <w:szCs w:val="20"/>
              </w:rPr>
            </w:pPr>
            <w:r w:rsidRPr="00A36B68">
              <w:rPr>
                <w:rFonts w:cs="Arial"/>
                <w:b/>
                <w:bCs/>
                <w:sz w:val="20"/>
                <w:szCs w:val="20"/>
              </w:rPr>
              <w:t>Population Group</w:t>
            </w:r>
          </w:p>
        </w:tc>
        <w:tc>
          <w:tcPr>
            <w:tcW w:w="7935" w:type="dxa"/>
            <w:gridSpan w:val="3"/>
            <w:shd w:val="clear" w:color="auto" w:fill="B8CCE4" w:themeFill="accent1" w:themeFillTint="66"/>
            <w:vAlign w:val="center"/>
          </w:tcPr>
          <w:p w14:paraId="4B37342B" w14:textId="63F673BF" w:rsidR="000D5096" w:rsidRPr="00A36B68" w:rsidRDefault="00AD191F" w:rsidP="00D20A1E">
            <w:pPr>
              <w:widowControl/>
              <w:spacing w:before="40" w:after="40"/>
              <w:jc w:val="center"/>
              <w:rPr>
                <w:rFonts w:cs="Arial"/>
                <w:b/>
                <w:bCs/>
                <w:sz w:val="20"/>
                <w:szCs w:val="20"/>
              </w:rPr>
            </w:pPr>
            <w:r>
              <w:rPr>
                <w:rFonts w:cs="Arial"/>
                <w:b/>
                <w:bCs/>
                <w:sz w:val="20"/>
                <w:szCs w:val="20"/>
              </w:rPr>
              <w:t>Estimated m</w:t>
            </w:r>
            <w:r w:rsidRPr="00A36B68">
              <w:rPr>
                <w:rFonts w:cs="Arial"/>
                <w:b/>
                <w:bCs/>
                <w:sz w:val="20"/>
                <w:szCs w:val="20"/>
              </w:rPr>
              <w:t xml:space="preserve">ean </w:t>
            </w:r>
            <w:r w:rsidR="000D5096">
              <w:rPr>
                <w:rFonts w:cs="Arial"/>
                <w:b/>
                <w:bCs/>
                <w:sz w:val="20"/>
                <w:szCs w:val="20"/>
              </w:rPr>
              <w:t xml:space="preserve">dietary </w:t>
            </w:r>
            <w:r w:rsidR="000D5096" w:rsidRPr="00A36B68">
              <w:rPr>
                <w:rFonts w:cs="Arial"/>
                <w:b/>
                <w:bCs/>
                <w:sz w:val="20"/>
                <w:szCs w:val="20"/>
              </w:rPr>
              <w:t>intake per day</w:t>
            </w:r>
          </w:p>
        </w:tc>
      </w:tr>
      <w:tr w:rsidR="000D5096" w:rsidRPr="00A36B68" w14:paraId="10ADFE31" w14:textId="77777777" w:rsidTr="00804C57">
        <w:trPr>
          <w:tblHeader/>
        </w:trPr>
        <w:tc>
          <w:tcPr>
            <w:tcW w:w="2986" w:type="dxa"/>
            <w:vMerge/>
            <w:tcBorders>
              <w:bottom w:val="single" w:sz="4" w:space="0" w:color="auto"/>
            </w:tcBorders>
            <w:shd w:val="clear" w:color="auto" w:fill="B8CCE4" w:themeFill="accent1" w:themeFillTint="66"/>
            <w:noWrap/>
            <w:tcMar>
              <w:top w:w="12" w:type="dxa"/>
              <w:left w:w="12" w:type="dxa"/>
              <w:bottom w:w="0" w:type="dxa"/>
              <w:right w:w="12" w:type="dxa"/>
            </w:tcMar>
            <w:vAlign w:val="center"/>
          </w:tcPr>
          <w:p w14:paraId="6C8DF60D" w14:textId="77777777" w:rsidR="000D5096" w:rsidRPr="00A36B68" w:rsidRDefault="000D5096" w:rsidP="00D20A1E">
            <w:pPr>
              <w:widowControl/>
              <w:spacing w:before="40" w:after="40"/>
              <w:rPr>
                <w:rFonts w:cs="Arial"/>
                <w:b/>
                <w:bCs/>
                <w:sz w:val="20"/>
                <w:szCs w:val="20"/>
              </w:rPr>
            </w:pPr>
          </w:p>
        </w:tc>
        <w:tc>
          <w:tcPr>
            <w:tcW w:w="3059" w:type="dxa"/>
            <w:vMerge/>
            <w:shd w:val="clear" w:color="auto" w:fill="B8CCE4" w:themeFill="accent1" w:themeFillTint="66"/>
            <w:tcMar>
              <w:top w:w="12" w:type="dxa"/>
              <w:left w:w="12" w:type="dxa"/>
              <w:bottom w:w="0" w:type="dxa"/>
              <w:right w:w="12" w:type="dxa"/>
            </w:tcMar>
            <w:vAlign w:val="center"/>
          </w:tcPr>
          <w:p w14:paraId="1D253D99" w14:textId="77777777" w:rsidR="000D5096" w:rsidRPr="00A36B68" w:rsidRDefault="000D5096" w:rsidP="00D20A1E">
            <w:pPr>
              <w:widowControl/>
              <w:spacing w:before="40" w:after="40"/>
              <w:jc w:val="center"/>
              <w:rPr>
                <w:rFonts w:cs="Arial"/>
                <w:b/>
                <w:bCs/>
                <w:sz w:val="20"/>
                <w:szCs w:val="20"/>
              </w:rPr>
            </w:pPr>
          </w:p>
        </w:tc>
        <w:tc>
          <w:tcPr>
            <w:tcW w:w="2648" w:type="dxa"/>
            <w:shd w:val="clear" w:color="auto" w:fill="B8CCE4" w:themeFill="accent1" w:themeFillTint="66"/>
            <w:vAlign w:val="center"/>
          </w:tcPr>
          <w:p w14:paraId="38B8C736" w14:textId="343836C8" w:rsidR="000D5096" w:rsidRPr="002971A1" w:rsidRDefault="000D5096" w:rsidP="00D20A1E">
            <w:pPr>
              <w:widowControl/>
              <w:spacing w:before="40" w:after="40"/>
              <w:jc w:val="center"/>
              <w:rPr>
                <w:rFonts w:cs="Arial"/>
                <w:b/>
                <w:bCs/>
                <w:sz w:val="20"/>
                <w:szCs w:val="20"/>
              </w:rPr>
            </w:pPr>
            <w:r w:rsidRPr="002971A1">
              <w:rPr>
                <w:rFonts w:cs="Arial"/>
                <w:b/>
                <w:sz w:val="20"/>
                <w:szCs w:val="20"/>
              </w:rPr>
              <w:t>1995 AusNNS</w:t>
            </w:r>
            <w:r w:rsidR="00541C82" w:rsidRPr="00541C82">
              <w:rPr>
                <w:rFonts w:cs="Arial"/>
                <w:b/>
                <w:sz w:val="20"/>
                <w:szCs w:val="20"/>
                <w:vertAlign w:val="superscript"/>
              </w:rPr>
              <w:sym w:font="Wingdings 2" w:char="F0EC"/>
            </w:r>
          </w:p>
        </w:tc>
        <w:tc>
          <w:tcPr>
            <w:tcW w:w="2648" w:type="dxa"/>
            <w:shd w:val="clear" w:color="auto" w:fill="B8CCE4" w:themeFill="accent1" w:themeFillTint="66"/>
            <w:tcMar>
              <w:top w:w="12" w:type="dxa"/>
              <w:left w:w="12" w:type="dxa"/>
              <w:bottom w:w="0" w:type="dxa"/>
              <w:right w:w="12" w:type="dxa"/>
            </w:tcMar>
            <w:vAlign w:val="center"/>
          </w:tcPr>
          <w:p w14:paraId="23BF380A" w14:textId="7D4D8F29" w:rsidR="000D5096" w:rsidRPr="002971A1" w:rsidRDefault="000D5096" w:rsidP="00D20A1E">
            <w:pPr>
              <w:widowControl/>
              <w:spacing w:before="40" w:after="40"/>
              <w:jc w:val="center"/>
              <w:rPr>
                <w:rFonts w:cs="Arial"/>
                <w:b/>
                <w:bCs/>
                <w:sz w:val="20"/>
                <w:szCs w:val="20"/>
              </w:rPr>
            </w:pPr>
            <w:r w:rsidRPr="002971A1">
              <w:rPr>
                <w:rFonts w:cs="Arial"/>
                <w:b/>
                <w:bCs/>
                <w:sz w:val="20"/>
                <w:szCs w:val="20"/>
              </w:rPr>
              <w:t>2007 ANCNPAS</w:t>
            </w:r>
            <w:r w:rsidR="00541C82" w:rsidRPr="00541C82">
              <w:rPr>
                <w:rFonts w:cs="Arial"/>
                <w:b/>
                <w:sz w:val="20"/>
                <w:szCs w:val="20"/>
                <w:vertAlign w:val="superscript"/>
              </w:rPr>
              <w:sym w:font="Wingdings 2" w:char="F0EC"/>
            </w:r>
          </w:p>
        </w:tc>
        <w:tc>
          <w:tcPr>
            <w:tcW w:w="2639" w:type="dxa"/>
            <w:shd w:val="clear" w:color="auto" w:fill="B8CCE4" w:themeFill="accent1" w:themeFillTint="66"/>
            <w:vAlign w:val="center"/>
          </w:tcPr>
          <w:p w14:paraId="79D58DCE" w14:textId="6C02F3AB" w:rsidR="000D5096" w:rsidRPr="002971A1" w:rsidRDefault="000D5096" w:rsidP="00D20A1E">
            <w:pPr>
              <w:widowControl/>
              <w:spacing w:before="40" w:after="40"/>
              <w:jc w:val="center"/>
              <w:rPr>
                <w:rFonts w:cs="Arial"/>
                <w:b/>
                <w:sz w:val="20"/>
                <w:szCs w:val="20"/>
              </w:rPr>
            </w:pPr>
            <w:r w:rsidRPr="002971A1">
              <w:rPr>
                <w:rFonts w:cs="Arial"/>
                <w:b/>
                <w:sz w:val="20"/>
                <w:szCs w:val="20"/>
              </w:rPr>
              <w:t>2011-12 NNPAS</w:t>
            </w:r>
            <w:r w:rsidRPr="002971A1">
              <w:rPr>
                <w:rFonts w:cs="Arial"/>
                <w:b/>
                <w:sz w:val="20"/>
                <w:szCs w:val="20"/>
              </w:rPr>
              <w:sym w:font="Wingdings 3" w:char="F07E"/>
            </w:r>
            <w:r w:rsidR="00934B60" w:rsidRPr="008D513C">
              <w:rPr>
                <w:rFonts w:cs="Arial"/>
                <w:b/>
                <w:sz w:val="20"/>
                <w:szCs w:val="20"/>
                <w:vertAlign w:val="superscript"/>
              </w:rPr>
              <w:sym w:font="Wingdings" w:char="F07A"/>
            </w:r>
          </w:p>
        </w:tc>
      </w:tr>
      <w:tr w:rsidR="000D5096" w:rsidRPr="00A36B68" w14:paraId="44DD0CD4" w14:textId="77777777" w:rsidTr="00804C57">
        <w:trPr>
          <w:trHeight w:val="264"/>
        </w:trPr>
        <w:tc>
          <w:tcPr>
            <w:tcW w:w="2986" w:type="dxa"/>
            <w:tcBorders>
              <w:bottom w:val="nil"/>
            </w:tcBorders>
            <w:noWrap/>
            <w:tcMar>
              <w:top w:w="12" w:type="dxa"/>
              <w:left w:w="12" w:type="dxa"/>
              <w:bottom w:w="0" w:type="dxa"/>
              <w:right w:w="12" w:type="dxa"/>
            </w:tcMar>
            <w:vAlign w:val="center"/>
          </w:tcPr>
          <w:p w14:paraId="7DFD55EB"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Calcium (mg)</w:t>
            </w:r>
          </w:p>
        </w:tc>
        <w:tc>
          <w:tcPr>
            <w:tcW w:w="3059" w:type="dxa"/>
            <w:tcMar>
              <w:top w:w="12" w:type="dxa"/>
              <w:left w:w="12" w:type="dxa"/>
              <w:bottom w:w="0" w:type="dxa"/>
              <w:right w:w="12" w:type="dxa"/>
            </w:tcMar>
            <w:vAlign w:val="center"/>
          </w:tcPr>
          <w:p w14:paraId="7AD61A71"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2 years and above</w:t>
            </w:r>
          </w:p>
        </w:tc>
        <w:tc>
          <w:tcPr>
            <w:tcW w:w="2648" w:type="dxa"/>
            <w:vAlign w:val="center"/>
          </w:tcPr>
          <w:p w14:paraId="02C16DD8" w14:textId="77777777" w:rsidR="000D5096" w:rsidRPr="00A36B68" w:rsidRDefault="000D5096" w:rsidP="00D20A1E">
            <w:pPr>
              <w:widowControl/>
              <w:tabs>
                <w:tab w:val="decimal" w:pos="1480"/>
              </w:tabs>
              <w:spacing w:before="40" w:after="40"/>
              <w:rPr>
                <w:rFonts w:eastAsia="Arial Unicode MS" w:cs="Arial"/>
                <w:sz w:val="20"/>
                <w:szCs w:val="20"/>
              </w:rPr>
            </w:pPr>
            <w:r>
              <w:rPr>
                <w:rFonts w:eastAsia="Arial Unicode MS" w:cs="Arial"/>
                <w:sz w:val="20"/>
                <w:szCs w:val="20"/>
              </w:rPr>
              <w:t>847</w:t>
            </w:r>
          </w:p>
        </w:tc>
        <w:tc>
          <w:tcPr>
            <w:tcW w:w="2648" w:type="dxa"/>
            <w:shd w:val="clear" w:color="auto" w:fill="D9D9D9" w:themeFill="background1" w:themeFillShade="D9"/>
            <w:noWrap/>
            <w:tcMar>
              <w:top w:w="12" w:type="dxa"/>
              <w:left w:w="12" w:type="dxa"/>
              <w:bottom w:w="0" w:type="dxa"/>
              <w:right w:w="12" w:type="dxa"/>
            </w:tcMar>
            <w:vAlign w:val="center"/>
          </w:tcPr>
          <w:p w14:paraId="519FB6A2" w14:textId="77777777" w:rsidR="000D5096" w:rsidRPr="00A36B68" w:rsidRDefault="000D5096" w:rsidP="00D20A1E">
            <w:pPr>
              <w:widowControl/>
              <w:tabs>
                <w:tab w:val="decimal" w:pos="1480"/>
              </w:tabs>
              <w:spacing w:before="40" w:after="40"/>
              <w:rPr>
                <w:rFonts w:eastAsia="Arial Unicode MS" w:cs="Arial"/>
                <w:sz w:val="20"/>
                <w:szCs w:val="20"/>
              </w:rPr>
            </w:pPr>
          </w:p>
        </w:tc>
        <w:tc>
          <w:tcPr>
            <w:tcW w:w="2639" w:type="dxa"/>
            <w:vAlign w:val="center"/>
          </w:tcPr>
          <w:p w14:paraId="772E4369" w14:textId="77777777" w:rsidR="000D5096" w:rsidRPr="00A36B68" w:rsidRDefault="000D5096" w:rsidP="00D20A1E">
            <w:pPr>
              <w:widowControl/>
              <w:tabs>
                <w:tab w:val="decimal" w:pos="1480"/>
              </w:tabs>
              <w:spacing w:before="40" w:after="40"/>
              <w:rPr>
                <w:rFonts w:eastAsia="Arial Unicode MS" w:cs="Arial"/>
                <w:sz w:val="20"/>
                <w:szCs w:val="20"/>
              </w:rPr>
            </w:pPr>
            <w:r w:rsidRPr="004C246E">
              <w:rPr>
                <w:rFonts w:eastAsia="Arial Unicode MS" w:cs="Arial"/>
                <w:sz w:val="20"/>
                <w:szCs w:val="20"/>
              </w:rPr>
              <w:t>805</w:t>
            </w:r>
          </w:p>
        </w:tc>
      </w:tr>
      <w:tr w:rsidR="000D5096" w:rsidRPr="00A36B68" w14:paraId="2A51EE93"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6F41FA41" w14:textId="77777777" w:rsidR="000D5096" w:rsidRPr="00A36B68" w:rsidRDefault="000D5096"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512A7644"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2-4 years</w:t>
            </w:r>
          </w:p>
        </w:tc>
        <w:tc>
          <w:tcPr>
            <w:tcW w:w="2648" w:type="dxa"/>
            <w:vAlign w:val="center"/>
          </w:tcPr>
          <w:p w14:paraId="6507E2B2" w14:textId="77777777" w:rsidR="000D5096" w:rsidRPr="00A36B68" w:rsidRDefault="000D5096" w:rsidP="00D20A1E">
            <w:pPr>
              <w:widowControl/>
              <w:tabs>
                <w:tab w:val="decimal" w:pos="1480"/>
              </w:tabs>
              <w:spacing w:before="40" w:after="40"/>
              <w:rPr>
                <w:rFonts w:cs="Arial"/>
                <w:sz w:val="20"/>
                <w:szCs w:val="20"/>
              </w:rPr>
            </w:pPr>
            <w:r>
              <w:rPr>
                <w:rFonts w:cs="Arial"/>
                <w:sz w:val="20"/>
                <w:szCs w:val="20"/>
              </w:rPr>
              <w:t>808</w:t>
            </w:r>
          </w:p>
        </w:tc>
        <w:tc>
          <w:tcPr>
            <w:tcW w:w="2648" w:type="dxa"/>
            <w:noWrap/>
            <w:tcMar>
              <w:top w:w="12" w:type="dxa"/>
              <w:left w:w="12" w:type="dxa"/>
              <w:bottom w:w="0" w:type="dxa"/>
              <w:right w:w="12" w:type="dxa"/>
            </w:tcMar>
            <w:vAlign w:val="center"/>
          </w:tcPr>
          <w:p w14:paraId="7A90B841" w14:textId="6B0BAD13" w:rsidR="000D5096" w:rsidRPr="00A36B68" w:rsidRDefault="0072004A" w:rsidP="00D20A1E">
            <w:pPr>
              <w:widowControl/>
              <w:tabs>
                <w:tab w:val="decimal" w:pos="1480"/>
              </w:tabs>
              <w:spacing w:before="40" w:after="40"/>
              <w:rPr>
                <w:rFonts w:eastAsia="Arial Unicode MS" w:cs="Arial"/>
                <w:sz w:val="20"/>
                <w:szCs w:val="20"/>
              </w:rPr>
            </w:pPr>
            <w:r>
              <w:rPr>
                <w:rFonts w:eastAsia="Arial Unicode MS" w:cs="Arial"/>
                <w:sz w:val="20"/>
                <w:szCs w:val="20"/>
              </w:rPr>
              <w:t>808</w:t>
            </w:r>
          </w:p>
        </w:tc>
        <w:tc>
          <w:tcPr>
            <w:tcW w:w="2639" w:type="dxa"/>
            <w:shd w:val="clear" w:color="auto" w:fill="D9D9D9" w:themeFill="background1" w:themeFillShade="D9"/>
            <w:vAlign w:val="center"/>
          </w:tcPr>
          <w:p w14:paraId="1CF97D8B" w14:textId="77777777" w:rsidR="000D5096" w:rsidRPr="00A36B68" w:rsidRDefault="000D5096" w:rsidP="00D20A1E">
            <w:pPr>
              <w:widowControl/>
              <w:tabs>
                <w:tab w:val="decimal" w:pos="1480"/>
              </w:tabs>
              <w:spacing w:before="40" w:after="40"/>
              <w:rPr>
                <w:rFonts w:cs="Arial"/>
                <w:sz w:val="20"/>
                <w:szCs w:val="20"/>
              </w:rPr>
            </w:pPr>
          </w:p>
        </w:tc>
      </w:tr>
      <w:tr w:rsidR="000D5096" w:rsidRPr="00A36B68" w14:paraId="1C62DB9F"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243A5645" w14:textId="77777777" w:rsidR="000D5096" w:rsidRPr="00A36B68" w:rsidRDefault="000D5096"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6D0C58E0" w14:textId="1AA16A08" w:rsidR="000D5096" w:rsidRPr="00A36B68" w:rsidRDefault="000D5096" w:rsidP="00D20A1E">
            <w:pPr>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2648" w:type="dxa"/>
            <w:vAlign w:val="center"/>
          </w:tcPr>
          <w:p w14:paraId="0DBA71FA" w14:textId="77777777" w:rsidR="000D5096" w:rsidRPr="00A36B68" w:rsidRDefault="000D5096" w:rsidP="00D20A1E">
            <w:pPr>
              <w:widowControl/>
              <w:tabs>
                <w:tab w:val="decimal" w:pos="1480"/>
              </w:tabs>
              <w:spacing w:before="40" w:after="40"/>
              <w:rPr>
                <w:rFonts w:cs="Arial"/>
                <w:sz w:val="20"/>
                <w:szCs w:val="20"/>
              </w:rPr>
            </w:pPr>
            <w:r>
              <w:rPr>
                <w:rFonts w:cs="Arial"/>
                <w:sz w:val="20"/>
                <w:szCs w:val="20"/>
              </w:rPr>
              <w:t>870</w:t>
            </w:r>
          </w:p>
        </w:tc>
        <w:tc>
          <w:tcPr>
            <w:tcW w:w="2648" w:type="dxa"/>
            <w:noWrap/>
            <w:tcMar>
              <w:top w:w="12" w:type="dxa"/>
              <w:left w:w="12" w:type="dxa"/>
              <w:bottom w:w="0" w:type="dxa"/>
              <w:right w:w="12" w:type="dxa"/>
            </w:tcMar>
            <w:vAlign w:val="center"/>
          </w:tcPr>
          <w:p w14:paraId="44B34D2D" w14:textId="75E64A60" w:rsidR="000D5096" w:rsidRPr="00A36B68" w:rsidRDefault="0072004A" w:rsidP="00D20A1E">
            <w:pPr>
              <w:widowControl/>
              <w:tabs>
                <w:tab w:val="decimal" w:pos="1480"/>
              </w:tabs>
              <w:spacing w:before="40" w:after="40"/>
              <w:rPr>
                <w:rFonts w:eastAsia="Arial Unicode MS" w:cs="Arial"/>
                <w:sz w:val="20"/>
                <w:szCs w:val="20"/>
              </w:rPr>
            </w:pPr>
            <w:r>
              <w:rPr>
                <w:rFonts w:eastAsia="Arial Unicode MS" w:cs="Arial"/>
                <w:sz w:val="20"/>
                <w:szCs w:val="20"/>
              </w:rPr>
              <w:t>859</w:t>
            </w:r>
          </w:p>
        </w:tc>
        <w:tc>
          <w:tcPr>
            <w:tcW w:w="2639" w:type="dxa"/>
            <w:shd w:val="clear" w:color="auto" w:fill="D9D9D9" w:themeFill="background1" w:themeFillShade="D9"/>
            <w:vAlign w:val="center"/>
          </w:tcPr>
          <w:p w14:paraId="2DA48A85" w14:textId="77777777" w:rsidR="000D5096" w:rsidRPr="00A36B68" w:rsidRDefault="000D5096" w:rsidP="00D20A1E">
            <w:pPr>
              <w:widowControl/>
              <w:tabs>
                <w:tab w:val="decimal" w:pos="1480"/>
              </w:tabs>
              <w:spacing w:before="40" w:after="40"/>
              <w:rPr>
                <w:rFonts w:cs="Arial"/>
                <w:sz w:val="20"/>
                <w:szCs w:val="20"/>
              </w:rPr>
            </w:pPr>
          </w:p>
        </w:tc>
      </w:tr>
      <w:tr w:rsidR="000D5096" w:rsidRPr="00A36B68" w14:paraId="10CAC831" w14:textId="77777777" w:rsidTr="00804C57">
        <w:trPr>
          <w:trHeight w:val="264"/>
        </w:trPr>
        <w:tc>
          <w:tcPr>
            <w:tcW w:w="2986" w:type="dxa"/>
            <w:tcBorders>
              <w:top w:val="nil"/>
              <w:bottom w:val="single" w:sz="4" w:space="0" w:color="auto"/>
            </w:tcBorders>
            <w:noWrap/>
            <w:tcMar>
              <w:top w:w="12" w:type="dxa"/>
              <w:left w:w="12" w:type="dxa"/>
              <w:bottom w:w="0" w:type="dxa"/>
              <w:right w:w="12" w:type="dxa"/>
            </w:tcMar>
            <w:vAlign w:val="center"/>
          </w:tcPr>
          <w:p w14:paraId="17902B4C" w14:textId="77777777" w:rsidR="000D5096" w:rsidRPr="00A36B68" w:rsidRDefault="000D5096"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10D9AF7F"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15 years and above</w:t>
            </w:r>
          </w:p>
        </w:tc>
        <w:tc>
          <w:tcPr>
            <w:tcW w:w="2648" w:type="dxa"/>
            <w:vAlign w:val="center"/>
          </w:tcPr>
          <w:p w14:paraId="0A2E470C" w14:textId="77777777" w:rsidR="000D5096" w:rsidRPr="00A36B68" w:rsidRDefault="000D5096" w:rsidP="00D20A1E">
            <w:pPr>
              <w:widowControl/>
              <w:tabs>
                <w:tab w:val="decimal" w:pos="1480"/>
              </w:tabs>
              <w:spacing w:before="40" w:after="40"/>
              <w:rPr>
                <w:rFonts w:cs="Arial"/>
                <w:sz w:val="20"/>
                <w:szCs w:val="20"/>
              </w:rPr>
            </w:pPr>
            <w:r>
              <w:rPr>
                <w:rFonts w:cs="Arial"/>
                <w:sz w:val="20"/>
                <w:szCs w:val="20"/>
              </w:rPr>
              <w:t>845</w:t>
            </w:r>
          </w:p>
        </w:tc>
        <w:tc>
          <w:tcPr>
            <w:tcW w:w="2648" w:type="dxa"/>
            <w:shd w:val="clear" w:color="auto" w:fill="D9D9D9" w:themeFill="background1" w:themeFillShade="D9"/>
            <w:noWrap/>
            <w:tcMar>
              <w:top w:w="12" w:type="dxa"/>
              <w:left w:w="12" w:type="dxa"/>
              <w:bottom w:w="0" w:type="dxa"/>
              <w:right w:w="12" w:type="dxa"/>
            </w:tcMar>
            <w:vAlign w:val="center"/>
          </w:tcPr>
          <w:p w14:paraId="2C685BC5" w14:textId="77777777" w:rsidR="000D5096" w:rsidRPr="00A36B68" w:rsidRDefault="000D5096" w:rsidP="00D20A1E">
            <w:pPr>
              <w:widowControl/>
              <w:tabs>
                <w:tab w:val="decimal" w:pos="1480"/>
              </w:tabs>
              <w:spacing w:before="40" w:after="40"/>
              <w:rPr>
                <w:rFonts w:eastAsia="Arial Unicode MS" w:cs="Arial"/>
                <w:sz w:val="20"/>
                <w:szCs w:val="20"/>
              </w:rPr>
            </w:pPr>
          </w:p>
        </w:tc>
        <w:tc>
          <w:tcPr>
            <w:tcW w:w="2639" w:type="dxa"/>
            <w:shd w:val="clear" w:color="auto" w:fill="D9D9D9" w:themeFill="background1" w:themeFillShade="D9"/>
            <w:vAlign w:val="center"/>
          </w:tcPr>
          <w:p w14:paraId="3A956830" w14:textId="77777777" w:rsidR="000D5096" w:rsidRPr="00A36B68" w:rsidRDefault="000D5096" w:rsidP="00D20A1E">
            <w:pPr>
              <w:widowControl/>
              <w:tabs>
                <w:tab w:val="decimal" w:pos="1480"/>
              </w:tabs>
              <w:spacing w:before="40" w:after="40"/>
              <w:rPr>
                <w:rFonts w:cs="Arial"/>
                <w:sz w:val="20"/>
                <w:szCs w:val="20"/>
              </w:rPr>
            </w:pPr>
          </w:p>
        </w:tc>
      </w:tr>
      <w:tr w:rsidR="002745A5" w:rsidRPr="00A36B68" w14:paraId="75203DC1" w14:textId="77777777" w:rsidTr="00804C57">
        <w:trPr>
          <w:trHeight w:val="264"/>
        </w:trPr>
        <w:tc>
          <w:tcPr>
            <w:tcW w:w="2986" w:type="dxa"/>
            <w:tcBorders>
              <w:bottom w:val="nil"/>
            </w:tcBorders>
            <w:noWrap/>
            <w:tcMar>
              <w:top w:w="12" w:type="dxa"/>
              <w:left w:w="12" w:type="dxa"/>
              <w:bottom w:w="0" w:type="dxa"/>
              <w:right w:w="12" w:type="dxa"/>
            </w:tcMar>
            <w:vAlign w:val="center"/>
          </w:tcPr>
          <w:p w14:paraId="0F9B4F07" w14:textId="2BBC8717" w:rsidR="002745A5" w:rsidRPr="00A36B68" w:rsidRDefault="002745A5" w:rsidP="00D20A1E">
            <w:pPr>
              <w:widowControl/>
              <w:spacing w:before="40" w:after="40"/>
              <w:rPr>
                <w:rFonts w:eastAsia="Arial Unicode MS" w:cs="Arial"/>
                <w:sz w:val="20"/>
                <w:szCs w:val="20"/>
              </w:rPr>
            </w:pPr>
            <w:r>
              <w:rPr>
                <w:rFonts w:cs="Arial"/>
                <w:sz w:val="20"/>
                <w:szCs w:val="20"/>
              </w:rPr>
              <w:t>Dietary folate equivalents</w:t>
            </w:r>
            <w:r w:rsidR="008D629B" w:rsidRPr="008D629B">
              <w:rPr>
                <w:rFonts w:cs="Arial"/>
                <w:sz w:val="20"/>
                <w:szCs w:val="20"/>
                <w:vertAlign w:val="superscript"/>
              </w:rPr>
              <w:t>ɸ</w:t>
            </w:r>
            <w:r w:rsidRPr="00A36B68">
              <w:rPr>
                <w:rFonts w:cs="Arial"/>
                <w:sz w:val="20"/>
                <w:szCs w:val="20"/>
              </w:rPr>
              <w:t xml:space="preserve"> (</w:t>
            </w:r>
            <w:r w:rsidRPr="00A36B68">
              <w:rPr>
                <w:rFonts w:eastAsia="Arial Unicode MS" w:cs="Arial"/>
                <w:sz w:val="20"/>
                <w:szCs w:val="20"/>
              </w:rPr>
              <w:t>µ</w:t>
            </w:r>
            <w:r w:rsidRPr="00A36B68">
              <w:rPr>
                <w:rFonts w:cs="Arial"/>
                <w:sz w:val="20"/>
                <w:szCs w:val="20"/>
              </w:rPr>
              <w:t>g)</w:t>
            </w:r>
          </w:p>
        </w:tc>
        <w:tc>
          <w:tcPr>
            <w:tcW w:w="3059" w:type="dxa"/>
            <w:tcMar>
              <w:top w:w="12" w:type="dxa"/>
              <w:left w:w="12" w:type="dxa"/>
              <w:bottom w:w="0" w:type="dxa"/>
              <w:right w:w="12" w:type="dxa"/>
            </w:tcMar>
            <w:vAlign w:val="center"/>
          </w:tcPr>
          <w:p w14:paraId="5433847A" w14:textId="77777777" w:rsidR="002745A5" w:rsidRPr="00A36B68" w:rsidRDefault="002745A5" w:rsidP="00D20A1E">
            <w:pPr>
              <w:widowControl/>
              <w:spacing w:before="40" w:after="40"/>
              <w:rPr>
                <w:rFonts w:eastAsia="Arial Unicode MS" w:cs="Arial"/>
                <w:sz w:val="20"/>
                <w:szCs w:val="20"/>
              </w:rPr>
            </w:pPr>
            <w:r w:rsidRPr="00A36B68">
              <w:rPr>
                <w:rFonts w:cs="Arial"/>
                <w:sz w:val="20"/>
                <w:szCs w:val="20"/>
              </w:rPr>
              <w:t>2 years and above</w:t>
            </w:r>
          </w:p>
        </w:tc>
        <w:tc>
          <w:tcPr>
            <w:tcW w:w="2648" w:type="dxa"/>
            <w:vAlign w:val="center"/>
          </w:tcPr>
          <w:p w14:paraId="576E1A5B" w14:textId="349E2A8A" w:rsidR="002745A5" w:rsidRPr="0073022E" w:rsidRDefault="002745A5" w:rsidP="00D20A1E">
            <w:pPr>
              <w:widowControl/>
              <w:tabs>
                <w:tab w:val="decimal" w:pos="1480"/>
              </w:tabs>
              <w:spacing w:before="40" w:after="40"/>
              <w:rPr>
                <w:rFonts w:eastAsia="Arial Unicode MS" w:cs="Arial"/>
                <w:sz w:val="20"/>
                <w:szCs w:val="20"/>
              </w:rPr>
            </w:pPr>
            <w:r w:rsidRPr="0073022E">
              <w:rPr>
                <w:rFonts w:eastAsia="Arial Unicode MS" w:cs="Arial"/>
                <w:sz w:val="20"/>
                <w:szCs w:val="20"/>
              </w:rPr>
              <w:t>577</w:t>
            </w:r>
          </w:p>
        </w:tc>
        <w:tc>
          <w:tcPr>
            <w:tcW w:w="2648" w:type="dxa"/>
            <w:shd w:val="clear" w:color="auto" w:fill="D9D9D9" w:themeFill="background1" w:themeFillShade="D9"/>
            <w:noWrap/>
            <w:tcMar>
              <w:top w:w="12" w:type="dxa"/>
              <w:left w:w="12" w:type="dxa"/>
              <w:bottom w:w="0" w:type="dxa"/>
              <w:right w:w="12" w:type="dxa"/>
            </w:tcMar>
            <w:vAlign w:val="center"/>
          </w:tcPr>
          <w:p w14:paraId="35F5ED53" w14:textId="77777777" w:rsidR="002745A5" w:rsidRPr="00A36B68" w:rsidRDefault="002745A5" w:rsidP="00D20A1E">
            <w:pPr>
              <w:widowControl/>
              <w:tabs>
                <w:tab w:val="decimal" w:pos="1480"/>
              </w:tabs>
              <w:spacing w:before="40" w:after="40"/>
              <w:rPr>
                <w:rFonts w:eastAsia="Arial Unicode MS" w:cs="Arial"/>
                <w:sz w:val="20"/>
                <w:szCs w:val="20"/>
              </w:rPr>
            </w:pPr>
          </w:p>
        </w:tc>
        <w:tc>
          <w:tcPr>
            <w:tcW w:w="2639" w:type="dxa"/>
            <w:vAlign w:val="center"/>
          </w:tcPr>
          <w:p w14:paraId="369E61F1" w14:textId="5F5BF5C8" w:rsidR="002745A5" w:rsidRPr="00A36B68" w:rsidRDefault="004E5557" w:rsidP="00D20A1E">
            <w:pPr>
              <w:widowControl/>
              <w:tabs>
                <w:tab w:val="decimal" w:pos="1480"/>
              </w:tabs>
              <w:spacing w:before="40" w:after="40"/>
              <w:rPr>
                <w:rFonts w:eastAsia="Arial Unicode MS" w:cs="Arial"/>
                <w:sz w:val="20"/>
                <w:szCs w:val="20"/>
              </w:rPr>
            </w:pPr>
            <w:r>
              <w:rPr>
                <w:rFonts w:eastAsia="Arial Unicode MS" w:cs="Arial"/>
                <w:sz w:val="20"/>
                <w:szCs w:val="20"/>
              </w:rPr>
              <w:t>613</w:t>
            </w:r>
          </w:p>
        </w:tc>
      </w:tr>
      <w:tr w:rsidR="002745A5" w:rsidRPr="00A36B68" w14:paraId="3FD2CAC8"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70EE01D5" w14:textId="77777777" w:rsidR="002745A5" w:rsidRPr="00A36B68" w:rsidRDefault="002745A5"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75C937CB" w14:textId="214D11DD" w:rsidR="002745A5" w:rsidRPr="00A36B68" w:rsidRDefault="002745A5" w:rsidP="00D20A1E">
            <w:pPr>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2648" w:type="dxa"/>
            <w:vAlign w:val="center"/>
          </w:tcPr>
          <w:p w14:paraId="436E6AD8" w14:textId="7F5387AA" w:rsidR="002745A5" w:rsidRPr="00A36B68" w:rsidRDefault="009C5091" w:rsidP="00D20A1E">
            <w:pPr>
              <w:pStyle w:val="FootnoteText"/>
              <w:widowControl/>
              <w:tabs>
                <w:tab w:val="decimal" w:pos="1480"/>
              </w:tabs>
              <w:spacing w:before="40" w:after="40"/>
              <w:rPr>
                <w:rFonts w:eastAsia="Arial Unicode MS" w:cs="Arial"/>
              </w:rPr>
            </w:pPr>
            <w:r>
              <w:rPr>
                <w:rFonts w:eastAsia="Arial Unicode MS" w:cs="Arial"/>
              </w:rPr>
              <w:t>454</w:t>
            </w:r>
          </w:p>
        </w:tc>
        <w:tc>
          <w:tcPr>
            <w:tcW w:w="2648" w:type="dxa"/>
            <w:noWrap/>
            <w:tcMar>
              <w:top w:w="12" w:type="dxa"/>
              <w:left w:w="12" w:type="dxa"/>
              <w:bottom w:w="0" w:type="dxa"/>
              <w:right w:w="12" w:type="dxa"/>
            </w:tcMar>
            <w:vAlign w:val="center"/>
          </w:tcPr>
          <w:p w14:paraId="7E05C34C" w14:textId="458775AF" w:rsidR="002745A5" w:rsidRPr="00A36B68" w:rsidRDefault="0072004A" w:rsidP="00D20A1E">
            <w:pPr>
              <w:pStyle w:val="FootnoteText"/>
              <w:widowControl/>
              <w:tabs>
                <w:tab w:val="decimal" w:pos="1480"/>
              </w:tabs>
              <w:spacing w:before="40" w:after="40"/>
              <w:rPr>
                <w:rFonts w:eastAsia="Arial Unicode MS" w:cs="Arial"/>
              </w:rPr>
            </w:pPr>
            <w:r w:rsidRPr="0072004A">
              <w:rPr>
                <w:rFonts w:eastAsia="Arial Unicode MS" w:cs="Arial"/>
              </w:rPr>
              <w:t>445</w:t>
            </w:r>
          </w:p>
        </w:tc>
        <w:tc>
          <w:tcPr>
            <w:tcW w:w="2639" w:type="dxa"/>
            <w:shd w:val="clear" w:color="auto" w:fill="D9D9D9" w:themeFill="background1" w:themeFillShade="D9"/>
            <w:vAlign w:val="center"/>
          </w:tcPr>
          <w:p w14:paraId="3E222ADA" w14:textId="77777777" w:rsidR="002745A5" w:rsidRPr="00A36B68" w:rsidRDefault="002745A5" w:rsidP="00D20A1E">
            <w:pPr>
              <w:pStyle w:val="FootnoteText"/>
              <w:widowControl/>
              <w:tabs>
                <w:tab w:val="decimal" w:pos="1480"/>
              </w:tabs>
              <w:spacing w:before="40" w:after="40"/>
              <w:rPr>
                <w:rFonts w:eastAsia="Arial Unicode MS" w:cs="Arial"/>
              </w:rPr>
            </w:pPr>
          </w:p>
        </w:tc>
      </w:tr>
      <w:tr w:rsidR="002745A5" w:rsidRPr="00A36B68" w14:paraId="46DA4FD9"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14BA2F7A" w14:textId="77777777" w:rsidR="002745A5" w:rsidRPr="00A36B68" w:rsidRDefault="002745A5"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45BC2679" w14:textId="183EEDF4" w:rsidR="002745A5" w:rsidRPr="00A36B68" w:rsidRDefault="002745A5" w:rsidP="00D20A1E">
            <w:pPr>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2648" w:type="dxa"/>
            <w:vAlign w:val="center"/>
          </w:tcPr>
          <w:p w14:paraId="5E1CD0EA" w14:textId="4288803D" w:rsidR="002745A5" w:rsidRPr="00A36B68" w:rsidRDefault="009C5091" w:rsidP="00D20A1E">
            <w:pPr>
              <w:widowControl/>
              <w:tabs>
                <w:tab w:val="decimal" w:pos="1480"/>
              </w:tabs>
              <w:spacing w:before="40" w:after="40"/>
              <w:rPr>
                <w:rFonts w:eastAsia="Arial Unicode MS" w:cs="Arial"/>
                <w:sz w:val="20"/>
                <w:szCs w:val="20"/>
              </w:rPr>
            </w:pPr>
            <w:r>
              <w:rPr>
                <w:rFonts w:eastAsia="Arial Unicode MS" w:cs="Arial"/>
                <w:sz w:val="20"/>
                <w:szCs w:val="20"/>
              </w:rPr>
              <w:t>584</w:t>
            </w:r>
          </w:p>
        </w:tc>
        <w:tc>
          <w:tcPr>
            <w:tcW w:w="2648" w:type="dxa"/>
            <w:noWrap/>
            <w:tcMar>
              <w:top w:w="12" w:type="dxa"/>
              <w:left w:w="12" w:type="dxa"/>
              <w:bottom w:w="0" w:type="dxa"/>
              <w:right w:w="12" w:type="dxa"/>
            </w:tcMar>
            <w:vAlign w:val="center"/>
          </w:tcPr>
          <w:p w14:paraId="12877C80" w14:textId="7606CCD0" w:rsidR="002745A5" w:rsidRPr="00A36B68" w:rsidRDefault="0072004A" w:rsidP="00D20A1E">
            <w:pPr>
              <w:widowControl/>
              <w:tabs>
                <w:tab w:val="decimal" w:pos="1480"/>
              </w:tabs>
              <w:spacing w:before="40" w:after="40"/>
              <w:rPr>
                <w:rFonts w:eastAsia="Arial Unicode MS" w:cs="Arial"/>
                <w:sz w:val="20"/>
                <w:szCs w:val="20"/>
              </w:rPr>
            </w:pPr>
            <w:r w:rsidRPr="0072004A">
              <w:rPr>
                <w:rFonts w:eastAsia="Arial Unicode MS" w:cs="Arial"/>
                <w:sz w:val="20"/>
                <w:szCs w:val="20"/>
              </w:rPr>
              <w:t>471</w:t>
            </w:r>
          </w:p>
        </w:tc>
        <w:tc>
          <w:tcPr>
            <w:tcW w:w="2639" w:type="dxa"/>
            <w:shd w:val="clear" w:color="auto" w:fill="D9D9D9" w:themeFill="background1" w:themeFillShade="D9"/>
            <w:vAlign w:val="center"/>
          </w:tcPr>
          <w:p w14:paraId="72BFE5A8" w14:textId="77777777" w:rsidR="002745A5" w:rsidRPr="00A36B68" w:rsidRDefault="002745A5" w:rsidP="00D20A1E">
            <w:pPr>
              <w:widowControl/>
              <w:tabs>
                <w:tab w:val="decimal" w:pos="1480"/>
              </w:tabs>
              <w:spacing w:before="40" w:after="40"/>
              <w:rPr>
                <w:rFonts w:eastAsia="Arial Unicode MS" w:cs="Arial"/>
                <w:sz w:val="20"/>
                <w:szCs w:val="20"/>
              </w:rPr>
            </w:pPr>
          </w:p>
        </w:tc>
      </w:tr>
      <w:tr w:rsidR="002745A5" w:rsidRPr="00A36B68" w14:paraId="2FFF8B3F" w14:textId="77777777" w:rsidTr="00FD77DE">
        <w:trPr>
          <w:trHeight w:val="264"/>
        </w:trPr>
        <w:tc>
          <w:tcPr>
            <w:tcW w:w="2986" w:type="dxa"/>
            <w:tcBorders>
              <w:top w:val="nil"/>
              <w:bottom w:val="single" w:sz="4" w:space="0" w:color="auto"/>
            </w:tcBorders>
            <w:noWrap/>
            <w:tcMar>
              <w:top w:w="12" w:type="dxa"/>
              <w:left w:w="12" w:type="dxa"/>
              <w:bottom w:w="0" w:type="dxa"/>
              <w:right w:w="12" w:type="dxa"/>
            </w:tcMar>
            <w:vAlign w:val="center"/>
          </w:tcPr>
          <w:p w14:paraId="40360E60" w14:textId="77777777" w:rsidR="002745A5" w:rsidRPr="00A36B68" w:rsidRDefault="002745A5"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74D24AD8" w14:textId="77777777" w:rsidR="002745A5" w:rsidRPr="00FD77DE" w:rsidRDefault="002745A5" w:rsidP="00D20A1E">
            <w:pPr>
              <w:widowControl/>
              <w:spacing w:before="40" w:after="40"/>
              <w:rPr>
                <w:rFonts w:eastAsia="Arial Unicode MS" w:cs="Arial"/>
                <w:sz w:val="20"/>
                <w:szCs w:val="20"/>
              </w:rPr>
            </w:pPr>
            <w:r w:rsidRPr="00FD77DE">
              <w:rPr>
                <w:rFonts w:cs="Arial"/>
                <w:sz w:val="20"/>
                <w:szCs w:val="20"/>
              </w:rPr>
              <w:t>15 years and above</w:t>
            </w:r>
          </w:p>
        </w:tc>
        <w:tc>
          <w:tcPr>
            <w:tcW w:w="2648" w:type="dxa"/>
            <w:tcBorders>
              <w:bottom w:val="single" w:sz="4" w:space="0" w:color="auto"/>
            </w:tcBorders>
            <w:vAlign w:val="center"/>
          </w:tcPr>
          <w:p w14:paraId="428E35BB" w14:textId="09AC8B31" w:rsidR="002745A5" w:rsidRPr="00FD77DE" w:rsidRDefault="009C5091" w:rsidP="00D20A1E">
            <w:pPr>
              <w:widowControl/>
              <w:tabs>
                <w:tab w:val="decimal" w:pos="1480"/>
              </w:tabs>
              <w:spacing w:before="40" w:after="40"/>
              <w:rPr>
                <w:rFonts w:eastAsia="Arial Unicode MS" w:cs="Arial"/>
                <w:sz w:val="20"/>
                <w:szCs w:val="20"/>
              </w:rPr>
            </w:pPr>
            <w:r w:rsidRPr="00FD77DE">
              <w:rPr>
                <w:rFonts w:eastAsia="Arial Unicode MS" w:cs="Arial"/>
                <w:sz w:val="20"/>
                <w:szCs w:val="20"/>
              </w:rPr>
              <w:t>582</w:t>
            </w:r>
          </w:p>
        </w:tc>
        <w:tc>
          <w:tcPr>
            <w:tcW w:w="2648" w:type="dxa"/>
            <w:shd w:val="clear" w:color="auto" w:fill="D9D9D9" w:themeFill="background1" w:themeFillShade="D9"/>
            <w:noWrap/>
            <w:tcMar>
              <w:top w:w="12" w:type="dxa"/>
              <w:left w:w="12" w:type="dxa"/>
              <w:bottom w:w="0" w:type="dxa"/>
              <w:right w:w="12" w:type="dxa"/>
            </w:tcMar>
            <w:vAlign w:val="center"/>
          </w:tcPr>
          <w:p w14:paraId="64B02B1C" w14:textId="77777777" w:rsidR="002745A5" w:rsidRPr="00FD77DE" w:rsidRDefault="002745A5" w:rsidP="00D20A1E">
            <w:pPr>
              <w:widowControl/>
              <w:tabs>
                <w:tab w:val="decimal" w:pos="1480"/>
              </w:tabs>
              <w:spacing w:before="40" w:after="40"/>
              <w:rPr>
                <w:rFonts w:eastAsia="Arial Unicode MS" w:cs="Arial"/>
                <w:sz w:val="20"/>
                <w:szCs w:val="20"/>
              </w:rPr>
            </w:pPr>
          </w:p>
        </w:tc>
        <w:tc>
          <w:tcPr>
            <w:tcW w:w="2639" w:type="dxa"/>
            <w:shd w:val="clear" w:color="auto" w:fill="D9D9D9" w:themeFill="background1" w:themeFillShade="D9"/>
            <w:vAlign w:val="center"/>
          </w:tcPr>
          <w:p w14:paraId="5572CBC1" w14:textId="77777777" w:rsidR="002745A5" w:rsidRPr="00FD77DE" w:rsidRDefault="002745A5" w:rsidP="00D20A1E">
            <w:pPr>
              <w:widowControl/>
              <w:tabs>
                <w:tab w:val="decimal" w:pos="1480"/>
              </w:tabs>
              <w:spacing w:before="40" w:after="40"/>
              <w:rPr>
                <w:rFonts w:eastAsia="Arial Unicode MS" w:cs="Arial"/>
                <w:sz w:val="20"/>
                <w:szCs w:val="20"/>
              </w:rPr>
            </w:pPr>
          </w:p>
        </w:tc>
      </w:tr>
      <w:tr w:rsidR="00FD77DE" w:rsidRPr="00A36B68" w14:paraId="2AD08830" w14:textId="77777777" w:rsidTr="00FD77DE">
        <w:trPr>
          <w:trHeight w:val="264"/>
        </w:trPr>
        <w:tc>
          <w:tcPr>
            <w:tcW w:w="2986" w:type="dxa"/>
            <w:tcBorders>
              <w:bottom w:val="nil"/>
            </w:tcBorders>
            <w:noWrap/>
            <w:tcMar>
              <w:top w:w="12" w:type="dxa"/>
              <w:left w:w="12" w:type="dxa"/>
              <w:bottom w:w="0" w:type="dxa"/>
              <w:right w:w="12" w:type="dxa"/>
            </w:tcMar>
            <w:vAlign w:val="center"/>
          </w:tcPr>
          <w:p w14:paraId="603AC977" w14:textId="78EF5032" w:rsidR="00FD77DE" w:rsidRPr="00A36B68" w:rsidRDefault="00FD77DE" w:rsidP="00D20A1E">
            <w:pPr>
              <w:widowControl/>
              <w:spacing w:before="40" w:after="40"/>
              <w:rPr>
                <w:rFonts w:eastAsia="Arial Unicode MS" w:cs="Arial"/>
                <w:sz w:val="20"/>
                <w:szCs w:val="20"/>
              </w:rPr>
            </w:pPr>
            <w:r>
              <w:rPr>
                <w:rFonts w:cs="Arial"/>
                <w:sz w:val="20"/>
                <w:szCs w:val="20"/>
              </w:rPr>
              <w:t xml:space="preserve">Folates, naturally occurring </w:t>
            </w:r>
            <w:r w:rsidRPr="00A36B68">
              <w:rPr>
                <w:rFonts w:cs="Arial"/>
                <w:sz w:val="20"/>
                <w:szCs w:val="20"/>
              </w:rPr>
              <w:t>(</w:t>
            </w:r>
            <w:r w:rsidRPr="00A36B68">
              <w:rPr>
                <w:rFonts w:eastAsia="Arial Unicode MS" w:cs="Arial"/>
                <w:sz w:val="20"/>
                <w:szCs w:val="20"/>
              </w:rPr>
              <w:t>µ</w:t>
            </w:r>
            <w:r w:rsidRPr="00A36B68">
              <w:rPr>
                <w:rFonts w:cs="Arial"/>
                <w:sz w:val="20"/>
                <w:szCs w:val="20"/>
              </w:rPr>
              <w:t>g)</w:t>
            </w:r>
          </w:p>
        </w:tc>
        <w:tc>
          <w:tcPr>
            <w:tcW w:w="3059" w:type="dxa"/>
            <w:tcMar>
              <w:top w:w="12" w:type="dxa"/>
              <w:left w:w="12" w:type="dxa"/>
              <w:bottom w:w="0" w:type="dxa"/>
              <w:right w:w="12" w:type="dxa"/>
            </w:tcMar>
            <w:vAlign w:val="center"/>
          </w:tcPr>
          <w:p w14:paraId="4A4FBE69" w14:textId="77777777" w:rsidR="00FD77DE" w:rsidRPr="00FD77DE" w:rsidRDefault="00FD77DE" w:rsidP="00D20A1E">
            <w:pPr>
              <w:widowControl/>
              <w:spacing w:before="40" w:after="40"/>
              <w:rPr>
                <w:rFonts w:eastAsia="Arial Unicode MS" w:cs="Arial"/>
                <w:sz w:val="20"/>
                <w:szCs w:val="20"/>
              </w:rPr>
            </w:pPr>
            <w:r w:rsidRPr="00FD77DE">
              <w:rPr>
                <w:rFonts w:cs="Arial"/>
                <w:sz w:val="20"/>
                <w:szCs w:val="20"/>
              </w:rPr>
              <w:t>2 years and above</w:t>
            </w:r>
          </w:p>
        </w:tc>
        <w:tc>
          <w:tcPr>
            <w:tcW w:w="2648" w:type="dxa"/>
            <w:shd w:val="clear" w:color="auto" w:fill="auto"/>
          </w:tcPr>
          <w:p w14:paraId="7048965C" w14:textId="0D492947" w:rsidR="00FD77DE" w:rsidRPr="00FD77DE" w:rsidRDefault="00FD77DE" w:rsidP="00D20A1E">
            <w:pPr>
              <w:widowControl/>
              <w:tabs>
                <w:tab w:val="decimal" w:pos="1480"/>
              </w:tabs>
              <w:spacing w:before="40" w:after="40"/>
              <w:rPr>
                <w:rFonts w:eastAsia="Arial Unicode MS" w:cs="Arial"/>
                <w:sz w:val="20"/>
                <w:szCs w:val="20"/>
              </w:rPr>
            </w:pPr>
            <w:r w:rsidRPr="00FD77DE">
              <w:rPr>
                <w:rFonts w:eastAsia="Arial Unicode MS" w:cs="Arial"/>
                <w:sz w:val="20"/>
                <w:szCs w:val="20"/>
              </w:rPr>
              <w:t>n/a</w:t>
            </w:r>
          </w:p>
        </w:tc>
        <w:tc>
          <w:tcPr>
            <w:tcW w:w="2648" w:type="dxa"/>
            <w:shd w:val="clear" w:color="auto" w:fill="D9D9D9" w:themeFill="background1" w:themeFillShade="D9"/>
            <w:noWrap/>
            <w:tcMar>
              <w:top w:w="12" w:type="dxa"/>
              <w:left w:w="12" w:type="dxa"/>
              <w:bottom w:w="0" w:type="dxa"/>
              <w:right w:w="12" w:type="dxa"/>
            </w:tcMar>
            <w:vAlign w:val="center"/>
          </w:tcPr>
          <w:p w14:paraId="2BBD4DEB" w14:textId="77777777" w:rsidR="00FD77DE" w:rsidRPr="00FD77DE" w:rsidRDefault="00FD77DE" w:rsidP="00D20A1E">
            <w:pPr>
              <w:widowControl/>
              <w:tabs>
                <w:tab w:val="decimal" w:pos="1480"/>
              </w:tabs>
              <w:spacing w:before="40" w:after="40"/>
              <w:rPr>
                <w:rFonts w:eastAsia="Arial Unicode MS" w:cs="Arial"/>
                <w:sz w:val="20"/>
                <w:szCs w:val="20"/>
              </w:rPr>
            </w:pPr>
          </w:p>
        </w:tc>
        <w:tc>
          <w:tcPr>
            <w:tcW w:w="2639" w:type="dxa"/>
            <w:tcBorders>
              <w:bottom w:val="single" w:sz="4" w:space="0" w:color="auto"/>
            </w:tcBorders>
            <w:vAlign w:val="center"/>
          </w:tcPr>
          <w:p w14:paraId="18630C03" w14:textId="597858B0" w:rsidR="00FD77DE" w:rsidRPr="00FD77DE" w:rsidRDefault="00FD77DE" w:rsidP="00D20A1E">
            <w:pPr>
              <w:widowControl/>
              <w:tabs>
                <w:tab w:val="decimal" w:pos="1480"/>
              </w:tabs>
              <w:spacing w:before="40" w:after="40"/>
              <w:rPr>
                <w:rFonts w:eastAsia="Arial Unicode MS" w:cs="Arial"/>
                <w:sz w:val="20"/>
                <w:szCs w:val="20"/>
              </w:rPr>
            </w:pPr>
            <w:r w:rsidRPr="00FD77DE">
              <w:rPr>
                <w:rFonts w:eastAsia="Arial Unicode MS" w:cs="Arial"/>
                <w:sz w:val="20"/>
                <w:szCs w:val="20"/>
              </w:rPr>
              <w:t>278</w:t>
            </w:r>
          </w:p>
        </w:tc>
      </w:tr>
      <w:tr w:rsidR="00FD77DE" w:rsidRPr="00A36B68" w14:paraId="22F82DC1" w14:textId="77777777" w:rsidTr="00FD77DE">
        <w:trPr>
          <w:trHeight w:val="264"/>
        </w:trPr>
        <w:tc>
          <w:tcPr>
            <w:tcW w:w="2986" w:type="dxa"/>
            <w:tcBorders>
              <w:top w:val="nil"/>
              <w:bottom w:val="nil"/>
            </w:tcBorders>
            <w:noWrap/>
            <w:tcMar>
              <w:top w:w="12" w:type="dxa"/>
              <w:left w:w="12" w:type="dxa"/>
              <w:bottom w:w="0" w:type="dxa"/>
              <w:right w:w="12" w:type="dxa"/>
            </w:tcMar>
            <w:vAlign w:val="center"/>
          </w:tcPr>
          <w:p w14:paraId="1D055CA7" w14:textId="1E7A6B70" w:rsidR="00FD77DE" w:rsidRPr="00A36B68" w:rsidRDefault="00FD77DE"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71C02385" w14:textId="36A5E5B6" w:rsidR="00FD77DE" w:rsidRPr="00FD77DE" w:rsidRDefault="00FD77DE" w:rsidP="00D20A1E">
            <w:pPr>
              <w:widowControl/>
              <w:spacing w:before="40" w:after="40"/>
              <w:rPr>
                <w:rFonts w:eastAsia="Arial Unicode MS" w:cs="Arial"/>
                <w:sz w:val="20"/>
                <w:szCs w:val="20"/>
              </w:rPr>
            </w:pPr>
            <w:r w:rsidRPr="00FD77DE">
              <w:rPr>
                <w:rFonts w:cs="Arial"/>
                <w:sz w:val="20"/>
                <w:szCs w:val="20"/>
              </w:rPr>
              <w:t>2</w:t>
            </w:r>
            <w:r w:rsidR="00D60EE0">
              <w:rPr>
                <w:rFonts w:cs="Arial"/>
                <w:sz w:val="20"/>
                <w:szCs w:val="20"/>
              </w:rPr>
              <w:t>–</w:t>
            </w:r>
            <w:r w:rsidRPr="00FD77DE">
              <w:rPr>
                <w:rFonts w:cs="Arial"/>
                <w:sz w:val="20"/>
                <w:szCs w:val="20"/>
              </w:rPr>
              <w:t>4 years</w:t>
            </w:r>
          </w:p>
        </w:tc>
        <w:tc>
          <w:tcPr>
            <w:tcW w:w="2648" w:type="dxa"/>
            <w:shd w:val="clear" w:color="auto" w:fill="auto"/>
          </w:tcPr>
          <w:p w14:paraId="731F8FA3" w14:textId="4AC13094" w:rsidR="00FD77DE" w:rsidRPr="00FD77DE" w:rsidRDefault="00FD77DE" w:rsidP="00D20A1E">
            <w:pPr>
              <w:pStyle w:val="FootnoteText"/>
              <w:widowControl/>
              <w:tabs>
                <w:tab w:val="decimal" w:pos="1480"/>
              </w:tabs>
              <w:spacing w:before="40" w:after="40"/>
              <w:rPr>
                <w:rFonts w:eastAsia="Arial Unicode MS" w:cs="Arial"/>
              </w:rPr>
            </w:pPr>
            <w:r w:rsidRPr="00FD77DE">
              <w:rPr>
                <w:rFonts w:eastAsia="Arial Unicode MS" w:cs="Arial"/>
              </w:rPr>
              <w:t>n/a</w:t>
            </w:r>
          </w:p>
        </w:tc>
        <w:tc>
          <w:tcPr>
            <w:tcW w:w="2648" w:type="dxa"/>
            <w:noWrap/>
            <w:tcMar>
              <w:top w:w="12" w:type="dxa"/>
              <w:left w:w="12" w:type="dxa"/>
              <w:bottom w:w="0" w:type="dxa"/>
              <w:right w:w="12" w:type="dxa"/>
            </w:tcMar>
            <w:vAlign w:val="center"/>
          </w:tcPr>
          <w:p w14:paraId="1CD656D4" w14:textId="79EBCBCF" w:rsidR="00FD77DE" w:rsidRPr="00FD77DE" w:rsidRDefault="00FD77DE" w:rsidP="00D20A1E">
            <w:pPr>
              <w:pStyle w:val="FootnoteText"/>
              <w:widowControl/>
              <w:tabs>
                <w:tab w:val="decimal" w:pos="1480"/>
              </w:tabs>
              <w:spacing w:before="40" w:after="40"/>
              <w:rPr>
                <w:rFonts w:eastAsia="Arial Unicode MS" w:cs="Arial"/>
              </w:rPr>
            </w:pPr>
            <w:r w:rsidRPr="00FD77DE">
              <w:rPr>
                <w:rFonts w:eastAsia="Arial Unicode MS" w:cs="Arial"/>
              </w:rPr>
              <w:t>n/a</w:t>
            </w:r>
          </w:p>
        </w:tc>
        <w:tc>
          <w:tcPr>
            <w:tcW w:w="2639" w:type="dxa"/>
            <w:shd w:val="clear" w:color="auto" w:fill="D9D9D9" w:themeFill="background1" w:themeFillShade="D9"/>
            <w:vAlign w:val="center"/>
          </w:tcPr>
          <w:p w14:paraId="65CDCB2B" w14:textId="0D98156B" w:rsidR="00FD77DE" w:rsidRPr="00FD77DE" w:rsidRDefault="00FD77DE" w:rsidP="00D20A1E">
            <w:pPr>
              <w:pStyle w:val="FootnoteText"/>
              <w:widowControl/>
              <w:tabs>
                <w:tab w:val="decimal" w:pos="1480"/>
              </w:tabs>
              <w:spacing w:before="40" w:after="40"/>
              <w:rPr>
                <w:rFonts w:eastAsia="Arial Unicode MS" w:cs="Arial"/>
              </w:rPr>
            </w:pPr>
          </w:p>
        </w:tc>
      </w:tr>
      <w:tr w:rsidR="00FD77DE" w:rsidRPr="00A36B68" w14:paraId="09077686" w14:textId="77777777" w:rsidTr="00FD77DE">
        <w:trPr>
          <w:trHeight w:val="264"/>
        </w:trPr>
        <w:tc>
          <w:tcPr>
            <w:tcW w:w="2986" w:type="dxa"/>
            <w:tcBorders>
              <w:top w:val="nil"/>
              <w:bottom w:val="nil"/>
            </w:tcBorders>
            <w:noWrap/>
            <w:tcMar>
              <w:top w:w="12" w:type="dxa"/>
              <w:left w:w="12" w:type="dxa"/>
              <w:bottom w:w="0" w:type="dxa"/>
              <w:right w:w="12" w:type="dxa"/>
            </w:tcMar>
            <w:vAlign w:val="center"/>
          </w:tcPr>
          <w:p w14:paraId="260005A1" w14:textId="7F5F7F00" w:rsidR="00FD77DE" w:rsidRPr="00A36B68" w:rsidRDefault="00FD77DE"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69E4B406" w14:textId="2B03AF6B" w:rsidR="00FD77DE" w:rsidRPr="00FD77DE" w:rsidRDefault="00FD77DE" w:rsidP="00D20A1E">
            <w:pPr>
              <w:widowControl/>
              <w:spacing w:before="40" w:after="40"/>
              <w:rPr>
                <w:rFonts w:eastAsia="Arial Unicode MS" w:cs="Arial"/>
                <w:sz w:val="20"/>
                <w:szCs w:val="20"/>
              </w:rPr>
            </w:pPr>
            <w:r w:rsidRPr="00FD77DE">
              <w:rPr>
                <w:rFonts w:cs="Arial"/>
                <w:sz w:val="20"/>
                <w:szCs w:val="20"/>
              </w:rPr>
              <w:t>5</w:t>
            </w:r>
            <w:r w:rsidR="00D60EE0">
              <w:rPr>
                <w:rFonts w:cs="Arial"/>
                <w:sz w:val="20"/>
                <w:szCs w:val="20"/>
              </w:rPr>
              <w:t>–</w:t>
            </w:r>
            <w:r w:rsidRPr="00FD77DE">
              <w:rPr>
                <w:rFonts w:cs="Arial"/>
                <w:sz w:val="20"/>
                <w:szCs w:val="20"/>
              </w:rPr>
              <w:t>14 years</w:t>
            </w:r>
          </w:p>
        </w:tc>
        <w:tc>
          <w:tcPr>
            <w:tcW w:w="2648" w:type="dxa"/>
            <w:shd w:val="clear" w:color="auto" w:fill="auto"/>
          </w:tcPr>
          <w:p w14:paraId="05DB2F69" w14:textId="707188E9" w:rsidR="00FD77DE" w:rsidRPr="00FD77DE" w:rsidRDefault="00FD77DE" w:rsidP="00D20A1E">
            <w:pPr>
              <w:widowControl/>
              <w:tabs>
                <w:tab w:val="decimal" w:pos="1480"/>
              </w:tabs>
              <w:spacing w:before="40" w:after="40"/>
              <w:rPr>
                <w:rFonts w:eastAsia="Arial Unicode MS" w:cs="Arial"/>
                <w:sz w:val="20"/>
                <w:szCs w:val="20"/>
              </w:rPr>
            </w:pPr>
            <w:r w:rsidRPr="00FD77DE">
              <w:rPr>
                <w:rFonts w:eastAsia="Arial Unicode MS" w:cs="Arial"/>
                <w:sz w:val="20"/>
                <w:szCs w:val="20"/>
              </w:rPr>
              <w:t>n/a</w:t>
            </w:r>
          </w:p>
        </w:tc>
        <w:tc>
          <w:tcPr>
            <w:tcW w:w="2648" w:type="dxa"/>
            <w:noWrap/>
            <w:tcMar>
              <w:top w:w="12" w:type="dxa"/>
              <w:left w:w="12" w:type="dxa"/>
              <w:bottom w:w="0" w:type="dxa"/>
              <w:right w:w="12" w:type="dxa"/>
            </w:tcMar>
            <w:vAlign w:val="center"/>
          </w:tcPr>
          <w:p w14:paraId="44B691D5" w14:textId="65F6CF0A" w:rsidR="00FD77DE" w:rsidRPr="00FD77DE" w:rsidRDefault="00FD77DE" w:rsidP="00D20A1E">
            <w:pPr>
              <w:widowControl/>
              <w:tabs>
                <w:tab w:val="decimal" w:pos="1480"/>
              </w:tabs>
              <w:spacing w:before="40" w:after="40"/>
              <w:rPr>
                <w:rFonts w:eastAsia="Arial Unicode MS" w:cs="Arial"/>
                <w:sz w:val="20"/>
                <w:szCs w:val="20"/>
              </w:rPr>
            </w:pPr>
            <w:r w:rsidRPr="00FD77DE">
              <w:rPr>
                <w:rFonts w:eastAsia="Arial Unicode MS" w:cs="Arial"/>
                <w:sz w:val="20"/>
                <w:szCs w:val="20"/>
              </w:rPr>
              <w:t>n/a</w:t>
            </w:r>
          </w:p>
        </w:tc>
        <w:tc>
          <w:tcPr>
            <w:tcW w:w="2639" w:type="dxa"/>
            <w:shd w:val="clear" w:color="auto" w:fill="D9D9D9" w:themeFill="background1" w:themeFillShade="D9"/>
            <w:vAlign w:val="center"/>
          </w:tcPr>
          <w:p w14:paraId="2B05652F" w14:textId="564DBD2E" w:rsidR="00FD77DE" w:rsidRPr="00FD77DE" w:rsidRDefault="00FD77DE" w:rsidP="00D20A1E">
            <w:pPr>
              <w:widowControl/>
              <w:tabs>
                <w:tab w:val="decimal" w:pos="1480"/>
              </w:tabs>
              <w:spacing w:before="40" w:after="40"/>
              <w:rPr>
                <w:rFonts w:eastAsia="Arial Unicode MS" w:cs="Arial"/>
                <w:sz w:val="20"/>
                <w:szCs w:val="20"/>
              </w:rPr>
            </w:pPr>
          </w:p>
        </w:tc>
      </w:tr>
      <w:tr w:rsidR="00FD77DE" w:rsidRPr="00A36B68" w14:paraId="0D40B546" w14:textId="77777777" w:rsidTr="00FD77DE">
        <w:trPr>
          <w:trHeight w:val="264"/>
        </w:trPr>
        <w:tc>
          <w:tcPr>
            <w:tcW w:w="2986" w:type="dxa"/>
            <w:tcBorders>
              <w:top w:val="nil"/>
              <w:bottom w:val="single" w:sz="4" w:space="0" w:color="auto"/>
            </w:tcBorders>
            <w:noWrap/>
            <w:tcMar>
              <w:top w:w="12" w:type="dxa"/>
              <w:left w:w="12" w:type="dxa"/>
              <w:bottom w:w="0" w:type="dxa"/>
              <w:right w:w="12" w:type="dxa"/>
            </w:tcMar>
            <w:vAlign w:val="center"/>
          </w:tcPr>
          <w:p w14:paraId="7E5A99DD" w14:textId="34F5D734" w:rsidR="00FD77DE" w:rsidRPr="00A36B68" w:rsidRDefault="00FD77DE"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74CDB369" w14:textId="77777777" w:rsidR="00FD77DE" w:rsidRPr="00FD77DE" w:rsidRDefault="00FD77DE" w:rsidP="00D20A1E">
            <w:pPr>
              <w:widowControl/>
              <w:spacing w:before="40" w:after="40"/>
              <w:rPr>
                <w:rFonts w:eastAsia="Arial Unicode MS" w:cs="Arial"/>
                <w:sz w:val="20"/>
                <w:szCs w:val="20"/>
              </w:rPr>
            </w:pPr>
            <w:r w:rsidRPr="00FD77DE">
              <w:rPr>
                <w:rFonts w:cs="Arial"/>
                <w:sz w:val="20"/>
                <w:szCs w:val="20"/>
              </w:rPr>
              <w:t>15 years and above</w:t>
            </w:r>
          </w:p>
        </w:tc>
        <w:tc>
          <w:tcPr>
            <w:tcW w:w="2648" w:type="dxa"/>
            <w:tcBorders>
              <w:bottom w:val="single" w:sz="4" w:space="0" w:color="auto"/>
            </w:tcBorders>
            <w:shd w:val="clear" w:color="auto" w:fill="auto"/>
          </w:tcPr>
          <w:p w14:paraId="1268B437" w14:textId="4E9E491B" w:rsidR="00FD77DE" w:rsidRPr="00FD77DE" w:rsidRDefault="00FD77DE" w:rsidP="00D20A1E">
            <w:pPr>
              <w:widowControl/>
              <w:tabs>
                <w:tab w:val="decimal" w:pos="1480"/>
              </w:tabs>
              <w:spacing w:before="40" w:after="40"/>
              <w:rPr>
                <w:rFonts w:eastAsia="Arial Unicode MS" w:cs="Arial"/>
                <w:sz w:val="20"/>
                <w:szCs w:val="20"/>
              </w:rPr>
            </w:pPr>
            <w:r w:rsidRPr="00FD77DE">
              <w:rPr>
                <w:rFonts w:eastAsia="Arial Unicode MS" w:cs="Arial"/>
                <w:sz w:val="20"/>
                <w:szCs w:val="20"/>
              </w:rPr>
              <w:t>n/a</w:t>
            </w:r>
          </w:p>
        </w:tc>
        <w:tc>
          <w:tcPr>
            <w:tcW w:w="2648" w:type="dxa"/>
            <w:shd w:val="clear" w:color="auto" w:fill="D9D9D9" w:themeFill="background1" w:themeFillShade="D9"/>
            <w:noWrap/>
            <w:tcMar>
              <w:top w:w="12" w:type="dxa"/>
              <w:left w:w="12" w:type="dxa"/>
              <w:bottom w:w="0" w:type="dxa"/>
              <w:right w:w="12" w:type="dxa"/>
            </w:tcMar>
            <w:vAlign w:val="center"/>
          </w:tcPr>
          <w:p w14:paraId="55D65934" w14:textId="77777777" w:rsidR="00FD77DE" w:rsidRPr="00FD77DE" w:rsidRDefault="00FD77DE" w:rsidP="00D20A1E">
            <w:pPr>
              <w:widowControl/>
              <w:tabs>
                <w:tab w:val="decimal" w:pos="1480"/>
              </w:tabs>
              <w:spacing w:before="40" w:after="40"/>
              <w:rPr>
                <w:rFonts w:eastAsia="Arial Unicode MS" w:cs="Arial"/>
                <w:sz w:val="20"/>
                <w:szCs w:val="20"/>
              </w:rPr>
            </w:pPr>
          </w:p>
        </w:tc>
        <w:tc>
          <w:tcPr>
            <w:tcW w:w="2639" w:type="dxa"/>
            <w:shd w:val="clear" w:color="auto" w:fill="D9D9D9" w:themeFill="background1" w:themeFillShade="D9"/>
            <w:vAlign w:val="center"/>
          </w:tcPr>
          <w:p w14:paraId="1B28F4B6" w14:textId="6E906815" w:rsidR="00FD77DE" w:rsidRPr="00FD77DE" w:rsidRDefault="00FD77DE" w:rsidP="00D20A1E">
            <w:pPr>
              <w:widowControl/>
              <w:tabs>
                <w:tab w:val="decimal" w:pos="1480"/>
              </w:tabs>
              <w:spacing w:before="40" w:after="40"/>
              <w:rPr>
                <w:rFonts w:eastAsia="Arial Unicode MS" w:cs="Arial"/>
                <w:sz w:val="20"/>
                <w:szCs w:val="20"/>
              </w:rPr>
            </w:pPr>
          </w:p>
        </w:tc>
      </w:tr>
      <w:tr w:rsidR="00FD77DE" w:rsidRPr="00A36B68" w14:paraId="26A016A7" w14:textId="77777777" w:rsidTr="00410C1B">
        <w:trPr>
          <w:trHeight w:val="264"/>
        </w:trPr>
        <w:tc>
          <w:tcPr>
            <w:tcW w:w="2986" w:type="dxa"/>
            <w:tcBorders>
              <w:bottom w:val="nil"/>
            </w:tcBorders>
            <w:noWrap/>
            <w:tcMar>
              <w:top w:w="12" w:type="dxa"/>
              <w:left w:w="12" w:type="dxa"/>
              <w:bottom w:w="0" w:type="dxa"/>
              <w:right w:w="12" w:type="dxa"/>
            </w:tcMar>
            <w:vAlign w:val="center"/>
          </w:tcPr>
          <w:p w14:paraId="35B4EFCC" w14:textId="56B0CBAE" w:rsidR="00FD77DE" w:rsidRPr="00A36B68" w:rsidRDefault="00FD77DE" w:rsidP="00D20A1E">
            <w:pPr>
              <w:widowControl/>
              <w:spacing w:before="40" w:after="40"/>
              <w:rPr>
                <w:rFonts w:eastAsia="Arial Unicode MS" w:cs="Arial"/>
                <w:sz w:val="20"/>
                <w:szCs w:val="20"/>
              </w:rPr>
            </w:pPr>
            <w:r>
              <w:rPr>
                <w:rFonts w:cs="Arial"/>
                <w:sz w:val="20"/>
                <w:szCs w:val="20"/>
              </w:rPr>
              <w:t>Folates, total</w:t>
            </w:r>
            <w:r w:rsidRPr="00FD77DE">
              <w:rPr>
                <w:rFonts w:cs="Arial"/>
                <w:sz w:val="20"/>
                <w:szCs w:val="20"/>
                <w:vertAlign w:val="superscript"/>
              </w:rPr>
              <w:t>ʎ</w:t>
            </w:r>
            <w:r>
              <w:rPr>
                <w:rFonts w:cs="Arial"/>
                <w:sz w:val="20"/>
                <w:szCs w:val="20"/>
              </w:rPr>
              <w:t xml:space="preserve"> </w:t>
            </w:r>
            <w:r w:rsidRPr="00A36B68">
              <w:rPr>
                <w:rFonts w:cs="Arial"/>
                <w:sz w:val="20"/>
                <w:szCs w:val="20"/>
              </w:rPr>
              <w:t>(</w:t>
            </w:r>
            <w:r w:rsidRPr="00A36B68">
              <w:rPr>
                <w:rFonts w:eastAsia="Arial Unicode MS" w:cs="Arial"/>
                <w:sz w:val="20"/>
                <w:szCs w:val="20"/>
              </w:rPr>
              <w:t>µ</w:t>
            </w:r>
            <w:r w:rsidRPr="00A36B68">
              <w:rPr>
                <w:rFonts w:cs="Arial"/>
                <w:sz w:val="20"/>
                <w:szCs w:val="20"/>
              </w:rPr>
              <w:t>g)</w:t>
            </w:r>
          </w:p>
        </w:tc>
        <w:tc>
          <w:tcPr>
            <w:tcW w:w="3059" w:type="dxa"/>
            <w:tcMar>
              <w:top w:w="12" w:type="dxa"/>
              <w:left w:w="12" w:type="dxa"/>
              <w:bottom w:w="0" w:type="dxa"/>
              <w:right w:w="12" w:type="dxa"/>
            </w:tcMar>
            <w:vAlign w:val="center"/>
          </w:tcPr>
          <w:p w14:paraId="79603967" w14:textId="77777777" w:rsidR="00FD77DE" w:rsidRPr="00A36B68" w:rsidRDefault="00FD77DE" w:rsidP="00D20A1E">
            <w:pPr>
              <w:widowControl/>
              <w:spacing w:before="40" w:after="40"/>
              <w:rPr>
                <w:rFonts w:eastAsia="Arial Unicode MS" w:cs="Arial"/>
                <w:sz w:val="20"/>
                <w:szCs w:val="20"/>
              </w:rPr>
            </w:pPr>
            <w:r w:rsidRPr="00A36B68">
              <w:rPr>
                <w:rFonts w:cs="Arial"/>
                <w:sz w:val="20"/>
                <w:szCs w:val="20"/>
              </w:rPr>
              <w:t>2 years and above</w:t>
            </w:r>
          </w:p>
        </w:tc>
        <w:tc>
          <w:tcPr>
            <w:tcW w:w="2648" w:type="dxa"/>
            <w:vAlign w:val="center"/>
          </w:tcPr>
          <w:p w14:paraId="7B870B84" w14:textId="16389063" w:rsidR="00FD77DE" w:rsidRPr="0073022E" w:rsidRDefault="00FD77DE" w:rsidP="00D20A1E">
            <w:pPr>
              <w:widowControl/>
              <w:tabs>
                <w:tab w:val="decimal" w:pos="1480"/>
              </w:tabs>
              <w:spacing w:before="40" w:after="40"/>
              <w:rPr>
                <w:rFonts w:eastAsia="Arial Unicode MS" w:cs="Arial"/>
                <w:sz w:val="20"/>
                <w:szCs w:val="20"/>
              </w:rPr>
            </w:pPr>
            <w:r w:rsidRPr="00FD77DE">
              <w:rPr>
                <w:rFonts w:eastAsia="Arial Unicode MS" w:cs="Arial"/>
                <w:sz w:val="20"/>
                <w:szCs w:val="20"/>
              </w:rPr>
              <w:t>289</w:t>
            </w:r>
          </w:p>
        </w:tc>
        <w:tc>
          <w:tcPr>
            <w:tcW w:w="2648" w:type="dxa"/>
            <w:shd w:val="clear" w:color="auto" w:fill="D9D9D9" w:themeFill="background1" w:themeFillShade="D9"/>
            <w:noWrap/>
            <w:tcMar>
              <w:top w:w="12" w:type="dxa"/>
              <w:left w:w="12" w:type="dxa"/>
              <w:bottom w:w="0" w:type="dxa"/>
              <w:right w:w="12" w:type="dxa"/>
            </w:tcMar>
            <w:vAlign w:val="center"/>
          </w:tcPr>
          <w:p w14:paraId="06D1C4C3" w14:textId="77777777" w:rsidR="00FD77DE" w:rsidRPr="00A36B68" w:rsidRDefault="00FD77DE" w:rsidP="00D20A1E">
            <w:pPr>
              <w:widowControl/>
              <w:tabs>
                <w:tab w:val="decimal" w:pos="1480"/>
              </w:tabs>
              <w:spacing w:before="40" w:after="40"/>
              <w:rPr>
                <w:rFonts w:eastAsia="Arial Unicode MS" w:cs="Arial"/>
                <w:sz w:val="20"/>
                <w:szCs w:val="20"/>
              </w:rPr>
            </w:pPr>
          </w:p>
        </w:tc>
        <w:tc>
          <w:tcPr>
            <w:tcW w:w="2639" w:type="dxa"/>
            <w:vAlign w:val="center"/>
          </w:tcPr>
          <w:p w14:paraId="38761F6B" w14:textId="5576E71A" w:rsidR="00FD77DE" w:rsidRPr="00A36B68" w:rsidRDefault="00FD77DE" w:rsidP="00D20A1E">
            <w:pPr>
              <w:widowControl/>
              <w:tabs>
                <w:tab w:val="decimal" w:pos="1480"/>
              </w:tabs>
              <w:spacing w:before="40" w:after="40"/>
              <w:rPr>
                <w:rFonts w:eastAsia="Arial Unicode MS" w:cs="Arial"/>
                <w:sz w:val="20"/>
                <w:szCs w:val="20"/>
              </w:rPr>
            </w:pPr>
            <w:r>
              <w:rPr>
                <w:rFonts w:eastAsia="Arial Unicode MS" w:cs="Arial"/>
                <w:sz w:val="20"/>
                <w:szCs w:val="20"/>
              </w:rPr>
              <w:t>479</w:t>
            </w:r>
          </w:p>
        </w:tc>
      </w:tr>
      <w:tr w:rsidR="00FD77DE" w:rsidRPr="00A36B68" w14:paraId="0E158431" w14:textId="77777777" w:rsidTr="00410C1B">
        <w:trPr>
          <w:trHeight w:val="264"/>
        </w:trPr>
        <w:tc>
          <w:tcPr>
            <w:tcW w:w="2986" w:type="dxa"/>
            <w:tcBorders>
              <w:top w:val="nil"/>
              <w:bottom w:val="nil"/>
            </w:tcBorders>
            <w:noWrap/>
            <w:tcMar>
              <w:top w:w="12" w:type="dxa"/>
              <w:left w:w="12" w:type="dxa"/>
              <w:bottom w:w="0" w:type="dxa"/>
              <w:right w:w="12" w:type="dxa"/>
            </w:tcMar>
            <w:vAlign w:val="center"/>
          </w:tcPr>
          <w:p w14:paraId="6691C2C8" w14:textId="77777777" w:rsidR="00FD77DE" w:rsidRPr="00A36B68" w:rsidRDefault="00FD77DE"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00EA62C1" w14:textId="1F5E5D08" w:rsidR="00FD77DE" w:rsidRPr="00A36B68" w:rsidRDefault="00FD77DE" w:rsidP="00D20A1E">
            <w:pPr>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2648" w:type="dxa"/>
            <w:vAlign w:val="center"/>
          </w:tcPr>
          <w:p w14:paraId="3ADB2F66" w14:textId="3FF2017E" w:rsidR="00FD77DE" w:rsidRPr="00A36B68" w:rsidRDefault="00FD77DE" w:rsidP="00D20A1E">
            <w:pPr>
              <w:pStyle w:val="FootnoteText"/>
              <w:widowControl/>
              <w:tabs>
                <w:tab w:val="decimal" w:pos="1480"/>
              </w:tabs>
              <w:spacing w:before="40" w:after="40"/>
              <w:rPr>
                <w:rFonts w:eastAsia="Arial Unicode MS" w:cs="Arial"/>
              </w:rPr>
            </w:pPr>
            <w:r w:rsidRPr="00FD77DE">
              <w:rPr>
                <w:rFonts w:eastAsia="Arial Unicode MS" w:cs="Arial"/>
              </w:rPr>
              <w:t>195</w:t>
            </w:r>
          </w:p>
        </w:tc>
        <w:tc>
          <w:tcPr>
            <w:tcW w:w="2648" w:type="dxa"/>
            <w:noWrap/>
            <w:tcMar>
              <w:top w:w="12" w:type="dxa"/>
              <w:left w:w="12" w:type="dxa"/>
              <w:bottom w:w="0" w:type="dxa"/>
              <w:right w:w="12" w:type="dxa"/>
            </w:tcMar>
            <w:vAlign w:val="center"/>
          </w:tcPr>
          <w:p w14:paraId="05B6391F" w14:textId="3CE11D9C" w:rsidR="00FD77DE" w:rsidRPr="00A36B68" w:rsidRDefault="00FD77DE" w:rsidP="00D20A1E">
            <w:pPr>
              <w:pStyle w:val="FootnoteText"/>
              <w:widowControl/>
              <w:tabs>
                <w:tab w:val="decimal" w:pos="1480"/>
              </w:tabs>
              <w:spacing w:before="40" w:after="40"/>
              <w:rPr>
                <w:rFonts w:eastAsia="Arial Unicode MS" w:cs="Arial"/>
              </w:rPr>
            </w:pPr>
            <w:r>
              <w:rPr>
                <w:rFonts w:eastAsia="Arial Unicode MS" w:cs="Arial"/>
              </w:rPr>
              <w:t>n/a</w:t>
            </w:r>
          </w:p>
        </w:tc>
        <w:tc>
          <w:tcPr>
            <w:tcW w:w="2639" w:type="dxa"/>
            <w:shd w:val="clear" w:color="auto" w:fill="D9D9D9" w:themeFill="background1" w:themeFillShade="D9"/>
            <w:vAlign w:val="center"/>
          </w:tcPr>
          <w:p w14:paraId="3ABA09C4" w14:textId="77777777" w:rsidR="00FD77DE" w:rsidRPr="00A36B68" w:rsidRDefault="00FD77DE" w:rsidP="00D20A1E">
            <w:pPr>
              <w:pStyle w:val="FootnoteText"/>
              <w:widowControl/>
              <w:tabs>
                <w:tab w:val="decimal" w:pos="1480"/>
              </w:tabs>
              <w:spacing w:before="40" w:after="40"/>
              <w:rPr>
                <w:rFonts w:eastAsia="Arial Unicode MS" w:cs="Arial"/>
              </w:rPr>
            </w:pPr>
          </w:p>
        </w:tc>
      </w:tr>
      <w:tr w:rsidR="00FD77DE" w:rsidRPr="00A36B68" w14:paraId="2EB1D3FD" w14:textId="77777777" w:rsidTr="00410C1B">
        <w:trPr>
          <w:trHeight w:val="264"/>
        </w:trPr>
        <w:tc>
          <w:tcPr>
            <w:tcW w:w="2986" w:type="dxa"/>
            <w:tcBorders>
              <w:top w:val="nil"/>
              <w:bottom w:val="nil"/>
            </w:tcBorders>
            <w:noWrap/>
            <w:tcMar>
              <w:top w:w="12" w:type="dxa"/>
              <w:left w:w="12" w:type="dxa"/>
              <w:bottom w:w="0" w:type="dxa"/>
              <w:right w:w="12" w:type="dxa"/>
            </w:tcMar>
            <w:vAlign w:val="center"/>
          </w:tcPr>
          <w:p w14:paraId="6A7CF310" w14:textId="77777777" w:rsidR="00FD77DE" w:rsidRPr="00A36B68" w:rsidRDefault="00FD77DE"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56858D8B" w14:textId="5A4DBF00" w:rsidR="00FD77DE" w:rsidRPr="00A36B68" w:rsidRDefault="00FD77DE" w:rsidP="00D20A1E">
            <w:pPr>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2648" w:type="dxa"/>
            <w:vAlign w:val="center"/>
          </w:tcPr>
          <w:p w14:paraId="5C93FA71" w14:textId="0F30EBCF" w:rsidR="00FD77DE" w:rsidRPr="00A36B68" w:rsidRDefault="00FD77DE" w:rsidP="00D20A1E">
            <w:pPr>
              <w:widowControl/>
              <w:tabs>
                <w:tab w:val="decimal" w:pos="1480"/>
              </w:tabs>
              <w:spacing w:before="40" w:after="40"/>
              <w:rPr>
                <w:rFonts w:eastAsia="Arial Unicode MS" w:cs="Arial"/>
                <w:sz w:val="20"/>
                <w:szCs w:val="20"/>
              </w:rPr>
            </w:pPr>
            <w:r w:rsidRPr="00FD77DE">
              <w:rPr>
                <w:rFonts w:eastAsia="Arial Unicode MS" w:cs="Arial"/>
                <w:sz w:val="20"/>
                <w:szCs w:val="20"/>
              </w:rPr>
              <w:t>256</w:t>
            </w:r>
          </w:p>
        </w:tc>
        <w:tc>
          <w:tcPr>
            <w:tcW w:w="2648" w:type="dxa"/>
            <w:noWrap/>
            <w:tcMar>
              <w:top w:w="12" w:type="dxa"/>
              <w:left w:w="12" w:type="dxa"/>
              <w:bottom w:w="0" w:type="dxa"/>
              <w:right w:w="12" w:type="dxa"/>
            </w:tcMar>
            <w:vAlign w:val="center"/>
          </w:tcPr>
          <w:p w14:paraId="33FB9EF0" w14:textId="2339C29D" w:rsidR="00FD77DE" w:rsidRPr="00A36B68" w:rsidRDefault="00FD77DE" w:rsidP="00D20A1E">
            <w:pPr>
              <w:widowControl/>
              <w:tabs>
                <w:tab w:val="decimal" w:pos="1480"/>
              </w:tabs>
              <w:spacing w:before="40" w:after="40"/>
              <w:rPr>
                <w:rFonts w:eastAsia="Arial Unicode MS" w:cs="Arial"/>
                <w:sz w:val="20"/>
                <w:szCs w:val="20"/>
              </w:rPr>
            </w:pPr>
            <w:r>
              <w:rPr>
                <w:rFonts w:eastAsia="Arial Unicode MS" w:cs="Arial"/>
                <w:sz w:val="20"/>
                <w:szCs w:val="20"/>
              </w:rPr>
              <w:t>n/a</w:t>
            </w:r>
          </w:p>
        </w:tc>
        <w:tc>
          <w:tcPr>
            <w:tcW w:w="2639" w:type="dxa"/>
            <w:shd w:val="clear" w:color="auto" w:fill="D9D9D9" w:themeFill="background1" w:themeFillShade="D9"/>
            <w:vAlign w:val="center"/>
          </w:tcPr>
          <w:p w14:paraId="570D2784" w14:textId="77777777" w:rsidR="00FD77DE" w:rsidRPr="00A36B68" w:rsidRDefault="00FD77DE" w:rsidP="00D20A1E">
            <w:pPr>
              <w:widowControl/>
              <w:tabs>
                <w:tab w:val="decimal" w:pos="1480"/>
              </w:tabs>
              <w:spacing w:before="40" w:after="40"/>
              <w:rPr>
                <w:rFonts w:eastAsia="Arial Unicode MS" w:cs="Arial"/>
                <w:sz w:val="20"/>
                <w:szCs w:val="20"/>
              </w:rPr>
            </w:pPr>
          </w:p>
        </w:tc>
      </w:tr>
      <w:tr w:rsidR="00FD77DE" w:rsidRPr="00A36B68" w14:paraId="0620571B" w14:textId="77777777" w:rsidTr="00410C1B">
        <w:trPr>
          <w:trHeight w:val="264"/>
        </w:trPr>
        <w:tc>
          <w:tcPr>
            <w:tcW w:w="2986" w:type="dxa"/>
            <w:tcBorders>
              <w:top w:val="nil"/>
              <w:bottom w:val="single" w:sz="4" w:space="0" w:color="auto"/>
            </w:tcBorders>
            <w:noWrap/>
            <w:tcMar>
              <w:top w:w="12" w:type="dxa"/>
              <w:left w:w="12" w:type="dxa"/>
              <w:bottom w:w="0" w:type="dxa"/>
              <w:right w:w="12" w:type="dxa"/>
            </w:tcMar>
            <w:vAlign w:val="center"/>
          </w:tcPr>
          <w:p w14:paraId="771E4D00" w14:textId="77777777" w:rsidR="00FD77DE" w:rsidRPr="00A36B68" w:rsidRDefault="00FD77DE"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607CECC3" w14:textId="77777777" w:rsidR="00FD77DE" w:rsidRPr="00A36B68" w:rsidRDefault="00FD77DE" w:rsidP="00D20A1E">
            <w:pPr>
              <w:widowControl/>
              <w:spacing w:before="40" w:after="40"/>
              <w:rPr>
                <w:rFonts w:eastAsia="Arial Unicode MS" w:cs="Arial"/>
                <w:sz w:val="20"/>
                <w:szCs w:val="20"/>
              </w:rPr>
            </w:pPr>
            <w:r w:rsidRPr="00A36B68">
              <w:rPr>
                <w:rFonts w:cs="Arial"/>
                <w:sz w:val="20"/>
                <w:szCs w:val="20"/>
              </w:rPr>
              <w:t>15 years and above</w:t>
            </w:r>
          </w:p>
        </w:tc>
        <w:tc>
          <w:tcPr>
            <w:tcW w:w="2648" w:type="dxa"/>
            <w:tcBorders>
              <w:bottom w:val="single" w:sz="4" w:space="0" w:color="auto"/>
            </w:tcBorders>
            <w:vAlign w:val="center"/>
          </w:tcPr>
          <w:p w14:paraId="3393E71B" w14:textId="571F2293" w:rsidR="00FD77DE" w:rsidRPr="00A36B68" w:rsidRDefault="00FD77DE" w:rsidP="00D20A1E">
            <w:pPr>
              <w:widowControl/>
              <w:tabs>
                <w:tab w:val="decimal" w:pos="1480"/>
              </w:tabs>
              <w:spacing w:before="40" w:after="40"/>
              <w:rPr>
                <w:rFonts w:eastAsia="Arial Unicode MS" w:cs="Arial"/>
                <w:sz w:val="20"/>
                <w:szCs w:val="20"/>
              </w:rPr>
            </w:pPr>
            <w:r w:rsidRPr="00FD77DE">
              <w:rPr>
                <w:rFonts w:eastAsia="Arial Unicode MS" w:cs="Arial"/>
                <w:sz w:val="20"/>
                <w:szCs w:val="20"/>
              </w:rPr>
              <w:t>299</w:t>
            </w:r>
          </w:p>
        </w:tc>
        <w:tc>
          <w:tcPr>
            <w:tcW w:w="2648" w:type="dxa"/>
            <w:shd w:val="clear" w:color="auto" w:fill="D9D9D9" w:themeFill="background1" w:themeFillShade="D9"/>
            <w:noWrap/>
            <w:tcMar>
              <w:top w:w="12" w:type="dxa"/>
              <w:left w:w="12" w:type="dxa"/>
              <w:bottom w:w="0" w:type="dxa"/>
              <w:right w:w="12" w:type="dxa"/>
            </w:tcMar>
            <w:vAlign w:val="center"/>
          </w:tcPr>
          <w:p w14:paraId="4C15D0B9" w14:textId="77777777" w:rsidR="00FD77DE" w:rsidRPr="00A36B68" w:rsidRDefault="00FD77DE" w:rsidP="00D20A1E">
            <w:pPr>
              <w:widowControl/>
              <w:tabs>
                <w:tab w:val="decimal" w:pos="1480"/>
              </w:tabs>
              <w:spacing w:before="40" w:after="40"/>
              <w:rPr>
                <w:rFonts w:eastAsia="Arial Unicode MS" w:cs="Arial"/>
                <w:sz w:val="20"/>
                <w:szCs w:val="20"/>
              </w:rPr>
            </w:pPr>
          </w:p>
        </w:tc>
        <w:tc>
          <w:tcPr>
            <w:tcW w:w="2639" w:type="dxa"/>
            <w:shd w:val="clear" w:color="auto" w:fill="D9D9D9" w:themeFill="background1" w:themeFillShade="D9"/>
            <w:vAlign w:val="center"/>
          </w:tcPr>
          <w:p w14:paraId="7BF521D8" w14:textId="77777777" w:rsidR="00FD77DE" w:rsidRPr="00A36B68" w:rsidRDefault="00FD77DE" w:rsidP="00D20A1E">
            <w:pPr>
              <w:widowControl/>
              <w:tabs>
                <w:tab w:val="decimal" w:pos="1480"/>
              </w:tabs>
              <w:spacing w:before="40" w:after="40"/>
              <w:rPr>
                <w:rFonts w:eastAsia="Arial Unicode MS" w:cs="Arial"/>
                <w:sz w:val="20"/>
                <w:szCs w:val="20"/>
              </w:rPr>
            </w:pPr>
          </w:p>
        </w:tc>
      </w:tr>
      <w:tr w:rsidR="00FD77DE" w:rsidRPr="00A36B68" w14:paraId="57AD683C" w14:textId="77777777" w:rsidTr="00FD77DE">
        <w:trPr>
          <w:trHeight w:val="264"/>
        </w:trPr>
        <w:tc>
          <w:tcPr>
            <w:tcW w:w="2986" w:type="dxa"/>
            <w:tcBorders>
              <w:bottom w:val="nil"/>
            </w:tcBorders>
            <w:noWrap/>
            <w:tcMar>
              <w:top w:w="12" w:type="dxa"/>
              <w:left w:w="12" w:type="dxa"/>
              <w:bottom w:w="0" w:type="dxa"/>
              <w:right w:w="12" w:type="dxa"/>
            </w:tcMar>
            <w:vAlign w:val="center"/>
          </w:tcPr>
          <w:p w14:paraId="413CF5EB" w14:textId="30D618DA" w:rsidR="00FD77DE" w:rsidRPr="00A36B68" w:rsidRDefault="00FD77DE" w:rsidP="00D20A1E">
            <w:pPr>
              <w:widowControl/>
              <w:spacing w:before="40" w:after="40"/>
              <w:rPr>
                <w:rFonts w:eastAsia="Arial Unicode MS" w:cs="Arial"/>
                <w:sz w:val="20"/>
                <w:szCs w:val="20"/>
              </w:rPr>
            </w:pPr>
            <w:r>
              <w:rPr>
                <w:rFonts w:cs="Arial"/>
                <w:sz w:val="20"/>
                <w:szCs w:val="20"/>
              </w:rPr>
              <w:t xml:space="preserve">Folic acid </w:t>
            </w:r>
            <w:r w:rsidRPr="00A36B68">
              <w:rPr>
                <w:rFonts w:cs="Arial"/>
                <w:sz w:val="20"/>
                <w:szCs w:val="20"/>
              </w:rPr>
              <w:t>(</w:t>
            </w:r>
            <w:r w:rsidRPr="00A36B68">
              <w:rPr>
                <w:rFonts w:eastAsia="Arial Unicode MS" w:cs="Arial"/>
                <w:sz w:val="20"/>
                <w:szCs w:val="20"/>
              </w:rPr>
              <w:t>µ</w:t>
            </w:r>
            <w:r w:rsidRPr="00A36B68">
              <w:rPr>
                <w:rFonts w:cs="Arial"/>
                <w:sz w:val="20"/>
                <w:szCs w:val="20"/>
              </w:rPr>
              <w:t>g)</w:t>
            </w:r>
          </w:p>
        </w:tc>
        <w:tc>
          <w:tcPr>
            <w:tcW w:w="3059" w:type="dxa"/>
            <w:tcMar>
              <w:top w:w="12" w:type="dxa"/>
              <w:left w:w="12" w:type="dxa"/>
              <w:bottom w:w="0" w:type="dxa"/>
              <w:right w:w="12" w:type="dxa"/>
            </w:tcMar>
            <w:vAlign w:val="center"/>
          </w:tcPr>
          <w:p w14:paraId="5AB305B2" w14:textId="77777777" w:rsidR="00FD77DE" w:rsidRPr="00A36B68" w:rsidRDefault="00FD77DE" w:rsidP="00D20A1E">
            <w:pPr>
              <w:widowControl/>
              <w:spacing w:before="40" w:after="40"/>
              <w:rPr>
                <w:rFonts w:eastAsia="Arial Unicode MS" w:cs="Arial"/>
                <w:sz w:val="20"/>
                <w:szCs w:val="20"/>
              </w:rPr>
            </w:pPr>
            <w:r w:rsidRPr="00A36B68">
              <w:rPr>
                <w:rFonts w:cs="Arial"/>
                <w:sz w:val="20"/>
                <w:szCs w:val="20"/>
              </w:rPr>
              <w:t>2 years and above</w:t>
            </w:r>
          </w:p>
        </w:tc>
        <w:tc>
          <w:tcPr>
            <w:tcW w:w="2648" w:type="dxa"/>
            <w:vAlign w:val="center"/>
          </w:tcPr>
          <w:p w14:paraId="20EE68E3" w14:textId="2ED3F98E" w:rsidR="00FD77DE" w:rsidRPr="0073022E" w:rsidRDefault="00FD77DE" w:rsidP="00D20A1E">
            <w:pPr>
              <w:widowControl/>
              <w:tabs>
                <w:tab w:val="decimal" w:pos="1480"/>
              </w:tabs>
              <w:spacing w:before="40" w:after="40"/>
              <w:rPr>
                <w:rFonts w:eastAsia="Arial Unicode MS" w:cs="Arial"/>
                <w:sz w:val="20"/>
                <w:szCs w:val="20"/>
              </w:rPr>
            </w:pPr>
            <w:r w:rsidRPr="00FD77DE">
              <w:rPr>
                <w:rFonts w:eastAsia="Arial Unicode MS" w:cs="Arial"/>
                <w:sz w:val="20"/>
                <w:szCs w:val="20"/>
              </w:rPr>
              <w:t>129</w:t>
            </w:r>
          </w:p>
        </w:tc>
        <w:tc>
          <w:tcPr>
            <w:tcW w:w="2648" w:type="dxa"/>
            <w:shd w:val="clear" w:color="auto" w:fill="D9D9D9" w:themeFill="background1" w:themeFillShade="D9"/>
            <w:noWrap/>
            <w:tcMar>
              <w:top w:w="12" w:type="dxa"/>
              <w:left w:w="12" w:type="dxa"/>
              <w:bottom w:w="0" w:type="dxa"/>
              <w:right w:w="12" w:type="dxa"/>
            </w:tcMar>
            <w:vAlign w:val="center"/>
          </w:tcPr>
          <w:p w14:paraId="753AA387" w14:textId="77777777" w:rsidR="00FD77DE" w:rsidRPr="00A36B68" w:rsidRDefault="00FD77DE" w:rsidP="00D20A1E">
            <w:pPr>
              <w:widowControl/>
              <w:tabs>
                <w:tab w:val="decimal" w:pos="1480"/>
              </w:tabs>
              <w:spacing w:before="40" w:after="40"/>
              <w:rPr>
                <w:rFonts w:eastAsia="Arial Unicode MS" w:cs="Arial"/>
                <w:sz w:val="20"/>
                <w:szCs w:val="20"/>
              </w:rPr>
            </w:pPr>
          </w:p>
        </w:tc>
        <w:tc>
          <w:tcPr>
            <w:tcW w:w="2639" w:type="dxa"/>
            <w:tcBorders>
              <w:bottom w:val="single" w:sz="4" w:space="0" w:color="auto"/>
            </w:tcBorders>
            <w:vAlign w:val="center"/>
          </w:tcPr>
          <w:p w14:paraId="65A074CA" w14:textId="60E5FD9A" w:rsidR="00FD77DE" w:rsidRPr="00A36B68" w:rsidRDefault="00FD77DE" w:rsidP="00D20A1E">
            <w:pPr>
              <w:widowControl/>
              <w:tabs>
                <w:tab w:val="decimal" w:pos="1480"/>
              </w:tabs>
              <w:spacing w:before="40" w:after="40"/>
              <w:rPr>
                <w:rFonts w:eastAsia="Arial Unicode MS" w:cs="Arial"/>
                <w:sz w:val="20"/>
                <w:szCs w:val="20"/>
              </w:rPr>
            </w:pPr>
            <w:r>
              <w:rPr>
                <w:rFonts w:eastAsia="Arial Unicode MS" w:cs="Arial"/>
                <w:sz w:val="20"/>
                <w:szCs w:val="20"/>
              </w:rPr>
              <w:t>200</w:t>
            </w:r>
          </w:p>
        </w:tc>
      </w:tr>
      <w:tr w:rsidR="00FD77DE" w:rsidRPr="00A36B68" w14:paraId="5D04B51D" w14:textId="77777777" w:rsidTr="00410C1B">
        <w:trPr>
          <w:trHeight w:val="264"/>
        </w:trPr>
        <w:tc>
          <w:tcPr>
            <w:tcW w:w="2986" w:type="dxa"/>
            <w:tcBorders>
              <w:top w:val="nil"/>
              <w:bottom w:val="nil"/>
            </w:tcBorders>
            <w:noWrap/>
            <w:tcMar>
              <w:top w:w="12" w:type="dxa"/>
              <w:left w:w="12" w:type="dxa"/>
              <w:bottom w:w="0" w:type="dxa"/>
              <w:right w:w="12" w:type="dxa"/>
            </w:tcMar>
            <w:vAlign w:val="center"/>
          </w:tcPr>
          <w:p w14:paraId="3284B37E" w14:textId="77777777" w:rsidR="00FD77DE" w:rsidRPr="00A36B68" w:rsidRDefault="00FD77DE"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27E6BF9E" w14:textId="322B2760" w:rsidR="00FD77DE" w:rsidRPr="00A36B68" w:rsidRDefault="00FD77DE" w:rsidP="00D20A1E">
            <w:pPr>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2648" w:type="dxa"/>
            <w:vAlign w:val="center"/>
          </w:tcPr>
          <w:p w14:paraId="5A51D7E1" w14:textId="12BBED8D" w:rsidR="00FD77DE" w:rsidRPr="00A36B68" w:rsidRDefault="00FD77DE" w:rsidP="00D20A1E">
            <w:pPr>
              <w:pStyle w:val="FootnoteText"/>
              <w:widowControl/>
              <w:tabs>
                <w:tab w:val="decimal" w:pos="1480"/>
              </w:tabs>
              <w:spacing w:before="40" w:after="40"/>
              <w:rPr>
                <w:rFonts w:eastAsia="Arial Unicode MS" w:cs="Arial"/>
              </w:rPr>
            </w:pPr>
            <w:r w:rsidRPr="00FD77DE">
              <w:rPr>
                <w:rFonts w:eastAsia="Arial Unicode MS" w:cs="Arial"/>
              </w:rPr>
              <w:t>117</w:t>
            </w:r>
          </w:p>
        </w:tc>
        <w:tc>
          <w:tcPr>
            <w:tcW w:w="2648" w:type="dxa"/>
            <w:noWrap/>
            <w:tcMar>
              <w:top w:w="12" w:type="dxa"/>
              <w:left w:w="12" w:type="dxa"/>
              <w:bottom w:w="0" w:type="dxa"/>
              <w:right w:w="12" w:type="dxa"/>
            </w:tcMar>
            <w:vAlign w:val="center"/>
          </w:tcPr>
          <w:p w14:paraId="10D3B785" w14:textId="0E530414" w:rsidR="00FD77DE" w:rsidRPr="00A36B68" w:rsidRDefault="00FD77DE" w:rsidP="00D20A1E">
            <w:pPr>
              <w:pStyle w:val="FootnoteText"/>
              <w:widowControl/>
              <w:tabs>
                <w:tab w:val="decimal" w:pos="1480"/>
              </w:tabs>
              <w:spacing w:before="40" w:after="40"/>
              <w:rPr>
                <w:rFonts w:eastAsia="Arial Unicode MS" w:cs="Arial"/>
              </w:rPr>
            </w:pPr>
            <w:r w:rsidRPr="00FD77DE">
              <w:rPr>
                <w:rFonts w:eastAsia="Arial Unicode MS" w:cs="Arial"/>
              </w:rPr>
              <w:t>105</w:t>
            </w:r>
          </w:p>
        </w:tc>
        <w:tc>
          <w:tcPr>
            <w:tcW w:w="2639" w:type="dxa"/>
            <w:shd w:val="clear" w:color="auto" w:fill="D9D9D9" w:themeFill="background1" w:themeFillShade="D9"/>
            <w:vAlign w:val="center"/>
          </w:tcPr>
          <w:p w14:paraId="2534288F" w14:textId="77777777" w:rsidR="00FD77DE" w:rsidRPr="00A36B68" w:rsidRDefault="00FD77DE" w:rsidP="00D20A1E">
            <w:pPr>
              <w:pStyle w:val="FootnoteText"/>
              <w:widowControl/>
              <w:tabs>
                <w:tab w:val="decimal" w:pos="1480"/>
              </w:tabs>
              <w:spacing w:before="40" w:after="40"/>
              <w:rPr>
                <w:rFonts w:eastAsia="Arial Unicode MS" w:cs="Arial"/>
              </w:rPr>
            </w:pPr>
          </w:p>
        </w:tc>
      </w:tr>
      <w:tr w:rsidR="00FD77DE" w:rsidRPr="00A36B68" w14:paraId="6D363BFC" w14:textId="77777777" w:rsidTr="00410C1B">
        <w:trPr>
          <w:trHeight w:val="264"/>
        </w:trPr>
        <w:tc>
          <w:tcPr>
            <w:tcW w:w="2986" w:type="dxa"/>
            <w:tcBorders>
              <w:top w:val="nil"/>
              <w:bottom w:val="nil"/>
            </w:tcBorders>
            <w:noWrap/>
            <w:tcMar>
              <w:top w:w="12" w:type="dxa"/>
              <w:left w:w="12" w:type="dxa"/>
              <w:bottom w:w="0" w:type="dxa"/>
              <w:right w:w="12" w:type="dxa"/>
            </w:tcMar>
            <w:vAlign w:val="center"/>
          </w:tcPr>
          <w:p w14:paraId="18A4F819" w14:textId="77777777" w:rsidR="00FD77DE" w:rsidRPr="00A36B68" w:rsidRDefault="00FD77DE"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0BCE9367" w14:textId="7B054261" w:rsidR="00FD77DE" w:rsidRPr="00A36B68" w:rsidRDefault="00FD77DE" w:rsidP="00D20A1E">
            <w:pPr>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2648" w:type="dxa"/>
            <w:vAlign w:val="center"/>
          </w:tcPr>
          <w:p w14:paraId="0EF9925D" w14:textId="5A8F4C6F" w:rsidR="00FD77DE" w:rsidRPr="00A36B68" w:rsidRDefault="00FD77DE" w:rsidP="00D20A1E">
            <w:pPr>
              <w:widowControl/>
              <w:tabs>
                <w:tab w:val="decimal" w:pos="1480"/>
              </w:tabs>
              <w:spacing w:before="40" w:after="40"/>
              <w:rPr>
                <w:rFonts w:eastAsia="Arial Unicode MS" w:cs="Arial"/>
                <w:sz w:val="20"/>
                <w:szCs w:val="20"/>
              </w:rPr>
            </w:pPr>
            <w:r w:rsidRPr="00FD77DE">
              <w:rPr>
                <w:rFonts w:eastAsia="Arial Unicode MS" w:cs="Arial"/>
                <w:sz w:val="20"/>
                <w:szCs w:val="20"/>
              </w:rPr>
              <w:t>161</w:t>
            </w:r>
          </w:p>
        </w:tc>
        <w:tc>
          <w:tcPr>
            <w:tcW w:w="2648" w:type="dxa"/>
            <w:noWrap/>
            <w:tcMar>
              <w:top w:w="12" w:type="dxa"/>
              <w:left w:w="12" w:type="dxa"/>
              <w:bottom w:w="0" w:type="dxa"/>
              <w:right w:w="12" w:type="dxa"/>
            </w:tcMar>
            <w:vAlign w:val="center"/>
          </w:tcPr>
          <w:p w14:paraId="1770B941" w14:textId="5E225E02" w:rsidR="00FD77DE" w:rsidRPr="00A36B68" w:rsidRDefault="00FD77DE" w:rsidP="00D20A1E">
            <w:pPr>
              <w:widowControl/>
              <w:tabs>
                <w:tab w:val="decimal" w:pos="1480"/>
              </w:tabs>
              <w:spacing w:before="40" w:after="40"/>
              <w:rPr>
                <w:rFonts w:eastAsia="Arial Unicode MS" w:cs="Arial"/>
                <w:sz w:val="20"/>
                <w:szCs w:val="20"/>
              </w:rPr>
            </w:pPr>
            <w:r w:rsidRPr="00FD77DE">
              <w:rPr>
                <w:rFonts w:eastAsia="Arial Unicode MS" w:cs="Arial"/>
                <w:sz w:val="20"/>
                <w:szCs w:val="20"/>
              </w:rPr>
              <w:t>105</w:t>
            </w:r>
          </w:p>
        </w:tc>
        <w:tc>
          <w:tcPr>
            <w:tcW w:w="2639" w:type="dxa"/>
            <w:shd w:val="clear" w:color="auto" w:fill="D9D9D9" w:themeFill="background1" w:themeFillShade="D9"/>
            <w:vAlign w:val="center"/>
          </w:tcPr>
          <w:p w14:paraId="5A7FA051" w14:textId="77777777" w:rsidR="00FD77DE" w:rsidRPr="00A36B68" w:rsidRDefault="00FD77DE" w:rsidP="00D20A1E">
            <w:pPr>
              <w:widowControl/>
              <w:tabs>
                <w:tab w:val="decimal" w:pos="1480"/>
              </w:tabs>
              <w:spacing w:before="40" w:after="40"/>
              <w:rPr>
                <w:rFonts w:eastAsia="Arial Unicode MS" w:cs="Arial"/>
                <w:sz w:val="20"/>
                <w:szCs w:val="20"/>
              </w:rPr>
            </w:pPr>
          </w:p>
        </w:tc>
      </w:tr>
      <w:tr w:rsidR="00FD77DE" w:rsidRPr="00A36B68" w14:paraId="5172E336" w14:textId="77777777" w:rsidTr="00536E90">
        <w:trPr>
          <w:trHeight w:val="264"/>
        </w:trPr>
        <w:tc>
          <w:tcPr>
            <w:tcW w:w="2986" w:type="dxa"/>
            <w:tcBorders>
              <w:top w:val="nil"/>
              <w:bottom w:val="single" w:sz="4" w:space="0" w:color="auto"/>
            </w:tcBorders>
            <w:noWrap/>
            <w:tcMar>
              <w:top w:w="12" w:type="dxa"/>
              <w:left w:w="12" w:type="dxa"/>
              <w:bottom w:w="0" w:type="dxa"/>
              <w:right w:w="12" w:type="dxa"/>
            </w:tcMar>
            <w:vAlign w:val="center"/>
          </w:tcPr>
          <w:p w14:paraId="54A8165A" w14:textId="77777777" w:rsidR="00FD77DE" w:rsidRPr="00A36B68" w:rsidRDefault="00FD77DE"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4F6E5270" w14:textId="77777777" w:rsidR="00FD77DE" w:rsidRPr="00A36B68" w:rsidRDefault="00FD77DE" w:rsidP="00D20A1E">
            <w:pPr>
              <w:widowControl/>
              <w:spacing w:before="40" w:after="40"/>
              <w:rPr>
                <w:rFonts w:eastAsia="Arial Unicode MS" w:cs="Arial"/>
                <w:sz w:val="20"/>
                <w:szCs w:val="20"/>
              </w:rPr>
            </w:pPr>
            <w:r w:rsidRPr="00A36B68">
              <w:rPr>
                <w:rFonts w:cs="Arial"/>
                <w:sz w:val="20"/>
                <w:szCs w:val="20"/>
              </w:rPr>
              <w:t>15 years and above</w:t>
            </w:r>
          </w:p>
        </w:tc>
        <w:tc>
          <w:tcPr>
            <w:tcW w:w="2648" w:type="dxa"/>
            <w:tcBorders>
              <w:bottom w:val="single" w:sz="4" w:space="0" w:color="auto"/>
            </w:tcBorders>
            <w:vAlign w:val="center"/>
          </w:tcPr>
          <w:p w14:paraId="565D6110" w14:textId="6CA36889" w:rsidR="00FD77DE" w:rsidRPr="00A36B68" w:rsidRDefault="00FD77DE" w:rsidP="00D20A1E">
            <w:pPr>
              <w:widowControl/>
              <w:tabs>
                <w:tab w:val="decimal" w:pos="1480"/>
              </w:tabs>
              <w:spacing w:before="40" w:after="40"/>
              <w:rPr>
                <w:rFonts w:eastAsia="Arial Unicode MS" w:cs="Arial"/>
                <w:sz w:val="20"/>
                <w:szCs w:val="20"/>
              </w:rPr>
            </w:pPr>
            <w:r w:rsidRPr="00FD77DE">
              <w:rPr>
                <w:rFonts w:eastAsia="Arial Unicode MS" w:cs="Arial"/>
                <w:sz w:val="20"/>
                <w:szCs w:val="20"/>
              </w:rPr>
              <w:t>125</w:t>
            </w:r>
          </w:p>
        </w:tc>
        <w:tc>
          <w:tcPr>
            <w:tcW w:w="2648" w:type="dxa"/>
            <w:shd w:val="clear" w:color="auto" w:fill="D9D9D9" w:themeFill="background1" w:themeFillShade="D9"/>
            <w:noWrap/>
            <w:tcMar>
              <w:top w:w="12" w:type="dxa"/>
              <w:left w:w="12" w:type="dxa"/>
              <w:bottom w:w="0" w:type="dxa"/>
              <w:right w:w="12" w:type="dxa"/>
            </w:tcMar>
            <w:vAlign w:val="center"/>
          </w:tcPr>
          <w:p w14:paraId="57617C80" w14:textId="77777777" w:rsidR="00FD77DE" w:rsidRPr="00A36B68" w:rsidRDefault="00FD77DE" w:rsidP="00D20A1E">
            <w:pPr>
              <w:widowControl/>
              <w:tabs>
                <w:tab w:val="decimal" w:pos="1480"/>
              </w:tabs>
              <w:spacing w:before="40" w:after="40"/>
              <w:rPr>
                <w:rFonts w:eastAsia="Arial Unicode MS" w:cs="Arial"/>
                <w:sz w:val="20"/>
                <w:szCs w:val="20"/>
              </w:rPr>
            </w:pPr>
          </w:p>
        </w:tc>
        <w:tc>
          <w:tcPr>
            <w:tcW w:w="2639" w:type="dxa"/>
            <w:shd w:val="clear" w:color="auto" w:fill="D9D9D9" w:themeFill="background1" w:themeFillShade="D9"/>
            <w:vAlign w:val="center"/>
          </w:tcPr>
          <w:p w14:paraId="51F22499" w14:textId="77777777" w:rsidR="00FD77DE" w:rsidRPr="00A36B68" w:rsidRDefault="00FD77DE" w:rsidP="00D20A1E">
            <w:pPr>
              <w:widowControl/>
              <w:tabs>
                <w:tab w:val="decimal" w:pos="1480"/>
              </w:tabs>
              <w:spacing w:before="40" w:after="40"/>
              <w:rPr>
                <w:rFonts w:eastAsia="Arial Unicode MS" w:cs="Arial"/>
                <w:sz w:val="20"/>
                <w:szCs w:val="20"/>
              </w:rPr>
            </w:pPr>
          </w:p>
        </w:tc>
      </w:tr>
      <w:tr w:rsidR="000D5096" w:rsidRPr="00A36B68" w14:paraId="4B2F4352" w14:textId="77777777" w:rsidTr="00536E90">
        <w:trPr>
          <w:trHeight w:val="264"/>
        </w:trPr>
        <w:tc>
          <w:tcPr>
            <w:tcW w:w="2986" w:type="dxa"/>
            <w:tcBorders>
              <w:bottom w:val="nil"/>
            </w:tcBorders>
            <w:noWrap/>
            <w:tcMar>
              <w:top w:w="12" w:type="dxa"/>
              <w:left w:w="12" w:type="dxa"/>
              <w:bottom w:w="0" w:type="dxa"/>
              <w:right w:w="12" w:type="dxa"/>
            </w:tcMar>
            <w:vAlign w:val="center"/>
          </w:tcPr>
          <w:p w14:paraId="4E6EAF9B"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lastRenderedPageBreak/>
              <w:t>Iodine (</w:t>
            </w:r>
            <w:r w:rsidRPr="00A36B68">
              <w:rPr>
                <w:rFonts w:eastAsia="Arial Unicode MS" w:cs="Arial"/>
                <w:sz w:val="20"/>
                <w:szCs w:val="20"/>
              </w:rPr>
              <w:t>µ</w:t>
            </w:r>
            <w:r w:rsidRPr="00A36B68">
              <w:rPr>
                <w:rFonts w:cs="Arial"/>
                <w:sz w:val="20"/>
                <w:szCs w:val="20"/>
              </w:rPr>
              <w:t>g)</w:t>
            </w:r>
          </w:p>
        </w:tc>
        <w:tc>
          <w:tcPr>
            <w:tcW w:w="3059" w:type="dxa"/>
            <w:tcMar>
              <w:top w:w="12" w:type="dxa"/>
              <w:left w:w="12" w:type="dxa"/>
              <w:bottom w:w="0" w:type="dxa"/>
              <w:right w:w="12" w:type="dxa"/>
            </w:tcMar>
            <w:vAlign w:val="center"/>
          </w:tcPr>
          <w:p w14:paraId="0753A2CE"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 years and above</w:t>
            </w:r>
          </w:p>
        </w:tc>
        <w:tc>
          <w:tcPr>
            <w:tcW w:w="2648" w:type="dxa"/>
            <w:shd w:val="clear" w:color="auto" w:fill="auto"/>
            <w:vAlign w:val="center"/>
          </w:tcPr>
          <w:p w14:paraId="2E9975FB" w14:textId="77777777" w:rsidR="000D5096" w:rsidRPr="00A36B68" w:rsidRDefault="000D5096" w:rsidP="00D20A1E">
            <w:pPr>
              <w:keepNext/>
              <w:keepLines/>
              <w:widowControl/>
              <w:tabs>
                <w:tab w:val="decimal" w:pos="1480"/>
              </w:tabs>
              <w:spacing w:before="40" w:after="40"/>
              <w:rPr>
                <w:rFonts w:eastAsia="Arial Unicode MS" w:cs="Arial"/>
                <w:sz w:val="20"/>
                <w:szCs w:val="20"/>
              </w:rPr>
            </w:pPr>
            <w:r>
              <w:rPr>
                <w:rFonts w:eastAsia="Arial Unicode MS" w:cs="Arial"/>
                <w:sz w:val="20"/>
                <w:szCs w:val="20"/>
              </w:rPr>
              <w:t>102</w:t>
            </w:r>
          </w:p>
        </w:tc>
        <w:tc>
          <w:tcPr>
            <w:tcW w:w="2648" w:type="dxa"/>
            <w:shd w:val="clear" w:color="auto" w:fill="D9D9D9" w:themeFill="background1" w:themeFillShade="D9"/>
            <w:noWrap/>
            <w:tcMar>
              <w:top w:w="12" w:type="dxa"/>
              <w:left w:w="12" w:type="dxa"/>
              <w:bottom w:w="0" w:type="dxa"/>
              <w:right w:w="12" w:type="dxa"/>
            </w:tcMar>
            <w:vAlign w:val="center"/>
          </w:tcPr>
          <w:p w14:paraId="504FDA0D" w14:textId="77777777" w:rsidR="000D5096" w:rsidRPr="00A36B68" w:rsidRDefault="000D5096" w:rsidP="00D20A1E">
            <w:pPr>
              <w:keepNext/>
              <w:keepLines/>
              <w:widowControl/>
              <w:tabs>
                <w:tab w:val="decimal" w:pos="1480"/>
              </w:tabs>
              <w:spacing w:before="40" w:after="40"/>
              <w:rPr>
                <w:rFonts w:eastAsia="Arial Unicode MS" w:cs="Arial"/>
                <w:sz w:val="20"/>
                <w:szCs w:val="20"/>
              </w:rPr>
            </w:pPr>
          </w:p>
        </w:tc>
        <w:tc>
          <w:tcPr>
            <w:tcW w:w="2639" w:type="dxa"/>
            <w:vAlign w:val="center"/>
          </w:tcPr>
          <w:p w14:paraId="226D0396" w14:textId="77777777" w:rsidR="000D5096" w:rsidRPr="00A36B68" w:rsidRDefault="000D5096" w:rsidP="00D20A1E">
            <w:pPr>
              <w:keepNext/>
              <w:keepLines/>
              <w:widowControl/>
              <w:tabs>
                <w:tab w:val="decimal" w:pos="1480"/>
              </w:tabs>
              <w:spacing w:before="40" w:after="40"/>
              <w:rPr>
                <w:rFonts w:eastAsia="Arial Unicode MS" w:cs="Arial"/>
                <w:sz w:val="20"/>
                <w:szCs w:val="20"/>
              </w:rPr>
            </w:pPr>
            <w:r w:rsidRPr="004C246E">
              <w:rPr>
                <w:rFonts w:eastAsia="Arial Unicode MS" w:cs="Arial"/>
                <w:sz w:val="20"/>
                <w:szCs w:val="20"/>
              </w:rPr>
              <w:t>17</w:t>
            </w:r>
            <w:r>
              <w:rPr>
                <w:rFonts w:eastAsia="Arial Unicode MS" w:cs="Arial"/>
                <w:sz w:val="20"/>
                <w:szCs w:val="20"/>
              </w:rPr>
              <w:t>2</w:t>
            </w:r>
          </w:p>
        </w:tc>
      </w:tr>
      <w:tr w:rsidR="000D5096" w:rsidRPr="00A36B68" w14:paraId="4FD61145" w14:textId="77777777" w:rsidTr="00536E90">
        <w:trPr>
          <w:trHeight w:val="264"/>
        </w:trPr>
        <w:tc>
          <w:tcPr>
            <w:tcW w:w="2986" w:type="dxa"/>
            <w:tcBorders>
              <w:top w:val="nil"/>
              <w:bottom w:val="nil"/>
            </w:tcBorders>
            <w:noWrap/>
            <w:tcMar>
              <w:top w:w="12" w:type="dxa"/>
              <w:left w:w="12" w:type="dxa"/>
              <w:bottom w:w="0" w:type="dxa"/>
              <w:right w:w="12" w:type="dxa"/>
            </w:tcMar>
            <w:vAlign w:val="center"/>
          </w:tcPr>
          <w:p w14:paraId="6F36729C" w14:textId="77777777" w:rsidR="000D5096" w:rsidRPr="00A36B68" w:rsidRDefault="000D5096" w:rsidP="00D20A1E">
            <w:pPr>
              <w:keepNext/>
              <w:keepLines/>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16D7B200" w14:textId="5786D61F"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2648" w:type="dxa"/>
            <w:shd w:val="clear" w:color="auto" w:fill="auto"/>
            <w:vAlign w:val="center"/>
          </w:tcPr>
          <w:p w14:paraId="6BD4700E"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Pr>
                <w:rFonts w:eastAsia="Arial Unicode MS" w:cs="Arial"/>
              </w:rPr>
              <w:t>91</w:t>
            </w:r>
          </w:p>
        </w:tc>
        <w:tc>
          <w:tcPr>
            <w:tcW w:w="2648" w:type="dxa"/>
            <w:noWrap/>
            <w:tcMar>
              <w:top w:w="12" w:type="dxa"/>
              <w:left w:w="12" w:type="dxa"/>
              <w:bottom w:w="0" w:type="dxa"/>
              <w:right w:w="12" w:type="dxa"/>
            </w:tcMar>
            <w:vAlign w:val="center"/>
          </w:tcPr>
          <w:p w14:paraId="4FDBC2EB" w14:textId="0C3D936F" w:rsidR="000D5096" w:rsidRPr="00A36B68" w:rsidRDefault="000D5096" w:rsidP="00D20A1E">
            <w:pPr>
              <w:pStyle w:val="FootnoteText"/>
              <w:keepNext/>
              <w:keepLines/>
              <w:widowControl/>
              <w:tabs>
                <w:tab w:val="decimal" w:pos="1480"/>
              </w:tabs>
              <w:spacing w:before="40" w:after="40"/>
              <w:rPr>
                <w:rFonts w:eastAsia="Arial Unicode MS" w:cs="Arial"/>
              </w:rPr>
            </w:pPr>
            <w:r>
              <w:rPr>
                <w:rFonts w:eastAsia="Arial Unicode MS" w:cs="Arial"/>
              </w:rPr>
              <w:t>12</w:t>
            </w:r>
            <w:r w:rsidR="0072004A">
              <w:rPr>
                <w:rFonts w:eastAsia="Arial Unicode MS" w:cs="Arial"/>
              </w:rPr>
              <w:t>3</w:t>
            </w:r>
          </w:p>
        </w:tc>
        <w:tc>
          <w:tcPr>
            <w:tcW w:w="2639" w:type="dxa"/>
            <w:shd w:val="clear" w:color="auto" w:fill="D9D9D9" w:themeFill="background1" w:themeFillShade="D9"/>
            <w:vAlign w:val="center"/>
          </w:tcPr>
          <w:p w14:paraId="3CD1988C" w14:textId="77777777" w:rsidR="000D5096" w:rsidRPr="00A36B68" w:rsidRDefault="000D5096" w:rsidP="00D20A1E">
            <w:pPr>
              <w:pStyle w:val="FootnoteText"/>
              <w:keepNext/>
              <w:keepLines/>
              <w:widowControl/>
              <w:tabs>
                <w:tab w:val="decimal" w:pos="1480"/>
              </w:tabs>
              <w:spacing w:before="40" w:after="40"/>
              <w:rPr>
                <w:rFonts w:eastAsia="Arial Unicode MS" w:cs="Arial"/>
              </w:rPr>
            </w:pPr>
          </w:p>
        </w:tc>
      </w:tr>
      <w:tr w:rsidR="000D5096" w:rsidRPr="00A36B68" w14:paraId="72FC7F25" w14:textId="77777777" w:rsidTr="00536E90">
        <w:trPr>
          <w:trHeight w:val="264"/>
        </w:trPr>
        <w:tc>
          <w:tcPr>
            <w:tcW w:w="2986" w:type="dxa"/>
            <w:tcBorders>
              <w:top w:val="nil"/>
              <w:bottom w:val="nil"/>
            </w:tcBorders>
            <w:noWrap/>
            <w:tcMar>
              <w:top w:w="12" w:type="dxa"/>
              <w:left w:w="12" w:type="dxa"/>
              <w:bottom w:w="0" w:type="dxa"/>
              <w:right w:w="12" w:type="dxa"/>
            </w:tcMar>
            <w:vAlign w:val="center"/>
          </w:tcPr>
          <w:p w14:paraId="626158CF" w14:textId="77777777" w:rsidR="000D5096" w:rsidRPr="00A36B68" w:rsidRDefault="000D5096" w:rsidP="00D20A1E">
            <w:pPr>
              <w:keepNext/>
              <w:keepLines/>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4B98E7BF" w14:textId="6C2A97AC"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2648" w:type="dxa"/>
            <w:shd w:val="clear" w:color="auto" w:fill="auto"/>
            <w:vAlign w:val="center"/>
          </w:tcPr>
          <w:p w14:paraId="43FF6F77" w14:textId="77777777" w:rsidR="000D5096" w:rsidRPr="00A36B68" w:rsidRDefault="000D5096" w:rsidP="00D20A1E">
            <w:pPr>
              <w:keepNext/>
              <w:keepLines/>
              <w:widowControl/>
              <w:tabs>
                <w:tab w:val="decimal" w:pos="1480"/>
              </w:tabs>
              <w:spacing w:before="40" w:after="40"/>
              <w:rPr>
                <w:rFonts w:eastAsia="Arial Unicode MS" w:cs="Arial"/>
                <w:sz w:val="20"/>
                <w:szCs w:val="20"/>
              </w:rPr>
            </w:pPr>
            <w:r>
              <w:rPr>
                <w:rFonts w:eastAsia="Arial Unicode MS" w:cs="Arial"/>
                <w:sz w:val="20"/>
                <w:szCs w:val="20"/>
              </w:rPr>
              <w:t>98</w:t>
            </w:r>
          </w:p>
        </w:tc>
        <w:tc>
          <w:tcPr>
            <w:tcW w:w="2648" w:type="dxa"/>
            <w:noWrap/>
            <w:tcMar>
              <w:top w:w="12" w:type="dxa"/>
              <w:left w:w="12" w:type="dxa"/>
              <w:bottom w:w="0" w:type="dxa"/>
              <w:right w:w="12" w:type="dxa"/>
            </w:tcMar>
            <w:vAlign w:val="center"/>
          </w:tcPr>
          <w:p w14:paraId="39640358" w14:textId="4E917A27" w:rsidR="000D5096" w:rsidRPr="00A36B68" w:rsidRDefault="000D5096" w:rsidP="00D20A1E">
            <w:pPr>
              <w:keepNext/>
              <w:keepLines/>
              <w:widowControl/>
              <w:tabs>
                <w:tab w:val="decimal" w:pos="1480"/>
              </w:tabs>
              <w:spacing w:before="40" w:after="40"/>
              <w:rPr>
                <w:rFonts w:eastAsia="Arial Unicode MS" w:cs="Arial"/>
                <w:sz w:val="20"/>
                <w:szCs w:val="20"/>
              </w:rPr>
            </w:pPr>
            <w:r>
              <w:rPr>
                <w:rFonts w:eastAsia="Arial Unicode MS" w:cs="Arial"/>
                <w:sz w:val="20"/>
                <w:szCs w:val="20"/>
              </w:rPr>
              <w:t>13</w:t>
            </w:r>
            <w:r w:rsidR="0072004A">
              <w:rPr>
                <w:rFonts w:eastAsia="Arial Unicode MS" w:cs="Arial"/>
                <w:sz w:val="20"/>
                <w:szCs w:val="20"/>
              </w:rPr>
              <w:t>2</w:t>
            </w:r>
          </w:p>
        </w:tc>
        <w:tc>
          <w:tcPr>
            <w:tcW w:w="2639" w:type="dxa"/>
            <w:shd w:val="clear" w:color="auto" w:fill="D9D9D9" w:themeFill="background1" w:themeFillShade="D9"/>
            <w:vAlign w:val="center"/>
          </w:tcPr>
          <w:p w14:paraId="4CE11C03" w14:textId="77777777" w:rsidR="000D5096" w:rsidRPr="00A36B68" w:rsidRDefault="000D5096" w:rsidP="00D20A1E">
            <w:pPr>
              <w:keepNext/>
              <w:keepLines/>
              <w:widowControl/>
              <w:tabs>
                <w:tab w:val="decimal" w:pos="1480"/>
              </w:tabs>
              <w:spacing w:before="40" w:after="40"/>
              <w:rPr>
                <w:rFonts w:eastAsia="Arial Unicode MS" w:cs="Arial"/>
                <w:sz w:val="20"/>
                <w:szCs w:val="20"/>
              </w:rPr>
            </w:pPr>
          </w:p>
        </w:tc>
      </w:tr>
      <w:tr w:rsidR="000D5096" w:rsidRPr="00A36B68" w14:paraId="72BD5BAD" w14:textId="77777777" w:rsidTr="00536E90">
        <w:trPr>
          <w:trHeight w:val="264"/>
        </w:trPr>
        <w:tc>
          <w:tcPr>
            <w:tcW w:w="2986" w:type="dxa"/>
            <w:tcBorders>
              <w:top w:val="nil"/>
              <w:bottom w:val="single" w:sz="4" w:space="0" w:color="auto"/>
            </w:tcBorders>
            <w:noWrap/>
            <w:tcMar>
              <w:top w:w="12" w:type="dxa"/>
              <w:left w:w="12" w:type="dxa"/>
              <w:bottom w:w="0" w:type="dxa"/>
              <w:right w:w="12" w:type="dxa"/>
            </w:tcMar>
            <w:vAlign w:val="center"/>
          </w:tcPr>
          <w:p w14:paraId="5BA6A966" w14:textId="77777777" w:rsidR="000D5096" w:rsidRPr="00A36B68" w:rsidRDefault="000D5096" w:rsidP="00D20A1E">
            <w:pPr>
              <w:keepNext/>
              <w:keepLines/>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23BD8ABE"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2648" w:type="dxa"/>
            <w:shd w:val="clear" w:color="auto" w:fill="auto"/>
            <w:vAlign w:val="center"/>
          </w:tcPr>
          <w:p w14:paraId="398068F3" w14:textId="77777777" w:rsidR="000D5096" w:rsidRPr="00A36B68" w:rsidRDefault="000D5096" w:rsidP="00D20A1E">
            <w:pPr>
              <w:keepNext/>
              <w:keepLines/>
              <w:widowControl/>
              <w:tabs>
                <w:tab w:val="decimal" w:pos="1480"/>
              </w:tabs>
              <w:spacing w:before="40" w:after="40"/>
              <w:rPr>
                <w:rFonts w:eastAsia="Arial Unicode MS" w:cs="Arial"/>
                <w:sz w:val="20"/>
                <w:szCs w:val="20"/>
              </w:rPr>
            </w:pPr>
            <w:r w:rsidRPr="00736F1D">
              <w:rPr>
                <w:rFonts w:eastAsia="Arial Unicode MS" w:cs="Arial"/>
                <w:sz w:val="20"/>
                <w:szCs w:val="20"/>
              </w:rPr>
              <w:t>104</w:t>
            </w:r>
          </w:p>
        </w:tc>
        <w:tc>
          <w:tcPr>
            <w:tcW w:w="2648" w:type="dxa"/>
            <w:shd w:val="clear" w:color="auto" w:fill="D9D9D9" w:themeFill="background1" w:themeFillShade="D9"/>
            <w:noWrap/>
            <w:tcMar>
              <w:top w:w="12" w:type="dxa"/>
              <w:left w:w="12" w:type="dxa"/>
              <w:bottom w:w="0" w:type="dxa"/>
              <w:right w:w="12" w:type="dxa"/>
            </w:tcMar>
            <w:vAlign w:val="center"/>
          </w:tcPr>
          <w:p w14:paraId="0E470886" w14:textId="77777777" w:rsidR="000D5096" w:rsidRPr="00A36B68" w:rsidRDefault="000D5096" w:rsidP="00D20A1E">
            <w:pPr>
              <w:keepNext/>
              <w:keepLines/>
              <w:widowControl/>
              <w:tabs>
                <w:tab w:val="decimal" w:pos="1480"/>
              </w:tabs>
              <w:spacing w:before="40" w:after="40"/>
              <w:rPr>
                <w:rFonts w:eastAsia="Arial Unicode MS" w:cs="Arial"/>
                <w:sz w:val="20"/>
                <w:szCs w:val="20"/>
              </w:rPr>
            </w:pPr>
          </w:p>
        </w:tc>
        <w:tc>
          <w:tcPr>
            <w:tcW w:w="2639" w:type="dxa"/>
            <w:shd w:val="clear" w:color="auto" w:fill="D9D9D9" w:themeFill="background1" w:themeFillShade="D9"/>
            <w:vAlign w:val="center"/>
          </w:tcPr>
          <w:p w14:paraId="561EB2C7" w14:textId="77777777" w:rsidR="000D5096" w:rsidRPr="00A36B68" w:rsidRDefault="000D5096" w:rsidP="00D20A1E">
            <w:pPr>
              <w:keepNext/>
              <w:keepLines/>
              <w:widowControl/>
              <w:tabs>
                <w:tab w:val="decimal" w:pos="1480"/>
              </w:tabs>
              <w:spacing w:before="40" w:after="40"/>
              <w:rPr>
                <w:rFonts w:eastAsia="Arial Unicode MS" w:cs="Arial"/>
                <w:sz w:val="20"/>
                <w:szCs w:val="20"/>
              </w:rPr>
            </w:pPr>
          </w:p>
        </w:tc>
      </w:tr>
      <w:tr w:rsidR="000D5096" w:rsidRPr="00A36B68" w14:paraId="2567B948" w14:textId="77777777" w:rsidTr="00804C57">
        <w:trPr>
          <w:trHeight w:val="264"/>
        </w:trPr>
        <w:tc>
          <w:tcPr>
            <w:tcW w:w="2986" w:type="dxa"/>
            <w:tcBorders>
              <w:bottom w:val="nil"/>
            </w:tcBorders>
            <w:noWrap/>
            <w:tcMar>
              <w:top w:w="12" w:type="dxa"/>
              <w:left w:w="12" w:type="dxa"/>
              <w:bottom w:w="0" w:type="dxa"/>
              <w:right w:w="12" w:type="dxa"/>
            </w:tcMar>
            <w:vAlign w:val="center"/>
          </w:tcPr>
          <w:p w14:paraId="6572DE74"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Magnesium (mg)</w:t>
            </w:r>
          </w:p>
        </w:tc>
        <w:tc>
          <w:tcPr>
            <w:tcW w:w="3059" w:type="dxa"/>
            <w:tcMar>
              <w:top w:w="12" w:type="dxa"/>
              <w:left w:w="12" w:type="dxa"/>
              <w:bottom w:w="0" w:type="dxa"/>
              <w:right w:w="12" w:type="dxa"/>
            </w:tcMar>
            <w:vAlign w:val="center"/>
          </w:tcPr>
          <w:p w14:paraId="02CCE37B"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2 years and above</w:t>
            </w:r>
          </w:p>
        </w:tc>
        <w:tc>
          <w:tcPr>
            <w:tcW w:w="2648" w:type="dxa"/>
            <w:vAlign w:val="center"/>
          </w:tcPr>
          <w:p w14:paraId="093FA946" w14:textId="77777777" w:rsidR="000D5096" w:rsidRPr="00A36B68" w:rsidRDefault="000D5096" w:rsidP="00D20A1E">
            <w:pPr>
              <w:widowControl/>
              <w:tabs>
                <w:tab w:val="decimal" w:pos="1480"/>
              </w:tabs>
              <w:spacing w:before="40" w:after="40"/>
              <w:rPr>
                <w:rFonts w:eastAsia="Arial Unicode MS" w:cs="Arial"/>
                <w:sz w:val="20"/>
                <w:szCs w:val="20"/>
              </w:rPr>
            </w:pPr>
            <w:r>
              <w:rPr>
                <w:rFonts w:eastAsia="Arial Unicode MS" w:cs="Arial"/>
                <w:sz w:val="20"/>
                <w:szCs w:val="20"/>
              </w:rPr>
              <w:t>314</w:t>
            </w:r>
          </w:p>
        </w:tc>
        <w:tc>
          <w:tcPr>
            <w:tcW w:w="2648" w:type="dxa"/>
            <w:shd w:val="clear" w:color="auto" w:fill="D9D9D9" w:themeFill="background1" w:themeFillShade="D9"/>
            <w:noWrap/>
            <w:tcMar>
              <w:top w:w="12" w:type="dxa"/>
              <w:left w:w="12" w:type="dxa"/>
              <w:bottom w:w="0" w:type="dxa"/>
              <w:right w:w="12" w:type="dxa"/>
            </w:tcMar>
            <w:vAlign w:val="center"/>
          </w:tcPr>
          <w:p w14:paraId="6A4D8FC3" w14:textId="77777777" w:rsidR="000D5096" w:rsidRPr="00A36B68" w:rsidRDefault="000D5096" w:rsidP="00D20A1E">
            <w:pPr>
              <w:widowControl/>
              <w:tabs>
                <w:tab w:val="decimal" w:pos="1480"/>
              </w:tabs>
              <w:spacing w:before="40" w:after="40"/>
              <w:rPr>
                <w:rFonts w:eastAsia="Arial Unicode MS" w:cs="Arial"/>
                <w:sz w:val="20"/>
                <w:szCs w:val="20"/>
              </w:rPr>
            </w:pPr>
          </w:p>
        </w:tc>
        <w:tc>
          <w:tcPr>
            <w:tcW w:w="2639" w:type="dxa"/>
            <w:vAlign w:val="center"/>
          </w:tcPr>
          <w:p w14:paraId="3C91188D" w14:textId="77777777" w:rsidR="000D5096" w:rsidRPr="00A36B68" w:rsidRDefault="000D5096" w:rsidP="00D20A1E">
            <w:pPr>
              <w:widowControl/>
              <w:tabs>
                <w:tab w:val="decimal" w:pos="1480"/>
              </w:tabs>
              <w:spacing w:before="40" w:after="40"/>
              <w:rPr>
                <w:rFonts w:eastAsia="Arial Unicode MS" w:cs="Arial"/>
                <w:sz w:val="20"/>
                <w:szCs w:val="20"/>
              </w:rPr>
            </w:pPr>
            <w:r w:rsidRPr="004C246E">
              <w:rPr>
                <w:rFonts w:eastAsia="Arial Unicode MS" w:cs="Arial"/>
                <w:sz w:val="20"/>
                <w:szCs w:val="20"/>
              </w:rPr>
              <w:t>320</w:t>
            </w:r>
          </w:p>
        </w:tc>
      </w:tr>
      <w:tr w:rsidR="000D5096" w:rsidRPr="00A36B68" w14:paraId="31C41B77"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173BD3C1" w14:textId="77777777" w:rsidR="000D5096" w:rsidRPr="00A36B68" w:rsidRDefault="000D5096"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6D37495C" w14:textId="0AE27635" w:rsidR="000D5096" w:rsidRPr="00A36B68" w:rsidRDefault="000D5096" w:rsidP="00D20A1E">
            <w:pPr>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2648" w:type="dxa"/>
            <w:vAlign w:val="center"/>
          </w:tcPr>
          <w:p w14:paraId="7D063BBD" w14:textId="77777777" w:rsidR="000D5096" w:rsidRPr="00A36B68" w:rsidRDefault="000D5096" w:rsidP="00D20A1E">
            <w:pPr>
              <w:widowControl/>
              <w:tabs>
                <w:tab w:val="decimal" w:pos="1480"/>
              </w:tabs>
              <w:spacing w:before="40" w:after="40"/>
              <w:rPr>
                <w:rFonts w:eastAsia="Arial Unicode MS" w:cs="Arial"/>
                <w:sz w:val="20"/>
                <w:szCs w:val="20"/>
              </w:rPr>
            </w:pPr>
            <w:r>
              <w:rPr>
                <w:rFonts w:eastAsia="Arial Unicode MS" w:cs="Arial"/>
                <w:sz w:val="20"/>
                <w:szCs w:val="20"/>
              </w:rPr>
              <w:t>202</w:t>
            </w:r>
          </w:p>
        </w:tc>
        <w:tc>
          <w:tcPr>
            <w:tcW w:w="2648" w:type="dxa"/>
            <w:noWrap/>
            <w:tcMar>
              <w:top w:w="12" w:type="dxa"/>
              <w:left w:w="12" w:type="dxa"/>
              <w:bottom w:w="0" w:type="dxa"/>
              <w:right w:w="12" w:type="dxa"/>
            </w:tcMar>
            <w:vAlign w:val="center"/>
          </w:tcPr>
          <w:p w14:paraId="732EC276" w14:textId="536B5408" w:rsidR="000D5096" w:rsidRPr="00A36B68" w:rsidRDefault="000D5096" w:rsidP="00D20A1E">
            <w:pPr>
              <w:widowControl/>
              <w:tabs>
                <w:tab w:val="decimal" w:pos="1480"/>
              </w:tabs>
              <w:spacing w:before="40" w:after="40"/>
              <w:rPr>
                <w:rFonts w:eastAsia="Arial Unicode MS" w:cs="Arial"/>
                <w:sz w:val="20"/>
                <w:szCs w:val="20"/>
              </w:rPr>
            </w:pPr>
            <w:r>
              <w:rPr>
                <w:rFonts w:eastAsia="Arial Unicode MS" w:cs="Arial"/>
                <w:sz w:val="20"/>
                <w:szCs w:val="20"/>
              </w:rPr>
              <w:t>23</w:t>
            </w:r>
            <w:r w:rsidR="0072004A">
              <w:rPr>
                <w:rFonts w:eastAsia="Arial Unicode MS" w:cs="Arial"/>
                <w:sz w:val="20"/>
                <w:szCs w:val="20"/>
              </w:rPr>
              <w:t>3</w:t>
            </w:r>
          </w:p>
        </w:tc>
        <w:tc>
          <w:tcPr>
            <w:tcW w:w="2639" w:type="dxa"/>
            <w:shd w:val="clear" w:color="auto" w:fill="D9D9D9" w:themeFill="background1" w:themeFillShade="D9"/>
            <w:vAlign w:val="center"/>
          </w:tcPr>
          <w:p w14:paraId="63E70BFF" w14:textId="77777777" w:rsidR="000D5096" w:rsidRPr="00A36B68" w:rsidRDefault="000D5096" w:rsidP="00D20A1E">
            <w:pPr>
              <w:widowControl/>
              <w:tabs>
                <w:tab w:val="decimal" w:pos="1480"/>
              </w:tabs>
              <w:spacing w:before="40" w:after="40"/>
              <w:rPr>
                <w:rFonts w:eastAsia="Arial Unicode MS" w:cs="Arial"/>
                <w:sz w:val="20"/>
                <w:szCs w:val="20"/>
              </w:rPr>
            </w:pPr>
          </w:p>
        </w:tc>
      </w:tr>
      <w:tr w:rsidR="000D5096" w:rsidRPr="00A36B68" w14:paraId="07580E2B"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4B5E784D" w14:textId="77777777" w:rsidR="000D5096" w:rsidRPr="00A36B68" w:rsidRDefault="000D5096"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0239F42C" w14:textId="584D2D29" w:rsidR="000D5096" w:rsidRPr="00A36B68" w:rsidRDefault="000D5096" w:rsidP="00D20A1E">
            <w:pPr>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2648" w:type="dxa"/>
            <w:vAlign w:val="center"/>
          </w:tcPr>
          <w:p w14:paraId="0458F96E" w14:textId="77777777" w:rsidR="000D5096" w:rsidRPr="00A36B68" w:rsidRDefault="000D5096" w:rsidP="00D20A1E">
            <w:pPr>
              <w:widowControl/>
              <w:tabs>
                <w:tab w:val="decimal" w:pos="1480"/>
              </w:tabs>
              <w:spacing w:before="40" w:after="40"/>
              <w:rPr>
                <w:rFonts w:eastAsia="Arial Unicode MS" w:cs="Arial"/>
                <w:sz w:val="20"/>
                <w:szCs w:val="20"/>
              </w:rPr>
            </w:pPr>
            <w:r>
              <w:rPr>
                <w:rFonts w:eastAsia="Arial Unicode MS" w:cs="Arial"/>
                <w:sz w:val="20"/>
                <w:szCs w:val="20"/>
              </w:rPr>
              <w:t>256</w:t>
            </w:r>
          </w:p>
        </w:tc>
        <w:tc>
          <w:tcPr>
            <w:tcW w:w="2648" w:type="dxa"/>
            <w:noWrap/>
            <w:tcMar>
              <w:top w:w="12" w:type="dxa"/>
              <w:left w:w="12" w:type="dxa"/>
              <w:bottom w:w="0" w:type="dxa"/>
              <w:right w:w="12" w:type="dxa"/>
            </w:tcMar>
            <w:vAlign w:val="center"/>
          </w:tcPr>
          <w:p w14:paraId="6465A257" w14:textId="6EBD6EC5" w:rsidR="000D5096" w:rsidRPr="00A36B68" w:rsidRDefault="000D5096" w:rsidP="00D20A1E">
            <w:pPr>
              <w:widowControl/>
              <w:tabs>
                <w:tab w:val="decimal" w:pos="1480"/>
              </w:tabs>
              <w:spacing w:before="40" w:after="40"/>
              <w:rPr>
                <w:rFonts w:eastAsia="Arial Unicode MS" w:cs="Arial"/>
                <w:sz w:val="20"/>
                <w:szCs w:val="20"/>
              </w:rPr>
            </w:pPr>
            <w:r>
              <w:rPr>
                <w:rFonts w:eastAsia="Arial Unicode MS" w:cs="Arial"/>
                <w:sz w:val="20"/>
                <w:szCs w:val="20"/>
              </w:rPr>
              <w:t>28</w:t>
            </w:r>
            <w:r w:rsidR="0072004A">
              <w:rPr>
                <w:rFonts w:eastAsia="Arial Unicode MS" w:cs="Arial"/>
                <w:sz w:val="20"/>
                <w:szCs w:val="20"/>
              </w:rPr>
              <w:t>8</w:t>
            </w:r>
          </w:p>
        </w:tc>
        <w:tc>
          <w:tcPr>
            <w:tcW w:w="2639" w:type="dxa"/>
            <w:shd w:val="clear" w:color="auto" w:fill="D9D9D9" w:themeFill="background1" w:themeFillShade="D9"/>
            <w:vAlign w:val="center"/>
          </w:tcPr>
          <w:p w14:paraId="2A11C8FB" w14:textId="77777777" w:rsidR="000D5096" w:rsidRPr="00A36B68" w:rsidRDefault="000D5096" w:rsidP="00D20A1E">
            <w:pPr>
              <w:widowControl/>
              <w:tabs>
                <w:tab w:val="decimal" w:pos="1480"/>
              </w:tabs>
              <w:spacing w:before="40" w:after="40"/>
              <w:rPr>
                <w:rFonts w:eastAsia="Arial Unicode MS" w:cs="Arial"/>
                <w:sz w:val="20"/>
                <w:szCs w:val="20"/>
              </w:rPr>
            </w:pPr>
          </w:p>
        </w:tc>
      </w:tr>
      <w:tr w:rsidR="000D5096" w:rsidRPr="00A36B68" w14:paraId="373BD94B" w14:textId="77777777" w:rsidTr="00804C57">
        <w:trPr>
          <w:trHeight w:val="264"/>
        </w:trPr>
        <w:tc>
          <w:tcPr>
            <w:tcW w:w="2986" w:type="dxa"/>
            <w:tcBorders>
              <w:top w:val="nil"/>
              <w:bottom w:val="single" w:sz="4" w:space="0" w:color="auto"/>
            </w:tcBorders>
            <w:noWrap/>
            <w:tcMar>
              <w:top w:w="12" w:type="dxa"/>
              <w:left w:w="12" w:type="dxa"/>
              <w:bottom w:w="0" w:type="dxa"/>
              <w:right w:w="12" w:type="dxa"/>
            </w:tcMar>
            <w:vAlign w:val="center"/>
          </w:tcPr>
          <w:p w14:paraId="582437F3" w14:textId="77777777" w:rsidR="000D5096" w:rsidRPr="00A36B68" w:rsidRDefault="000D5096"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00834531"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15 years and above</w:t>
            </w:r>
          </w:p>
        </w:tc>
        <w:tc>
          <w:tcPr>
            <w:tcW w:w="2648" w:type="dxa"/>
            <w:vAlign w:val="center"/>
          </w:tcPr>
          <w:p w14:paraId="47020918" w14:textId="77777777" w:rsidR="000D5096" w:rsidRPr="00A36B68" w:rsidRDefault="000D5096" w:rsidP="00D20A1E">
            <w:pPr>
              <w:widowControl/>
              <w:tabs>
                <w:tab w:val="decimal" w:pos="1480"/>
              </w:tabs>
              <w:spacing w:before="40" w:after="40"/>
              <w:rPr>
                <w:rFonts w:eastAsia="Arial Unicode MS" w:cs="Arial"/>
                <w:sz w:val="20"/>
                <w:szCs w:val="20"/>
              </w:rPr>
            </w:pPr>
            <w:r>
              <w:rPr>
                <w:rFonts w:eastAsia="Arial Unicode MS" w:cs="Arial"/>
                <w:sz w:val="20"/>
                <w:szCs w:val="20"/>
              </w:rPr>
              <w:t>329</w:t>
            </w:r>
          </w:p>
        </w:tc>
        <w:tc>
          <w:tcPr>
            <w:tcW w:w="2648" w:type="dxa"/>
            <w:shd w:val="clear" w:color="auto" w:fill="D9D9D9" w:themeFill="background1" w:themeFillShade="D9"/>
            <w:noWrap/>
            <w:tcMar>
              <w:top w:w="12" w:type="dxa"/>
              <w:left w:w="12" w:type="dxa"/>
              <w:bottom w:w="0" w:type="dxa"/>
              <w:right w:w="12" w:type="dxa"/>
            </w:tcMar>
            <w:vAlign w:val="center"/>
          </w:tcPr>
          <w:p w14:paraId="3423C293" w14:textId="77777777" w:rsidR="000D5096" w:rsidRPr="00A36B68" w:rsidRDefault="000D5096" w:rsidP="00D20A1E">
            <w:pPr>
              <w:widowControl/>
              <w:tabs>
                <w:tab w:val="decimal" w:pos="1480"/>
              </w:tabs>
              <w:spacing w:before="40" w:after="40"/>
              <w:rPr>
                <w:rFonts w:eastAsia="Arial Unicode MS" w:cs="Arial"/>
                <w:sz w:val="20"/>
                <w:szCs w:val="20"/>
              </w:rPr>
            </w:pPr>
          </w:p>
        </w:tc>
        <w:tc>
          <w:tcPr>
            <w:tcW w:w="2639" w:type="dxa"/>
            <w:shd w:val="clear" w:color="auto" w:fill="D9D9D9" w:themeFill="background1" w:themeFillShade="D9"/>
            <w:vAlign w:val="center"/>
          </w:tcPr>
          <w:p w14:paraId="5AEC5313" w14:textId="77777777" w:rsidR="000D5096" w:rsidRPr="00A36B68" w:rsidRDefault="000D5096" w:rsidP="00D20A1E">
            <w:pPr>
              <w:widowControl/>
              <w:tabs>
                <w:tab w:val="decimal" w:pos="1480"/>
              </w:tabs>
              <w:spacing w:before="40" w:after="40"/>
              <w:rPr>
                <w:rFonts w:eastAsia="Arial Unicode MS" w:cs="Arial"/>
                <w:sz w:val="20"/>
                <w:szCs w:val="20"/>
              </w:rPr>
            </w:pPr>
          </w:p>
        </w:tc>
      </w:tr>
      <w:tr w:rsidR="000D5096" w:rsidRPr="00A36B68" w14:paraId="56D20ABE" w14:textId="77777777" w:rsidTr="00804C57">
        <w:trPr>
          <w:trHeight w:val="264"/>
        </w:trPr>
        <w:tc>
          <w:tcPr>
            <w:tcW w:w="2986" w:type="dxa"/>
            <w:tcBorders>
              <w:bottom w:val="nil"/>
            </w:tcBorders>
            <w:noWrap/>
            <w:tcMar>
              <w:top w:w="12" w:type="dxa"/>
              <w:left w:w="12" w:type="dxa"/>
              <w:bottom w:w="0" w:type="dxa"/>
              <w:right w:w="12" w:type="dxa"/>
            </w:tcMar>
            <w:vAlign w:val="center"/>
          </w:tcPr>
          <w:p w14:paraId="0E0BE079"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Phosphorus (mg)</w:t>
            </w:r>
          </w:p>
        </w:tc>
        <w:tc>
          <w:tcPr>
            <w:tcW w:w="3059" w:type="dxa"/>
            <w:tcMar>
              <w:top w:w="12" w:type="dxa"/>
              <w:left w:w="12" w:type="dxa"/>
              <w:bottom w:w="0" w:type="dxa"/>
              <w:right w:w="12" w:type="dxa"/>
            </w:tcMar>
            <w:vAlign w:val="center"/>
          </w:tcPr>
          <w:p w14:paraId="78AF4DB5"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 years and above</w:t>
            </w:r>
          </w:p>
        </w:tc>
        <w:tc>
          <w:tcPr>
            <w:tcW w:w="2648" w:type="dxa"/>
            <w:vAlign w:val="center"/>
          </w:tcPr>
          <w:p w14:paraId="78450B17" w14:textId="77777777" w:rsidR="000D5096" w:rsidRPr="00A36B68" w:rsidRDefault="000D5096" w:rsidP="00D20A1E">
            <w:pPr>
              <w:keepNext/>
              <w:keepLines/>
              <w:widowControl/>
              <w:tabs>
                <w:tab w:val="decimal" w:pos="1480"/>
              </w:tabs>
              <w:spacing w:before="40" w:after="40"/>
              <w:rPr>
                <w:rFonts w:eastAsia="Arial Unicode MS" w:cs="Arial"/>
                <w:sz w:val="20"/>
                <w:szCs w:val="20"/>
              </w:rPr>
            </w:pPr>
            <w:r>
              <w:rPr>
                <w:rFonts w:eastAsia="Arial Unicode MS" w:cs="Arial"/>
                <w:sz w:val="20"/>
                <w:szCs w:val="20"/>
              </w:rPr>
              <w:t>1,451</w:t>
            </w:r>
          </w:p>
        </w:tc>
        <w:tc>
          <w:tcPr>
            <w:tcW w:w="2648" w:type="dxa"/>
            <w:shd w:val="clear" w:color="auto" w:fill="D9D9D9" w:themeFill="background1" w:themeFillShade="D9"/>
            <w:noWrap/>
            <w:tcMar>
              <w:top w:w="12" w:type="dxa"/>
              <w:left w:w="12" w:type="dxa"/>
              <w:bottom w:w="0" w:type="dxa"/>
              <w:right w:w="12" w:type="dxa"/>
            </w:tcMar>
            <w:vAlign w:val="center"/>
          </w:tcPr>
          <w:p w14:paraId="0BC7789B" w14:textId="77777777" w:rsidR="000D5096" w:rsidRPr="00A36B68" w:rsidRDefault="000D5096" w:rsidP="00D20A1E">
            <w:pPr>
              <w:keepNext/>
              <w:keepLines/>
              <w:widowControl/>
              <w:tabs>
                <w:tab w:val="decimal" w:pos="1480"/>
              </w:tabs>
              <w:spacing w:before="40" w:after="40"/>
              <w:rPr>
                <w:rFonts w:eastAsia="Arial Unicode MS" w:cs="Arial"/>
                <w:sz w:val="20"/>
                <w:szCs w:val="20"/>
              </w:rPr>
            </w:pPr>
          </w:p>
        </w:tc>
        <w:tc>
          <w:tcPr>
            <w:tcW w:w="2639" w:type="dxa"/>
            <w:vAlign w:val="center"/>
          </w:tcPr>
          <w:p w14:paraId="7E6A8089" w14:textId="77777777" w:rsidR="000D5096" w:rsidRPr="00A36B68" w:rsidRDefault="000D5096" w:rsidP="00D20A1E">
            <w:pPr>
              <w:keepNext/>
              <w:keepLines/>
              <w:widowControl/>
              <w:tabs>
                <w:tab w:val="decimal" w:pos="1480"/>
              </w:tabs>
              <w:spacing w:before="40" w:after="40"/>
              <w:rPr>
                <w:rFonts w:eastAsia="Arial Unicode MS" w:cs="Arial"/>
                <w:sz w:val="20"/>
                <w:szCs w:val="20"/>
              </w:rPr>
            </w:pPr>
            <w:r w:rsidRPr="002971A1">
              <w:rPr>
                <w:rFonts w:eastAsia="Arial Unicode MS" w:cs="Arial"/>
                <w:sz w:val="20"/>
                <w:szCs w:val="20"/>
              </w:rPr>
              <w:t>1,422</w:t>
            </w:r>
          </w:p>
        </w:tc>
      </w:tr>
      <w:tr w:rsidR="000D5096" w:rsidRPr="00A36B68" w14:paraId="272CE547"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52F30858" w14:textId="77777777" w:rsidR="000D5096" w:rsidRPr="00A36B68" w:rsidRDefault="000D5096" w:rsidP="00D20A1E">
            <w:pPr>
              <w:keepNext/>
              <w:keepLines/>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5093F255" w14:textId="59BB1B25"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2648" w:type="dxa"/>
            <w:vAlign w:val="center"/>
          </w:tcPr>
          <w:p w14:paraId="56C482F7" w14:textId="77777777" w:rsidR="000D5096" w:rsidRPr="00A36B68" w:rsidRDefault="000D5096" w:rsidP="00D20A1E">
            <w:pPr>
              <w:keepNext/>
              <w:keepLines/>
              <w:widowControl/>
              <w:tabs>
                <w:tab w:val="decimal" w:pos="1480"/>
              </w:tabs>
              <w:spacing w:before="40" w:after="40"/>
              <w:rPr>
                <w:rFonts w:eastAsia="Arial Unicode MS" w:cs="Arial"/>
                <w:sz w:val="20"/>
                <w:szCs w:val="20"/>
              </w:rPr>
            </w:pPr>
            <w:r>
              <w:rPr>
                <w:rFonts w:eastAsia="Arial Unicode MS" w:cs="Arial"/>
                <w:sz w:val="20"/>
                <w:szCs w:val="20"/>
              </w:rPr>
              <w:t>1,047</w:t>
            </w:r>
          </w:p>
        </w:tc>
        <w:tc>
          <w:tcPr>
            <w:tcW w:w="2648" w:type="dxa"/>
            <w:noWrap/>
            <w:tcMar>
              <w:top w:w="12" w:type="dxa"/>
              <w:left w:w="12" w:type="dxa"/>
              <w:bottom w:w="0" w:type="dxa"/>
              <w:right w:w="12" w:type="dxa"/>
            </w:tcMar>
            <w:vAlign w:val="center"/>
          </w:tcPr>
          <w:p w14:paraId="4BE120A3" w14:textId="77777777" w:rsidR="000D5096" w:rsidRPr="00A36B68" w:rsidRDefault="000D5096" w:rsidP="00D20A1E">
            <w:pPr>
              <w:keepNext/>
              <w:keepLines/>
              <w:widowControl/>
              <w:tabs>
                <w:tab w:val="decimal" w:pos="1480"/>
              </w:tabs>
              <w:spacing w:before="40" w:after="40"/>
              <w:rPr>
                <w:rFonts w:eastAsia="Arial Unicode MS" w:cs="Arial"/>
                <w:sz w:val="20"/>
                <w:szCs w:val="20"/>
              </w:rPr>
            </w:pPr>
            <w:r>
              <w:rPr>
                <w:rFonts w:eastAsia="Arial Unicode MS" w:cs="Arial"/>
                <w:sz w:val="20"/>
                <w:szCs w:val="20"/>
              </w:rPr>
              <w:t>1,144</w:t>
            </w:r>
          </w:p>
        </w:tc>
        <w:tc>
          <w:tcPr>
            <w:tcW w:w="2639" w:type="dxa"/>
            <w:shd w:val="clear" w:color="auto" w:fill="D9D9D9" w:themeFill="background1" w:themeFillShade="D9"/>
            <w:vAlign w:val="center"/>
          </w:tcPr>
          <w:p w14:paraId="16ADDE11" w14:textId="77777777" w:rsidR="000D5096" w:rsidRPr="00A36B68" w:rsidRDefault="000D5096" w:rsidP="00D20A1E">
            <w:pPr>
              <w:keepNext/>
              <w:keepLines/>
              <w:widowControl/>
              <w:tabs>
                <w:tab w:val="decimal" w:pos="1480"/>
              </w:tabs>
              <w:spacing w:before="40" w:after="40"/>
              <w:rPr>
                <w:rFonts w:eastAsia="Arial Unicode MS" w:cs="Arial"/>
                <w:sz w:val="20"/>
                <w:szCs w:val="20"/>
              </w:rPr>
            </w:pPr>
          </w:p>
        </w:tc>
      </w:tr>
      <w:tr w:rsidR="000D5096" w:rsidRPr="00A36B68" w14:paraId="2AF7CFCA"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0064A9FE" w14:textId="77777777" w:rsidR="000D5096" w:rsidRPr="00A36B68" w:rsidRDefault="000D5096" w:rsidP="00D20A1E">
            <w:pPr>
              <w:keepNext/>
              <w:keepLines/>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30DA168B" w14:textId="1A2EB069"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2648" w:type="dxa"/>
            <w:vAlign w:val="center"/>
          </w:tcPr>
          <w:p w14:paraId="399F9EDA" w14:textId="77777777" w:rsidR="000D5096" w:rsidRPr="00A36B68" w:rsidRDefault="000D5096" w:rsidP="00D20A1E">
            <w:pPr>
              <w:keepNext/>
              <w:keepLines/>
              <w:widowControl/>
              <w:tabs>
                <w:tab w:val="decimal" w:pos="1480"/>
              </w:tabs>
              <w:spacing w:before="40" w:after="40"/>
              <w:rPr>
                <w:rFonts w:eastAsia="Arial Unicode MS" w:cs="Arial"/>
                <w:sz w:val="20"/>
                <w:szCs w:val="20"/>
              </w:rPr>
            </w:pPr>
            <w:r>
              <w:rPr>
                <w:rFonts w:eastAsia="Arial Unicode MS" w:cs="Arial"/>
                <w:sz w:val="20"/>
                <w:szCs w:val="20"/>
              </w:rPr>
              <w:t>1,304</w:t>
            </w:r>
          </w:p>
        </w:tc>
        <w:tc>
          <w:tcPr>
            <w:tcW w:w="2648" w:type="dxa"/>
            <w:noWrap/>
            <w:tcMar>
              <w:top w:w="12" w:type="dxa"/>
              <w:left w:w="12" w:type="dxa"/>
              <w:bottom w:w="0" w:type="dxa"/>
              <w:right w:w="12" w:type="dxa"/>
            </w:tcMar>
            <w:vAlign w:val="center"/>
          </w:tcPr>
          <w:p w14:paraId="3B9DD694" w14:textId="77777777" w:rsidR="000D5096" w:rsidRPr="00A36B68" w:rsidRDefault="000D5096" w:rsidP="00D20A1E">
            <w:pPr>
              <w:keepNext/>
              <w:keepLines/>
              <w:widowControl/>
              <w:tabs>
                <w:tab w:val="decimal" w:pos="1480"/>
              </w:tabs>
              <w:spacing w:before="40" w:after="40"/>
              <w:rPr>
                <w:rFonts w:eastAsia="Arial Unicode MS" w:cs="Arial"/>
                <w:sz w:val="20"/>
                <w:szCs w:val="20"/>
              </w:rPr>
            </w:pPr>
            <w:r>
              <w:rPr>
                <w:rFonts w:eastAsia="Arial Unicode MS" w:cs="Arial"/>
                <w:sz w:val="20"/>
                <w:szCs w:val="20"/>
              </w:rPr>
              <w:t>1,387</w:t>
            </w:r>
          </w:p>
        </w:tc>
        <w:tc>
          <w:tcPr>
            <w:tcW w:w="2639" w:type="dxa"/>
            <w:shd w:val="clear" w:color="auto" w:fill="D9D9D9" w:themeFill="background1" w:themeFillShade="D9"/>
            <w:vAlign w:val="center"/>
          </w:tcPr>
          <w:p w14:paraId="313DCD40" w14:textId="77777777" w:rsidR="000D5096" w:rsidRPr="00A36B68" w:rsidRDefault="000D5096" w:rsidP="00D20A1E">
            <w:pPr>
              <w:keepNext/>
              <w:keepLines/>
              <w:widowControl/>
              <w:tabs>
                <w:tab w:val="decimal" w:pos="1480"/>
              </w:tabs>
              <w:spacing w:before="40" w:after="40"/>
              <w:rPr>
                <w:rFonts w:eastAsia="Arial Unicode MS" w:cs="Arial"/>
                <w:sz w:val="20"/>
                <w:szCs w:val="20"/>
              </w:rPr>
            </w:pPr>
          </w:p>
        </w:tc>
      </w:tr>
      <w:tr w:rsidR="000D5096" w:rsidRPr="00A36B68" w14:paraId="002D9694" w14:textId="77777777" w:rsidTr="00804C57">
        <w:trPr>
          <w:trHeight w:val="264"/>
        </w:trPr>
        <w:tc>
          <w:tcPr>
            <w:tcW w:w="2986" w:type="dxa"/>
            <w:tcBorders>
              <w:top w:val="nil"/>
              <w:bottom w:val="single" w:sz="4" w:space="0" w:color="auto"/>
            </w:tcBorders>
            <w:noWrap/>
            <w:tcMar>
              <w:top w:w="12" w:type="dxa"/>
              <w:left w:w="12" w:type="dxa"/>
              <w:bottom w:w="0" w:type="dxa"/>
              <w:right w:w="12" w:type="dxa"/>
            </w:tcMar>
            <w:vAlign w:val="center"/>
          </w:tcPr>
          <w:p w14:paraId="7FEB536B" w14:textId="77777777" w:rsidR="000D5096" w:rsidRPr="00A36B68" w:rsidRDefault="000D5096" w:rsidP="00D20A1E">
            <w:pPr>
              <w:keepNext/>
              <w:keepLines/>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01EC2450"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2648" w:type="dxa"/>
            <w:vAlign w:val="center"/>
          </w:tcPr>
          <w:p w14:paraId="5B39CEE1" w14:textId="77777777" w:rsidR="000D5096" w:rsidRPr="00A36B68" w:rsidRDefault="000D5096" w:rsidP="00D20A1E">
            <w:pPr>
              <w:keepNext/>
              <w:keepLines/>
              <w:widowControl/>
              <w:tabs>
                <w:tab w:val="decimal" w:pos="1480"/>
              </w:tabs>
              <w:spacing w:before="40" w:after="40"/>
              <w:rPr>
                <w:rFonts w:eastAsia="Arial Unicode MS" w:cs="Arial"/>
                <w:sz w:val="20"/>
                <w:szCs w:val="20"/>
              </w:rPr>
            </w:pPr>
            <w:r>
              <w:rPr>
                <w:rFonts w:eastAsia="Arial Unicode MS" w:cs="Arial"/>
                <w:sz w:val="20"/>
                <w:szCs w:val="20"/>
              </w:rPr>
              <w:t>1,495</w:t>
            </w:r>
          </w:p>
        </w:tc>
        <w:tc>
          <w:tcPr>
            <w:tcW w:w="2648" w:type="dxa"/>
            <w:shd w:val="clear" w:color="auto" w:fill="D9D9D9" w:themeFill="background1" w:themeFillShade="D9"/>
            <w:noWrap/>
            <w:tcMar>
              <w:top w:w="12" w:type="dxa"/>
              <w:left w:w="12" w:type="dxa"/>
              <w:bottom w:w="0" w:type="dxa"/>
              <w:right w:w="12" w:type="dxa"/>
            </w:tcMar>
            <w:vAlign w:val="center"/>
          </w:tcPr>
          <w:p w14:paraId="53C261F6" w14:textId="77777777" w:rsidR="000D5096" w:rsidRPr="00A36B68" w:rsidRDefault="000D5096" w:rsidP="00D20A1E">
            <w:pPr>
              <w:keepNext/>
              <w:keepLines/>
              <w:widowControl/>
              <w:tabs>
                <w:tab w:val="decimal" w:pos="1480"/>
              </w:tabs>
              <w:spacing w:before="40" w:after="40"/>
              <w:rPr>
                <w:rFonts w:eastAsia="Arial Unicode MS" w:cs="Arial"/>
                <w:sz w:val="20"/>
                <w:szCs w:val="20"/>
              </w:rPr>
            </w:pPr>
          </w:p>
        </w:tc>
        <w:tc>
          <w:tcPr>
            <w:tcW w:w="2639" w:type="dxa"/>
            <w:shd w:val="clear" w:color="auto" w:fill="D9D9D9" w:themeFill="background1" w:themeFillShade="D9"/>
            <w:vAlign w:val="center"/>
          </w:tcPr>
          <w:p w14:paraId="6334EB23" w14:textId="77777777" w:rsidR="000D5096" w:rsidRPr="00A36B68" w:rsidRDefault="000D5096" w:rsidP="00D20A1E">
            <w:pPr>
              <w:keepNext/>
              <w:keepLines/>
              <w:widowControl/>
              <w:tabs>
                <w:tab w:val="decimal" w:pos="1480"/>
              </w:tabs>
              <w:spacing w:before="40" w:after="40"/>
              <w:rPr>
                <w:rFonts w:eastAsia="Arial Unicode MS" w:cs="Arial"/>
                <w:sz w:val="20"/>
                <w:szCs w:val="20"/>
              </w:rPr>
            </w:pPr>
          </w:p>
        </w:tc>
      </w:tr>
      <w:tr w:rsidR="000D5096" w:rsidRPr="00A36B68" w14:paraId="67ABABC9" w14:textId="77777777" w:rsidTr="00804C57">
        <w:trPr>
          <w:trHeight w:val="264"/>
        </w:trPr>
        <w:tc>
          <w:tcPr>
            <w:tcW w:w="2986" w:type="dxa"/>
            <w:tcBorders>
              <w:bottom w:val="nil"/>
            </w:tcBorders>
            <w:noWrap/>
            <w:tcMar>
              <w:top w:w="12" w:type="dxa"/>
              <w:left w:w="12" w:type="dxa"/>
              <w:bottom w:w="0" w:type="dxa"/>
              <w:right w:w="12" w:type="dxa"/>
            </w:tcMar>
            <w:vAlign w:val="center"/>
          </w:tcPr>
          <w:p w14:paraId="6FF65EB7" w14:textId="4743E99C" w:rsidR="000D5096" w:rsidRPr="00A36B68" w:rsidRDefault="00326E1B" w:rsidP="00D20A1E">
            <w:pPr>
              <w:widowControl/>
              <w:spacing w:before="40" w:after="40"/>
              <w:rPr>
                <w:rFonts w:eastAsia="Arial Unicode MS" w:cs="Arial"/>
                <w:sz w:val="20"/>
                <w:szCs w:val="20"/>
              </w:rPr>
            </w:pPr>
            <w:r>
              <w:rPr>
                <w:rFonts w:cs="Arial"/>
                <w:sz w:val="20"/>
                <w:szCs w:val="20"/>
              </w:rPr>
              <w:t>Retinol equivalents</w:t>
            </w:r>
            <w:r w:rsidR="000D5096" w:rsidRPr="00A36B68">
              <w:rPr>
                <w:rFonts w:cs="Arial"/>
                <w:sz w:val="20"/>
                <w:szCs w:val="20"/>
              </w:rPr>
              <w:t xml:space="preserve"> (</w:t>
            </w:r>
            <w:r w:rsidR="000D5096" w:rsidRPr="00A36B68">
              <w:rPr>
                <w:rFonts w:eastAsia="Arial Unicode MS" w:cs="Arial"/>
                <w:sz w:val="20"/>
                <w:szCs w:val="20"/>
              </w:rPr>
              <w:t>µ</w:t>
            </w:r>
            <w:r w:rsidR="000D5096" w:rsidRPr="00A36B68">
              <w:rPr>
                <w:rFonts w:cs="Arial"/>
                <w:sz w:val="20"/>
                <w:szCs w:val="20"/>
              </w:rPr>
              <w:t>g)</w:t>
            </w:r>
          </w:p>
        </w:tc>
        <w:tc>
          <w:tcPr>
            <w:tcW w:w="3059" w:type="dxa"/>
            <w:tcMar>
              <w:top w:w="12" w:type="dxa"/>
              <w:left w:w="12" w:type="dxa"/>
              <w:bottom w:w="0" w:type="dxa"/>
              <w:right w:w="12" w:type="dxa"/>
            </w:tcMar>
            <w:vAlign w:val="center"/>
          </w:tcPr>
          <w:p w14:paraId="599C801A"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2 years and above</w:t>
            </w:r>
          </w:p>
        </w:tc>
        <w:tc>
          <w:tcPr>
            <w:tcW w:w="2648" w:type="dxa"/>
            <w:vAlign w:val="center"/>
          </w:tcPr>
          <w:p w14:paraId="63EB43A1" w14:textId="77777777" w:rsidR="000D5096" w:rsidRPr="00A36B68" w:rsidRDefault="000D5096" w:rsidP="00D20A1E">
            <w:pPr>
              <w:widowControl/>
              <w:tabs>
                <w:tab w:val="decimal" w:pos="1480"/>
              </w:tabs>
              <w:spacing w:before="40" w:after="40"/>
              <w:rPr>
                <w:rFonts w:eastAsia="Arial Unicode MS" w:cs="Arial"/>
                <w:sz w:val="20"/>
                <w:szCs w:val="20"/>
              </w:rPr>
            </w:pPr>
            <w:r>
              <w:rPr>
                <w:rFonts w:eastAsia="Arial Unicode MS" w:cs="Arial"/>
                <w:sz w:val="20"/>
                <w:szCs w:val="20"/>
              </w:rPr>
              <w:t>1,123</w:t>
            </w:r>
          </w:p>
        </w:tc>
        <w:tc>
          <w:tcPr>
            <w:tcW w:w="2648" w:type="dxa"/>
            <w:shd w:val="clear" w:color="auto" w:fill="D9D9D9" w:themeFill="background1" w:themeFillShade="D9"/>
            <w:noWrap/>
            <w:tcMar>
              <w:top w:w="12" w:type="dxa"/>
              <w:left w:w="12" w:type="dxa"/>
              <w:bottom w:w="0" w:type="dxa"/>
              <w:right w:w="12" w:type="dxa"/>
            </w:tcMar>
            <w:vAlign w:val="center"/>
          </w:tcPr>
          <w:p w14:paraId="538E5DB1" w14:textId="77777777" w:rsidR="000D5096" w:rsidRPr="00A36B68" w:rsidRDefault="000D5096" w:rsidP="00D20A1E">
            <w:pPr>
              <w:widowControl/>
              <w:tabs>
                <w:tab w:val="decimal" w:pos="1480"/>
              </w:tabs>
              <w:spacing w:before="40" w:after="40"/>
              <w:rPr>
                <w:rFonts w:eastAsia="Arial Unicode MS" w:cs="Arial"/>
                <w:sz w:val="20"/>
                <w:szCs w:val="20"/>
              </w:rPr>
            </w:pPr>
          </w:p>
        </w:tc>
        <w:tc>
          <w:tcPr>
            <w:tcW w:w="2639" w:type="dxa"/>
            <w:vAlign w:val="center"/>
          </w:tcPr>
          <w:p w14:paraId="17AD1FDA" w14:textId="77777777" w:rsidR="000D5096" w:rsidRPr="00A36B68" w:rsidRDefault="000D5096" w:rsidP="00D20A1E">
            <w:pPr>
              <w:widowControl/>
              <w:tabs>
                <w:tab w:val="decimal" w:pos="1480"/>
              </w:tabs>
              <w:spacing w:before="40" w:after="40"/>
              <w:rPr>
                <w:rFonts w:eastAsia="Arial Unicode MS" w:cs="Arial"/>
                <w:sz w:val="20"/>
                <w:szCs w:val="20"/>
              </w:rPr>
            </w:pPr>
            <w:r>
              <w:rPr>
                <w:rFonts w:eastAsia="Arial Unicode MS" w:cs="Arial"/>
                <w:sz w:val="20"/>
                <w:szCs w:val="20"/>
              </w:rPr>
              <w:t>815</w:t>
            </w:r>
          </w:p>
        </w:tc>
      </w:tr>
      <w:tr w:rsidR="000D5096" w:rsidRPr="00A36B68" w14:paraId="353EF25C"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3FEA23B3" w14:textId="77777777" w:rsidR="000D5096" w:rsidRPr="00A36B68" w:rsidRDefault="000D5096"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1468502A" w14:textId="1EDD0F2D" w:rsidR="000D5096" w:rsidRPr="00A36B68" w:rsidRDefault="000D5096" w:rsidP="00D20A1E">
            <w:pPr>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2648" w:type="dxa"/>
            <w:vAlign w:val="center"/>
          </w:tcPr>
          <w:p w14:paraId="00D80F56" w14:textId="77777777" w:rsidR="000D5096" w:rsidRPr="00A36B68" w:rsidRDefault="000D5096" w:rsidP="00D20A1E">
            <w:pPr>
              <w:widowControl/>
              <w:tabs>
                <w:tab w:val="decimal" w:pos="1480"/>
              </w:tabs>
              <w:spacing w:before="40" w:after="40"/>
              <w:rPr>
                <w:rFonts w:eastAsia="Arial Unicode MS" w:cs="Arial"/>
                <w:sz w:val="20"/>
                <w:szCs w:val="20"/>
              </w:rPr>
            </w:pPr>
            <w:r>
              <w:rPr>
                <w:rFonts w:eastAsia="Arial Unicode MS" w:cs="Arial"/>
                <w:sz w:val="20"/>
                <w:szCs w:val="20"/>
              </w:rPr>
              <w:t>714</w:t>
            </w:r>
          </w:p>
        </w:tc>
        <w:tc>
          <w:tcPr>
            <w:tcW w:w="2648" w:type="dxa"/>
            <w:noWrap/>
            <w:tcMar>
              <w:top w:w="12" w:type="dxa"/>
              <w:left w:w="12" w:type="dxa"/>
              <w:bottom w:w="0" w:type="dxa"/>
              <w:right w:w="12" w:type="dxa"/>
            </w:tcMar>
            <w:vAlign w:val="center"/>
          </w:tcPr>
          <w:p w14:paraId="7BD112EE" w14:textId="40B4B30F" w:rsidR="000D5096" w:rsidRPr="00A36B68" w:rsidRDefault="0072004A" w:rsidP="00D20A1E">
            <w:pPr>
              <w:widowControl/>
              <w:tabs>
                <w:tab w:val="decimal" w:pos="1480"/>
              </w:tabs>
              <w:spacing w:before="40" w:after="40"/>
              <w:rPr>
                <w:rFonts w:eastAsia="Arial Unicode MS" w:cs="Arial"/>
                <w:sz w:val="20"/>
                <w:szCs w:val="20"/>
              </w:rPr>
            </w:pPr>
            <w:r w:rsidRPr="0072004A">
              <w:rPr>
                <w:rFonts w:eastAsia="Arial Unicode MS" w:cs="Arial"/>
                <w:sz w:val="20"/>
                <w:szCs w:val="20"/>
              </w:rPr>
              <w:t>668</w:t>
            </w:r>
          </w:p>
        </w:tc>
        <w:tc>
          <w:tcPr>
            <w:tcW w:w="2639" w:type="dxa"/>
            <w:shd w:val="clear" w:color="auto" w:fill="D9D9D9" w:themeFill="background1" w:themeFillShade="D9"/>
            <w:vAlign w:val="center"/>
          </w:tcPr>
          <w:p w14:paraId="1ED0399D" w14:textId="77777777" w:rsidR="000D5096" w:rsidRPr="00A36B68" w:rsidRDefault="000D5096" w:rsidP="00D20A1E">
            <w:pPr>
              <w:widowControl/>
              <w:tabs>
                <w:tab w:val="decimal" w:pos="1480"/>
              </w:tabs>
              <w:spacing w:before="40" w:after="40"/>
              <w:rPr>
                <w:rFonts w:eastAsia="Arial Unicode MS" w:cs="Arial"/>
                <w:sz w:val="20"/>
                <w:szCs w:val="20"/>
              </w:rPr>
            </w:pPr>
          </w:p>
        </w:tc>
      </w:tr>
      <w:tr w:rsidR="000D5096" w:rsidRPr="00A36B68" w14:paraId="19B661E9"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4AE48159" w14:textId="77777777" w:rsidR="000D5096" w:rsidRPr="00A36B68" w:rsidRDefault="000D5096"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3B430993" w14:textId="01B10125" w:rsidR="000D5096" w:rsidRPr="00A36B68" w:rsidRDefault="000D5096" w:rsidP="00D20A1E">
            <w:pPr>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2648" w:type="dxa"/>
            <w:vAlign w:val="center"/>
          </w:tcPr>
          <w:p w14:paraId="15D328DE" w14:textId="77777777" w:rsidR="000D5096" w:rsidRPr="00A36B68" w:rsidRDefault="000D5096" w:rsidP="00D20A1E">
            <w:pPr>
              <w:widowControl/>
              <w:tabs>
                <w:tab w:val="decimal" w:pos="1480"/>
              </w:tabs>
              <w:spacing w:before="40" w:after="40"/>
              <w:rPr>
                <w:rFonts w:eastAsia="Arial Unicode MS" w:cs="Arial"/>
                <w:sz w:val="20"/>
                <w:szCs w:val="20"/>
              </w:rPr>
            </w:pPr>
            <w:r>
              <w:rPr>
                <w:rFonts w:eastAsia="Arial Unicode MS" w:cs="Arial"/>
                <w:sz w:val="20"/>
                <w:szCs w:val="20"/>
              </w:rPr>
              <w:t>956</w:t>
            </w:r>
          </w:p>
        </w:tc>
        <w:tc>
          <w:tcPr>
            <w:tcW w:w="2648" w:type="dxa"/>
            <w:noWrap/>
            <w:tcMar>
              <w:top w:w="12" w:type="dxa"/>
              <w:left w:w="12" w:type="dxa"/>
              <w:bottom w:w="0" w:type="dxa"/>
              <w:right w:w="12" w:type="dxa"/>
            </w:tcMar>
            <w:vAlign w:val="center"/>
          </w:tcPr>
          <w:p w14:paraId="60D385AB" w14:textId="3A4269A8" w:rsidR="000D5096" w:rsidRPr="00A36B68" w:rsidRDefault="0072004A" w:rsidP="00D20A1E">
            <w:pPr>
              <w:widowControl/>
              <w:tabs>
                <w:tab w:val="decimal" w:pos="1480"/>
              </w:tabs>
              <w:spacing w:before="40" w:after="40"/>
              <w:rPr>
                <w:rFonts w:eastAsia="Arial Unicode MS" w:cs="Arial"/>
                <w:sz w:val="20"/>
                <w:szCs w:val="20"/>
              </w:rPr>
            </w:pPr>
            <w:r w:rsidRPr="0072004A">
              <w:rPr>
                <w:rFonts w:eastAsia="Arial Unicode MS" w:cs="Arial"/>
                <w:sz w:val="20"/>
                <w:szCs w:val="20"/>
              </w:rPr>
              <w:t>736</w:t>
            </w:r>
          </w:p>
        </w:tc>
        <w:tc>
          <w:tcPr>
            <w:tcW w:w="2639" w:type="dxa"/>
            <w:shd w:val="clear" w:color="auto" w:fill="D9D9D9" w:themeFill="background1" w:themeFillShade="D9"/>
            <w:vAlign w:val="center"/>
          </w:tcPr>
          <w:p w14:paraId="2DBBD3BA" w14:textId="77777777" w:rsidR="000D5096" w:rsidRPr="00A36B68" w:rsidRDefault="000D5096" w:rsidP="00D20A1E">
            <w:pPr>
              <w:widowControl/>
              <w:tabs>
                <w:tab w:val="decimal" w:pos="1480"/>
              </w:tabs>
              <w:spacing w:before="40" w:after="40"/>
              <w:rPr>
                <w:rFonts w:eastAsia="Arial Unicode MS" w:cs="Arial"/>
                <w:sz w:val="20"/>
                <w:szCs w:val="20"/>
              </w:rPr>
            </w:pPr>
          </w:p>
        </w:tc>
      </w:tr>
      <w:tr w:rsidR="000D5096" w:rsidRPr="00A36B68" w14:paraId="3D26A576" w14:textId="77777777" w:rsidTr="00804C57">
        <w:trPr>
          <w:trHeight w:val="264"/>
        </w:trPr>
        <w:tc>
          <w:tcPr>
            <w:tcW w:w="2986" w:type="dxa"/>
            <w:tcBorders>
              <w:top w:val="nil"/>
              <w:bottom w:val="single" w:sz="4" w:space="0" w:color="auto"/>
            </w:tcBorders>
            <w:noWrap/>
            <w:tcMar>
              <w:top w:w="12" w:type="dxa"/>
              <w:left w:w="12" w:type="dxa"/>
              <w:bottom w:w="0" w:type="dxa"/>
              <w:right w:w="12" w:type="dxa"/>
            </w:tcMar>
            <w:vAlign w:val="center"/>
          </w:tcPr>
          <w:p w14:paraId="04D6EB3C" w14:textId="77777777" w:rsidR="000D5096" w:rsidRPr="00A36B68" w:rsidRDefault="000D5096"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440B0A21"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15 years and above</w:t>
            </w:r>
          </w:p>
        </w:tc>
        <w:tc>
          <w:tcPr>
            <w:tcW w:w="2648" w:type="dxa"/>
            <w:vAlign w:val="center"/>
          </w:tcPr>
          <w:p w14:paraId="769069B4" w14:textId="77777777" w:rsidR="000D5096" w:rsidRPr="00A36B68" w:rsidRDefault="000D5096" w:rsidP="00D20A1E">
            <w:pPr>
              <w:widowControl/>
              <w:tabs>
                <w:tab w:val="decimal" w:pos="1480"/>
              </w:tabs>
              <w:spacing w:before="40" w:after="40"/>
              <w:rPr>
                <w:rFonts w:eastAsia="Arial Unicode MS" w:cs="Arial"/>
                <w:sz w:val="20"/>
                <w:szCs w:val="20"/>
              </w:rPr>
            </w:pPr>
            <w:r>
              <w:rPr>
                <w:rFonts w:eastAsia="Arial Unicode MS" w:cs="Arial"/>
                <w:sz w:val="20"/>
                <w:szCs w:val="20"/>
              </w:rPr>
              <w:t>1,171</w:t>
            </w:r>
          </w:p>
        </w:tc>
        <w:tc>
          <w:tcPr>
            <w:tcW w:w="2648" w:type="dxa"/>
            <w:shd w:val="clear" w:color="auto" w:fill="D9D9D9" w:themeFill="background1" w:themeFillShade="D9"/>
            <w:noWrap/>
            <w:tcMar>
              <w:top w:w="12" w:type="dxa"/>
              <w:left w:w="12" w:type="dxa"/>
              <w:bottom w:w="0" w:type="dxa"/>
              <w:right w:w="12" w:type="dxa"/>
            </w:tcMar>
            <w:vAlign w:val="center"/>
          </w:tcPr>
          <w:p w14:paraId="1D3416CE" w14:textId="77777777" w:rsidR="000D5096" w:rsidRPr="00A36B68" w:rsidRDefault="000D5096" w:rsidP="00D20A1E">
            <w:pPr>
              <w:widowControl/>
              <w:tabs>
                <w:tab w:val="decimal" w:pos="1480"/>
              </w:tabs>
              <w:spacing w:before="40" w:after="40"/>
              <w:rPr>
                <w:rFonts w:eastAsia="Arial Unicode MS" w:cs="Arial"/>
                <w:sz w:val="20"/>
                <w:szCs w:val="20"/>
              </w:rPr>
            </w:pPr>
          </w:p>
        </w:tc>
        <w:tc>
          <w:tcPr>
            <w:tcW w:w="2639" w:type="dxa"/>
            <w:shd w:val="clear" w:color="auto" w:fill="D9D9D9" w:themeFill="background1" w:themeFillShade="D9"/>
            <w:vAlign w:val="center"/>
          </w:tcPr>
          <w:p w14:paraId="725B8C6A" w14:textId="77777777" w:rsidR="000D5096" w:rsidRPr="00A36B68" w:rsidRDefault="000D5096" w:rsidP="00D20A1E">
            <w:pPr>
              <w:widowControl/>
              <w:tabs>
                <w:tab w:val="decimal" w:pos="1480"/>
              </w:tabs>
              <w:spacing w:before="40" w:after="40"/>
              <w:rPr>
                <w:rFonts w:eastAsia="Arial Unicode MS" w:cs="Arial"/>
                <w:sz w:val="20"/>
                <w:szCs w:val="20"/>
              </w:rPr>
            </w:pPr>
          </w:p>
        </w:tc>
      </w:tr>
      <w:tr w:rsidR="000D5096" w:rsidRPr="00A36B68" w14:paraId="35CC93F8" w14:textId="77777777" w:rsidTr="00804C57">
        <w:trPr>
          <w:trHeight w:val="264"/>
        </w:trPr>
        <w:tc>
          <w:tcPr>
            <w:tcW w:w="2986" w:type="dxa"/>
            <w:tcBorders>
              <w:bottom w:val="nil"/>
            </w:tcBorders>
            <w:noWrap/>
            <w:tcMar>
              <w:top w:w="12" w:type="dxa"/>
              <w:left w:w="12" w:type="dxa"/>
              <w:bottom w:w="0" w:type="dxa"/>
              <w:right w:w="12" w:type="dxa"/>
            </w:tcMar>
            <w:vAlign w:val="center"/>
          </w:tcPr>
          <w:p w14:paraId="0EA66960"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Riboflavin (mg)</w:t>
            </w:r>
          </w:p>
        </w:tc>
        <w:tc>
          <w:tcPr>
            <w:tcW w:w="3059" w:type="dxa"/>
            <w:tcMar>
              <w:top w:w="12" w:type="dxa"/>
              <w:left w:w="12" w:type="dxa"/>
              <w:bottom w:w="0" w:type="dxa"/>
              <w:right w:w="12" w:type="dxa"/>
            </w:tcMar>
            <w:vAlign w:val="center"/>
          </w:tcPr>
          <w:p w14:paraId="2125429F"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 years and above</w:t>
            </w:r>
          </w:p>
        </w:tc>
        <w:tc>
          <w:tcPr>
            <w:tcW w:w="2648" w:type="dxa"/>
            <w:vAlign w:val="center"/>
          </w:tcPr>
          <w:p w14:paraId="2D7990D3"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Pr>
                <w:rFonts w:eastAsia="Arial Unicode MS" w:cs="Arial"/>
              </w:rPr>
              <w:t>2.1</w:t>
            </w:r>
          </w:p>
        </w:tc>
        <w:tc>
          <w:tcPr>
            <w:tcW w:w="2648" w:type="dxa"/>
            <w:shd w:val="clear" w:color="auto" w:fill="D9D9D9" w:themeFill="background1" w:themeFillShade="D9"/>
            <w:noWrap/>
            <w:tcMar>
              <w:top w:w="12" w:type="dxa"/>
              <w:left w:w="12" w:type="dxa"/>
              <w:bottom w:w="0" w:type="dxa"/>
              <w:right w:w="12" w:type="dxa"/>
            </w:tcMar>
            <w:vAlign w:val="center"/>
          </w:tcPr>
          <w:p w14:paraId="2BB5B7EF" w14:textId="77777777" w:rsidR="000D5096" w:rsidRPr="00A36B68" w:rsidRDefault="000D5096" w:rsidP="00D20A1E">
            <w:pPr>
              <w:pStyle w:val="FootnoteText"/>
              <w:keepNext/>
              <w:keepLines/>
              <w:widowControl/>
              <w:tabs>
                <w:tab w:val="decimal" w:pos="1480"/>
              </w:tabs>
              <w:spacing w:before="40" w:after="40"/>
              <w:rPr>
                <w:rFonts w:eastAsia="Arial Unicode MS" w:cs="Arial"/>
              </w:rPr>
            </w:pPr>
          </w:p>
        </w:tc>
        <w:tc>
          <w:tcPr>
            <w:tcW w:w="2639" w:type="dxa"/>
            <w:vAlign w:val="center"/>
          </w:tcPr>
          <w:p w14:paraId="755E1806"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sidRPr="004C246E">
              <w:rPr>
                <w:rFonts w:eastAsia="Arial Unicode MS" w:cs="Arial"/>
              </w:rPr>
              <w:t>1.9</w:t>
            </w:r>
          </w:p>
        </w:tc>
      </w:tr>
      <w:tr w:rsidR="000D5096" w:rsidRPr="00A36B68" w14:paraId="3A23CA6C"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04555941" w14:textId="77777777" w:rsidR="000D5096" w:rsidRPr="00A36B68" w:rsidRDefault="000D5096" w:rsidP="00D20A1E">
            <w:pPr>
              <w:keepNext/>
              <w:keepLines/>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594DC304" w14:textId="67DB4725"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2648" w:type="dxa"/>
            <w:vAlign w:val="center"/>
          </w:tcPr>
          <w:p w14:paraId="173F5755"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Pr>
                <w:rFonts w:eastAsia="Arial Unicode MS" w:cs="Arial"/>
              </w:rPr>
              <w:t>1.9</w:t>
            </w:r>
          </w:p>
        </w:tc>
        <w:tc>
          <w:tcPr>
            <w:tcW w:w="2648" w:type="dxa"/>
            <w:noWrap/>
            <w:tcMar>
              <w:top w:w="12" w:type="dxa"/>
              <w:left w:w="12" w:type="dxa"/>
              <w:bottom w:w="0" w:type="dxa"/>
              <w:right w:w="12" w:type="dxa"/>
            </w:tcMar>
            <w:vAlign w:val="center"/>
          </w:tcPr>
          <w:p w14:paraId="74061A6A" w14:textId="201D91AF" w:rsidR="000D5096" w:rsidRPr="00A36B68" w:rsidRDefault="000D5096" w:rsidP="00D20A1E">
            <w:pPr>
              <w:pStyle w:val="FootnoteText"/>
              <w:keepNext/>
              <w:keepLines/>
              <w:widowControl/>
              <w:tabs>
                <w:tab w:val="decimal" w:pos="1480"/>
              </w:tabs>
              <w:spacing w:before="40" w:after="40"/>
              <w:rPr>
                <w:rFonts w:eastAsia="Arial Unicode MS" w:cs="Arial"/>
              </w:rPr>
            </w:pPr>
            <w:r>
              <w:rPr>
                <w:rFonts w:eastAsia="Arial Unicode MS" w:cs="Arial"/>
              </w:rPr>
              <w:t>2.</w:t>
            </w:r>
            <w:r w:rsidR="0072004A" w:rsidRPr="0072004A">
              <w:rPr>
                <w:rFonts w:eastAsia="Arial Unicode MS" w:cs="Arial"/>
              </w:rPr>
              <w:t>4</w:t>
            </w:r>
          </w:p>
        </w:tc>
        <w:tc>
          <w:tcPr>
            <w:tcW w:w="2639" w:type="dxa"/>
            <w:shd w:val="clear" w:color="auto" w:fill="D9D9D9" w:themeFill="background1" w:themeFillShade="D9"/>
            <w:vAlign w:val="center"/>
          </w:tcPr>
          <w:p w14:paraId="293039BD" w14:textId="77777777" w:rsidR="000D5096" w:rsidRPr="00A36B68" w:rsidRDefault="000D5096" w:rsidP="00D20A1E">
            <w:pPr>
              <w:pStyle w:val="FootnoteText"/>
              <w:keepNext/>
              <w:keepLines/>
              <w:widowControl/>
              <w:tabs>
                <w:tab w:val="decimal" w:pos="1480"/>
              </w:tabs>
              <w:spacing w:before="40" w:after="40"/>
              <w:rPr>
                <w:rFonts w:eastAsia="Arial Unicode MS" w:cs="Arial"/>
              </w:rPr>
            </w:pPr>
          </w:p>
        </w:tc>
      </w:tr>
      <w:tr w:rsidR="000D5096" w:rsidRPr="00A36B68" w14:paraId="1314DE2D"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0A196502" w14:textId="77777777" w:rsidR="000D5096" w:rsidRPr="00A36B68" w:rsidRDefault="000D5096" w:rsidP="00D20A1E">
            <w:pPr>
              <w:keepNext/>
              <w:keepLines/>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0B44B40E" w14:textId="2552133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2648" w:type="dxa"/>
            <w:vAlign w:val="center"/>
          </w:tcPr>
          <w:p w14:paraId="65BC24A5"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Pr>
                <w:rFonts w:eastAsia="Arial Unicode MS" w:cs="Arial"/>
              </w:rPr>
              <w:t>2.2</w:t>
            </w:r>
          </w:p>
        </w:tc>
        <w:tc>
          <w:tcPr>
            <w:tcW w:w="2648" w:type="dxa"/>
            <w:noWrap/>
            <w:tcMar>
              <w:top w:w="12" w:type="dxa"/>
              <w:left w:w="12" w:type="dxa"/>
              <w:bottom w:w="0" w:type="dxa"/>
              <w:right w:w="12" w:type="dxa"/>
            </w:tcMar>
            <w:vAlign w:val="center"/>
          </w:tcPr>
          <w:p w14:paraId="7DD6CA8B" w14:textId="4C6573A2" w:rsidR="000D5096" w:rsidRPr="00A36B68" w:rsidRDefault="000D5096" w:rsidP="00D20A1E">
            <w:pPr>
              <w:pStyle w:val="FootnoteText"/>
              <w:keepNext/>
              <w:keepLines/>
              <w:widowControl/>
              <w:tabs>
                <w:tab w:val="decimal" w:pos="1480"/>
              </w:tabs>
              <w:spacing w:before="40" w:after="40"/>
              <w:rPr>
                <w:rFonts w:eastAsia="Arial Unicode MS" w:cs="Arial"/>
              </w:rPr>
            </w:pPr>
            <w:r>
              <w:rPr>
                <w:rFonts w:eastAsia="Arial Unicode MS" w:cs="Arial"/>
              </w:rPr>
              <w:t>2.</w:t>
            </w:r>
            <w:r w:rsidR="0072004A" w:rsidRPr="0072004A">
              <w:rPr>
                <w:rFonts w:eastAsia="Arial Unicode MS" w:cs="Arial"/>
              </w:rPr>
              <w:t>5</w:t>
            </w:r>
          </w:p>
        </w:tc>
        <w:tc>
          <w:tcPr>
            <w:tcW w:w="2639" w:type="dxa"/>
            <w:shd w:val="clear" w:color="auto" w:fill="D9D9D9" w:themeFill="background1" w:themeFillShade="D9"/>
            <w:vAlign w:val="center"/>
          </w:tcPr>
          <w:p w14:paraId="34253952" w14:textId="77777777" w:rsidR="000D5096" w:rsidRPr="00A36B68" w:rsidRDefault="000D5096" w:rsidP="00D20A1E">
            <w:pPr>
              <w:pStyle w:val="FootnoteText"/>
              <w:keepNext/>
              <w:keepLines/>
              <w:widowControl/>
              <w:tabs>
                <w:tab w:val="decimal" w:pos="1480"/>
              </w:tabs>
              <w:spacing w:before="40" w:after="40"/>
              <w:rPr>
                <w:rFonts w:eastAsia="Arial Unicode MS" w:cs="Arial"/>
              </w:rPr>
            </w:pPr>
          </w:p>
        </w:tc>
      </w:tr>
      <w:tr w:rsidR="000D5096" w:rsidRPr="00A36B68" w14:paraId="64838B65" w14:textId="77777777" w:rsidTr="00804C57">
        <w:trPr>
          <w:trHeight w:val="264"/>
        </w:trPr>
        <w:tc>
          <w:tcPr>
            <w:tcW w:w="2986" w:type="dxa"/>
            <w:tcBorders>
              <w:top w:val="nil"/>
              <w:bottom w:val="single" w:sz="4" w:space="0" w:color="auto"/>
            </w:tcBorders>
            <w:noWrap/>
            <w:tcMar>
              <w:top w:w="12" w:type="dxa"/>
              <w:left w:w="12" w:type="dxa"/>
              <w:bottom w:w="0" w:type="dxa"/>
              <w:right w:w="12" w:type="dxa"/>
            </w:tcMar>
            <w:vAlign w:val="center"/>
          </w:tcPr>
          <w:p w14:paraId="229C2098" w14:textId="77777777" w:rsidR="000D5096" w:rsidRPr="00A36B68" w:rsidRDefault="000D5096" w:rsidP="00D20A1E">
            <w:pPr>
              <w:keepNext/>
              <w:keepLines/>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5A9B1C31"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2648" w:type="dxa"/>
            <w:vAlign w:val="center"/>
          </w:tcPr>
          <w:p w14:paraId="0B956DC1"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sidRPr="00736F1D">
              <w:rPr>
                <w:rFonts w:eastAsia="Arial Unicode MS" w:cs="Arial"/>
              </w:rPr>
              <w:t>2</w:t>
            </w:r>
            <w:r>
              <w:rPr>
                <w:rFonts w:eastAsia="Arial Unicode MS" w:cs="Arial"/>
              </w:rPr>
              <w:t>.0</w:t>
            </w:r>
          </w:p>
        </w:tc>
        <w:tc>
          <w:tcPr>
            <w:tcW w:w="2648" w:type="dxa"/>
            <w:shd w:val="clear" w:color="auto" w:fill="D9D9D9" w:themeFill="background1" w:themeFillShade="D9"/>
            <w:noWrap/>
            <w:tcMar>
              <w:top w:w="12" w:type="dxa"/>
              <w:left w:w="12" w:type="dxa"/>
              <w:bottom w:w="0" w:type="dxa"/>
              <w:right w:w="12" w:type="dxa"/>
            </w:tcMar>
            <w:vAlign w:val="center"/>
          </w:tcPr>
          <w:p w14:paraId="7EA03271" w14:textId="77777777" w:rsidR="000D5096" w:rsidRPr="00A36B68" w:rsidRDefault="000D5096" w:rsidP="00D20A1E">
            <w:pPr>
              <w:pStyle w:val="FootnoteText"/>
              <w:keepNext/>
              <w:keepLines/>
              <w:widowControl/>
              <w:tabs>
                <w:tab w:val="decimal" w:pos="1480"/>
              </w:tabs>
              <w:spacing w:before="40" w:after="40"/>
              <w:rPr>
                <w:rFonts w:eastAsia="Arial Unicode MS" w:cs="Arial"/>
              </w:rPr>
            </w:pPr>
          </w:p>
        </w:tc>
        <w:tc>
          <w:tcPr>
            <w:tcW w:w="2639" w:type="dxa"/>
            <w:shd w:val="clear" w:color="auto" w:fill="D9D9D9" w:themeFill="background1" w:themeFillShade="D9"/>
            <w:vAlign w:val="center"/>
          </w:tcPr>
          <w:p w14:paraId="62BC1521" w14:textId="77777777" w:rsidR="000D5096" w:rsidRPr="00A36B68" w:rsidRDefault="000D5096" w:rsidP="00D20A1E">
            <w:pPr>
              <w:pStyle w:val="FootnoteText"/>
              <w:keepNext/>
              <w:keepLines/>
              <w:widowControl/>
              <w:tabs>
                <w:tab w:val="decimal" w:pos="1480"/>
              </w:tabs>
              <w:spacing w:before="40" w:after="40"/>
              <w:rPr>
                <w:rFonts w:eastAsia="Arial Unicode MS" w:cs="Arial"/>
              </w:rPr>
            </w:pPr>
          </w:p>
        </w:tc>
      </w:tr>
      <w:tr w:rsidR="000D5096" w:rsidRPr="00A36B68" w14:paraId="684B27F7" w14:textId="77777777" w:rsidTr="00804C57">
        <w:trPr>
          <w:trHeight w:val="264"/>
        </w:trPr>
        <w:tc>
          <w:tcPr>
            <w:tcW w:w="2986" w:type="dxa"/>
            <w:tcBorders>
              <w:bottom w:val="nil"/>
            </w:tcBorders>
            <w:noWrap/>
            <w:tcMar>
              <w:top w:w="12" w:type="dxa"/>
              <w:left w:w="12" w:type="dxa"/>
              <w:bottom w:w="0" w:type="dxa"/>
              <w:right w:w="12" w:type="dxa"/>
            </w:tcMar>
            <w:vAlign w:val="center"/>
          </w:tcPr>
          <w:p w14:paraId="25879DED"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Thiamin (mg)</w:t>
            </w:r>
          </w:p>
        </w:tc>
        <w:tc>
          <w:tcPr>
            <w:tcW w:w="3059" w:type="dxa"/>
            <w:tcMar>
              <w:top w:w="12" w:type="dxa"/>
              <w:left w:w="12" w:type="dxa"/>
              <w:bottom w:w="0" w:type="dxa"/>
              <w:right w:w="12" w:type="dxa"/>
            </w:tcMar>
            <w:vAlign w:val="center"/>
          </w:tcPr>
          <w:p w14:paraId="5EC246B7"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2 years and above</w:t>
            </w:r>
          </w:p>
        </w:tc>
        <w:tc>
          <w:tcPr>
            <w:tcW w:w="2648" w:type="dxa"/>
            <w:vAlign w:val="center"/>
          </w:tcPr>
          <w:p w14:paraId="5E1FCE78" w14:textId="77777777" w:rsidR="000D5096" w:rsidRPr="00A36B68" w:rsidRDefault="000D5096" w:rsidP="00D20A1E">
            <w:pPr>
              <w:pStyle w:val="FootnoteText"/>
              <w:widowControl/>
              <w:tabs>
                <w:tab w:val="decimal" w:pos="1480"/>
              </w:tabs>
              <w:spacing w:before="40" w:after="40"/>
              <w:rPr>
                <w:rFonts w:eastAsia="Arial Unicode MS" w:cs="Arial"/>
              </w:rPr>
            </w:pPr>
            <w:r>
              <w:rPr>
                <w:rFonts w:eastAsia="Arial Unicode MS" w:cs="Arial"/>
              </w:rPr>
              <w:t>1.6</w:t>
            </w:r>
          </w:p>
        </w:tc>
        <w:tc>
          <w:tcPr>
            <w:tcW w:w="2648" w:type="dxa"/>
            <w:shd w:val="clear" w:color="auto" w:fill="D9D9D9" w:themeFill="background1" w:themeFillShade="D9"/>
            <w:noWrap/>
            <w:tcMar>
              <w:top w:w="12" w:type="dxa"/>
              <w:left w:w="12" w:type="dxa"/>
              <w:bottom w:w="0" w:type="dxa"/>
              <w:right w:w="12" w:type="dxa"/>
            </w:tcMar>
            <w:vAlign w:val="center"/>
          </w:tcPr>
          <w:p w14:paraId="0540B255" w14:textId="77777777" w:rsidR="000D5096" w:rsidRPr="00A36B68" w:rsidRDefault="000D5096" w:rsidP="00D20A1E">
            <w:pPr>
              <w:pStyle w:val="FootnoteText"/>
              <w:widowControl/>
              <w:tabs>
                <w:tab w:val="decimal" w:pos="1480"/>
              </w:tabs>
              <w:spacing w:before="40" w:after="40"/>
              <w:rPr>
                <w:rFonts w:eastAsia="Arial Unicode MS" w:cs="Arial"/>
              </w:rPr>
            </w:pPr>
          </w:p>
        </w:tc>
        <w:tc>
          <w:tcPr>
            <w:tcW w:w="2639" w:type="dxa"/>
            <w:vAlign w:val="center"/>
          </w:tcPr>
          <w:p w14:paraId="1E06071A" w14:textId="77777777" w:rsidR="000D5096" w:rsidRPr="00A36B68" w:rsidRDefault="000D5096" w:rsidP="00D20A1E">
            <w:pPr>
              <w:pStyle w:val="FootnoteText"/>
              <w:widowControl/>
              <w:tabs>
                <w:tab w:val="decimal" w:pos="1480"/>
              </w:tabs>
              <w:spacing w:before="40" w:after="40"/>
              <w:rPr>
                <w:rFonts w:eastAsia="Arial Unicode MS" w:cs="Arial"/>
              </w:rPr>
            </w:pPr>
            <w:r w:rsidRPr="004C246E">
              <w:rPr>
                <w:rFonts w:eastAsia="Arial Unicode MS" w:cs="Arial"/>
              </w:rPr>
              <w:t>1.6</w:t>
            </w:r>
          </w:p>
        </w:tc>
      </w:tr>
      <w:tr w:rsidR="000D5096" w:rsidRPr="00A36B68" w14:paraId="1858B295"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26491F6D" w14:textId="77777777" w:rsidR="000D5096" w:rsidRPr="00A36B68" w:rsidRDefault="000D5096"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5E475344" w14:textId="63044C24" w:rsidR="000D5096" w:rsidRPr="00A36B68" w:rsidRDefault="000D5096" w:rsidP="00D20A1E">
            <w:pPr>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2648" w:type="dxa"/>
            <w:vAlign w:val="center"/>
          </w:tcPr>
          <w:p w14:paraId="71523A28" w14:textId="77777777" w:rsidR="000D5096" w:rsidRPr="00A36B68" w:rsidRDefault="000D5096" w:rsidP="00D20A1E">
            <w:pPr>
              <w:pStyle w:val="FootnoteText"/>
              <w:widowControl/>
              <w:tabs>
                <w:tab w:val="decimal" w:pos="1480"/>
              </w:tabs>
              <w:spacing w:before="40" w:after="40"/>
              <w:rPr>
                <w:rFonts w:eastAsia="Arial Unicode MS" w:cs="Arial"/>
              </w:rPr>
            </w:pPr>
            <w:r>
              <w:rPr>
                <w:rFonts w:eastAsia="Arial Unicode MS" w:cs="Arial"/>
              </w:rPr>
              <w:t>1.3</w:t>
            </w:r>
          </w:p>
        </w:tc>
        <w:tc>
          <w:tcPr>
            <w:tcW w:w="2648" w:type="dxa"/>
            <w:noWrap/>
            <w:tcMar>
              <w:top w:w="12" w:type="dxa"/>
              <w:left w:w="12" w:type="dxa"/>
              <w:bottom w:w="0" w:type="dxa"/>
              <w:right w:w="12" w:type="dxa"/>
            </w:tcMar>
            <w:vAlign w:val="center"/>
          </w:tcPr>
          <w:p w14:paraId="7A8E044B" w14:textId="62B6FE8B" w:rsidR="000D5096" w:rsidRPr="00A36B68" w:rsidRDefault="000D5096" w:rsidP="00D20A1E">
            <w:pPr>
              <w:pStyle w:val="FootnoteText"/>
              <w:widowControl/>
              <w:tabs>
                <w:tab w:val="decimal" w:pos="1480"/>
              </w:tabs>
              <w:spacing w:before="40" w:after="40"/>
              <w:rPr>
                <w:rFonts w:eastAsia="Arial Unicode MS" w:cs="Arial"/>
              </w:rPr>
            </w:pPr>
            <w:r>
              <w:rPr>
                <w:rFonts w:eastAsia="Arial Unicode MS" w:cs="Arial"/>
              </w:rPr>
              <w:t>1.</w:t>
            </w:r>
            <w:r w:rsidR="0072004A" w:rsidRPr="0072004A">
              <w:rPr>
                <w:rFonts w:eastAsia="Arial Unicode MS" w:cs="Arial"/>
              </w:rPr>
              <w:t>5</w:t>
            </w:r>
          </w:p>
        </w:tc>
        <w:tc>
          <w:tcPr>
            <w:tcW w:w="2639" w:type="dxa"/>
            <w:shd w:val="clear" w:color="auto" w:fill="D9D9D9" w:themeFill="background1" w:themeFillShade="D9"/>
            <w:vAlign w:val="center"/>
          </w:tcPr>
          <w:p w14:paraId="3547A383" w14:textId="77777777" w:rsidR="000D5096" w:rsidRPr="00A36B68" w:rsidRDefault="000D5096" w:rsidP="00D20A1E">
            <w:pPr>
              <w:pStyle w:val="FootnoteText"/>
              <w:widowControl/>
              <w:tabs>
                <w:tab w:val="decimal" w:pos="1480"/>
              </w:tabs>
              <w:spacing w:before="40" w:after="40"/>
              <w:rPr>
                <w:rFonts w:eastAsia="Arial Unicode MS" w:cs="Arial"/>
              </w:rPr>
            </w:pPr>
          </w:p>
        </w:tc>
      </w:tr>
      <w:tr w:rsidR="000D5096" w:rsidRPr="00A36B68" w14:paraId="6EC5554B"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1DC7B760" w14:textId="77777777" w:rsidR="000D5096" w:rsidRPr="00A36B68" w:rsidRDefault="000D5096"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11D2AF07" w14:textId="0C66D6DD" w:rsidR="000D5096" w:rsidRPr="00A36B68" w:rsidRDefault="000D5096" w:rsidP="00D20A1E">
            <w:pPr>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2648" w:type="dxa"/>
            <w:vAlign w:val="center"/>
          </w:tcPr>
          <w:p w14:paraId="5A914827" w14:textId="77777777" w:rsidR="000D5096" w:rsidRPr="00A36B68" w:rsidRDefault="000D5096" w:rsidP="00D20A1E">
            <w:pPr>
              <w:pStyle w:val="FootnoteText"/>
              <w:widowControl/>
              <w:tabs>
                <w:tab w:val="decimal" w:pos="1480"/>
              </w:tabs>
              <w:spacing w:before="40" w:after="40"/>
              <w:rPr>
                <w:rFonts w:eastAsia="Arial Unicode MS" w:cs="Arial"/>
              </w:rPr>
            </w:pPr>
            <w:r>
              <w:rPr>
                <w:rFonts w:eastAsia="Arial Unicode MS" w:cs="Arial"/>
              </w:rPr>
              <w:t>1.7</w:t>
            </w:r>
          </w:p>
        </w:tc>
        <w:tc>
          <w:tcPr>
            <w:tcW w:w="2648" w:type="dxa"/>
            <w:noWrap/>
            <w:tcMar>
              <w:top w:w="12" w:type="dxa"/>
              <w:left w:w="12" w:type="dxa"/>
              <w:bottom w:w="0" w:type="dxa"/>
              <w:right w:w="12" w:type="dxa"/>
            </w:tcMar>
            <w:vAlign w:val="center"/>
          </w:tcPr>
          <w:p w14:paraId="1289EB3E" w14:textId="59717ACB" w:rsidR="000D5096" w:rsidRPr="00A36B68" w:rsidRDefault="0072004A" w:rsidP="00D20A1E">
            <w:pPr>
              <w:pStyle w:val="FootnoteText"/>
              <w:widowControl/>
              <w:tabs>
                <w:tab w:val="decimal" w:pos="1480"/>
              </w:tabs>
              <w:spacing w:before="40" w:after="40"/>
              <w:rPr>
                <w:rFonts w:eastAsia="Arial Unicode MS" w:cs="Arial"/>
              </w:rPr>
            </w:pPr>
            <w:r w:rsidRPr="0072004A">
              <w:rPr>
                <w:rFonts w:eastAsia="Arial Unicode MS" w:cs="Arial"/>
              </w:rPr>
              <w:t>1.8</w:t>
            </w:r>
          </w:p>
        </w:tc>
        <w:tc>
          <w:tcPr>
            <w:tcW w:w="2639" w:type="dxa"/>
            <w:shd w:val="clear" w:color="auto" w:fill="D9D9D9" w:themeFill="background1" w:themeFillShade="D9"/>
            <w:vAlign w:val="center"/>
          </w:tcPr>
          <w:p w14:paraId="501272A7" w14:textId="77777777" w:rsidR="000D5096" w:rsidRPr="00A36B68" w:rsidRDefault="000D5096" w:rsidP="00D20A1E">
            <w:pPr>
              <w:pStyle w:val="FootnoteText"/>
              <w:widowControl/>
              <w:tabs>
                <w:tab w:val="decimal" w:pos="1480"/>
              </w:tabs>
              <w:spacing w:before="40" w:after="40"/>
              <w:rPr>
                <w:rFonts w:eastAsia="Arial Unicode MS" w:cs="Arial"/>
              </w:rPr>
            </w:pPr>
          </w:p>
        </w:tc>
      </w:tr>
      <w:tr w:rsidR="000D5096" w:rsidRPr="00A36B68" w14:paraId="52D9E521" w14:textId="77777777" w:rsidTr="00804C57">
        <w:trPr>
          <w:trHeight w:val="264"/>
        </w:trPr>
        <w:tc>
          <w:tcPr>
            <w:tcW w:w="2986" w:type="dxa"/>
            <w:tcBorders>
              <w:top w:val="nil"/>
              <w:bottom w:val="single" w:sz="4" w:space="0" w:color="auto"/>
            </w:tcBorders>
            <w:noWrap/>
            <w:tcMar>
              <w:top w:w="12" w:type="dxa"/>
              <w:left w:w="12" w:type="dxa"/>
              <w:bottom w:w="0" w:type="dxa"/>
              <w:right w:w="12" w:type="dxa"/>
            </w:tcMar>
            <w:vAlign w:val="center"/>
          </w:tcPr>
          <w:p w14:paraId="23661C47" w14:textId="77777777" w:rsidR="000D5096" w:rsidRPr="00A36B68" w:rsidRDefault="000D5096"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1F579734"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15 years and above</w:t>
            </w:r>
          </w:p>
        </w:tc>
        <w:tc>
          <w:tcPr>
            <w:tcW w:w="2648" w:type="dxa"/>
            <w:vAlign w:val="center"/>
          </w:tcPr>
          <w:p w14:paraId="7E505D56" w14:textId="77777777" w:rsidR="000D5096" w:rsidRPr="00A36B68" w:rsidRDefault="000D5096" w:rsidP="00D20A1E">
            <w:pPr>
              <w:pStyle w:val="FootnoteText"/>
              <w:widowControl/>
              <w:tabs>
                <w:tab w:val="decimal" w:pos="1480"/>
              </w:tabs>
              <w:spacing w:before="40" w:after="40"/>
              <w:rPr>
                <w:rFonts w:eastAsia="Arial Unicode MS" w:cs="Arial"/>
              </w:rPr>
            </w:pPr>
            <w:r w:rsidRPr="00736F1D">
              <w:rPr>
                <w:rFonts w:eastAsia="Arial Unicode MS" w:cs="Arial"/>
              </w:rPr>
              <w:t>1.6</w:t>
            </w:r>
          </w:p>
        </w:tc>
        <w:tc>
          <w:tcPr>
            <w:tcW w:w="2648" w:type="dxa"/>
            <w:shd w:val="clear" w:color="auto" w:fill="D9D9D9" w:themeFill="background1" w:themeFillShade="D9"/>
            <w:noWrap/>
            <w:tcMar>
              <w:top w:w="12" w:type="dxa"/>
              <w:left w:w="12" w:type="dxa"/>
              <w:bottom w:w="0" w:type="dxa"/>
              <w:right w:w="12" w:type="dxa"/>
            </w:tcMar>
            <w:vAlign w:val="center"/>
          </w:tcPr>
          <w:p w14:paraId="6C1995F7" w14:textId="77777777" w:rsidR="000D5096" w:rsidRPr="00A36B68" w:rsidRDefault="000D5096" w:rsidP="00D20A1E">
            <w:pPr>
              <w:pStyle w:val="FootnoteText"/>
              <w:widowControl/>
              <w:tabs>
                <w:tab w:val="decimal" w:pos="1480"/>
              </w:tabs>
              <w:spacing w:before="40" w:after="40"/>
              <w:rPr>
                <w:rFonts w:eastAsia="Arial Unicode MS" w:cs="Arial"/>
              </w:rPr>
            </w:pPr>
          </w:p>
        </w:tc>
        <w:tc>
          <w:tcPr>
            <w:tcW w:w="2639" w:type="dxa"/>
            <w:shd w:val="clear" w:color="auto" w:fill="D9D9D9" w:themeFill="background1" w:themeFillShade="D9"/>
            <w:vAlign w:val="center"/>
          </w:tcPr>
          <w:p w14:paraId="2C9B09F6" w14:textId="77777777" w:rsidR="000D5096" w:rsidRPr="00A36B68" w:rsidRDefault="000D5096" w:rsidP="00D20A1E">
            <w:pPr>
              <w:pStyle w:val="FootnoteText"/>
              <w:widowControl/>
              <w:tabs>
                <w:tab w:val="decimal" w:pos="1480"/>
              </w:tabs>
              <w:spacing w:before="40" w:after="40"/>
              <w:rPr>
                <w:rFonts w:eastAsia="Arial Unicode MS" w:cs="Arial"/>
              </w:rPr>
            </w:pPr>
          </w:p>
        </w:tc>
      </w:tr>
      <w:tr w:rsidR="000D5096" w:rsidRPr="00A36B68" w14:paraId="0E9989DA" w14:textId="77777777" w:rsidTr="00804C57">
        <w:trPr>
          <w:trHeight w:val="264"/>
        </w:trPr>
        <w:tc>
          <w:tcPr>
            <w:tcW w:w="2986" w:type="dxa"/>
            <w:tcBorders>
              <w:bottom w:val="nil"/>
            </w:tcBorders>
            <w:noWrap/>
            <w:tcMar>
              <w:top w:w="12" w:type="dxa"/>
              <w:left w:w="12" w:type="dxa"/>
              <w:bottom w:w="0" w:type="dxa"/>
              <w:right w:w="12" w:type="dxa"/>
            </w:tcMar>
            <w:vAlign w:val="center"/>
          </w:tcPr>
          <w:p w14:paraId="0C37F6C3"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lastRenderedPageBreak/>
              <w:t>Vitamin B</w:t>
            </w:r>
            <w:r w:rsidRPr="00A36B68">
              <w:rPr>
                <w:rFonts w:cs="Arial"/>
                <w:sz w:val="20"/>
                <w:szCs w:val="20"/>
                <w:vertAlign w:val="subscript"/>
              </w:rPr>
              <w:t>6</w:t>
            </w:r>
            <w:r w:rsidRPr="00A36B68">
              <w:rPr>
                <w:rFonts w:cs="Arial"/>
                <w:sz w:val="20"/>
                <w:szCs w:val="20"/>
              </w:rPr>
              <w:t xml:space="preserve"> (mg)</w:t>
            </w:r>
          </w:p>
        </w:tc>
        <w:tc>
          <w:tcPr>
            <w:tcW w:w="3059" w:type="dxa"/>
            <w:tcMar>
              <w:top w:w="12" w:type="dxa"/>
              <w:left w:w="12" w:type="dxa"/>
              <w:bottom w:w="0" w:type="dxa"/>
              <w:right w:w="12" w:type="dxa"/>
            </w:tcMar>
            <w:vAlign w:val="center"/>
          </w:tcPr>
          <w:p w14:paraId="5A024D29"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 years and above</w:t>
            </w:r>
          </w:p>
        </w:tc>
        <w:tc>
          <w:tcPr>
            <w:tcW w:w="2648" w:type="dxa"/>
            <w:vAlign w:val="center"/>
          </w:tcPr>
          <w:p w14:paraId="2557122F"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Pr>
                <w:rFonts w:eastAsia="Arial Unicode MS" w:cs="Arial"/>
              </w:rPr>
              <w:t>1.5</w:t>
            </w:r>
          </w:p>
        </w:tc>
        <w:tc>
          <w:tcPr>
            <w:tcW w:w="2648" w:type="dxa"/>
            <w:shd w:val="clear" w:color="auto" w:fill="D9D9D9" w:themeFill="background1" w:themeFillShade="D9"/>
            <w:noWrap/>
            <w:tcMar>
              <w:top w:w="12" w:type="dxa"/>
              <w:left w:w="12" w:type="dxa"/>
              <w:bottom w:w="0" w:type="dxa"/>
              <w:right w:w="12" w:type="dxa"/>
            </w:tcMar>
            <w:vAlign w:val="center"/>
          </w:tcPr>
          <w:p w14:paraId="18616B52" w14:textId="77777777" w:rsidR="000D5096" w:rsidRPr="00A36B68" w:rsidRDefault="000D5096" w:rsidP="00D20A1E">
            <w:pPr>
              <w:pStyle w:val="FootnoteText"/>
              <w:keepNext/>
              <w:keepLines/>
              <w:widowControl/>
              <w:tabs>
                <w:tab w:val="decimal" w:pos="1480"/>
              </w:tabs>
              <w:spacing w:before="40" w:after="40"/>
              <w:rPr>
                <w:rFonts w:eastAsia="Arial Unicode MS" w:cs="Arial"/>
              </w:rPr>
            </w:pPr>
          </w:p>
        </w:tc>
        <w:tc>
          <w:tcPr>
            <w:tcW w:w="2639" w:type="dxa"/>
            <w:vAlign w:val="center"/>
          </w:tcPr>
          <w:p w14:paraId="6C5EDEE3"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sidRPr="004C246E">
              <w:rPr>
                <w:rFonts w:eastAsia="Arial Unicode MS" w:cs="Arial"/>
              </w:rPr>
              <w:t>1.4</w:t>
            </w:r>
          </w:p>
        </w:tc>
      </w:tr>
      <w:tr w:rsidR="000D5096" w:rsidRPr="00A36B68" w14:paraId="153C2234"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334A2C84" w14:textId="77777777" w:rsidR="000D5096" w:rsidRPr="00A36B68" w:rsidRDefault="000D5096" w:rsidP="00D20A1E">
            <w:pPr>
              <w:keepNext/>
              <w:keepLines/>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3F9A7FE5" w14:textId="150DE873"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2648" w:type="dxa"/>
            <w:vAlign w:val="center"/>
          </w:tcPr>
          <w:p w14:paraId="25295A05"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Pr>
                <w:rFonts w:eastAsia="Arial Unicode MS" w:cs="Arial"/>
              </w:rPr>
              <w:t>1.1</w:t>
            </w:r>
          </w:p>
        </w:tc>
        <w:tc>
          <w:tcPr>
            <w:tcW w:w="2648" w:type="dxa"/>
            <w:noWrap/>
            <w:tcMar>
              <w:top w:w="12" w:type="dxa"/>
              <w:left w:w="12" w:type="dxa"/>
              <w:bottom w:w="0" w:type="dxa"/>
              <w:right w:w="12" w:type="dxa"/>
            </w:tcMar>
            <w:vAlign w:val="center"/>
          </w:tcPr>
          <w:p w14:paraId="3E6F45E3"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Pr>
                <w:rFonts w:eastAsia="Arial Unicode MS" w:cs="Arial"/>
              </w:rPr>
              <w:t>n/a</w:t>
            </w:r>
          </w:p>
        </w:tc>
        <w:tc>
          <w:tcPr>
            <w:tcW w:w="2639" w:type="dxa"/>
            <w:shd w:val="clear" w:color="auto" w:fill="D9D9D9" w:themeFill="background1" w:themeFillShade="D9"/>
            <w:vAlign w:val="center"/>
          </w:tcPr>
          <w:p w14:paraId="4DD8E7A9" w14:textId="77777777" w:rsidR="000D5096" w:rsidRPr="00A36B68" w:rsidRDefault="000D5096" w:rsidP="00D20A1E">
            <w:pPr>
              <w:pStyle w:val="FootnoteText"/>
              <w:keepNext/>
              <w:keepLines/>
              <w:widowControl/>
              <w:tabs>
                <w:tab w:val="decimal" w:pos="1480"/>
              </w:tabs>
              <w:spacing w:before="40" w:after="40"/>
              <w:rPr>
                <w:rFonts w:eastAsia="Arial Unicode MS" w:cs="Arial"/>
              </w:rPr>
            </w:pPr>
          </w:p>
        </w:tc>
      </w:tr>
      <w:tr w:rsidR="000D5096" w:rsidRPr="00A36B68" w14:paraId="599C648A"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3EF8D645" w14:textId="77777777" w:rsidR="000D5096" w:rsidRPr="00A36B68" w:rsidRDefault="000D5096" w:rsidP="00D20A1E">
            <w:pPr>
              <w:keepNext/>
              <w:keepLines/>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6B40E370" w14:textId="290A2FB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2648" w:type="dxa"/>
            <w:vAlign w:val="center"/>
          </w:tcPr>
          <w:p w14:paraId="33623FBE"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Pr>
                <w:rFonts w:eastAsia="Arial Unicode MS" w:cs="Arial"/>
              </w:rPr>
              <w:t>1.5</w:t>
            </w:r>
          </w:p>
        </w:tc>
        <w:tc>
          <w:tcPr>
            <w:tcW w:w="2648" w:type="dxa"/>
            <w:noWrap/>
            <w:tcMar>
              <w:top w:w="12" w:type="dxa"/>
              <w:left w:w="12" w:type="dxa"/>
              <w:bottom w:w="0" w:type="dxa"/>
              <w:right w:w="12" w:type="dxa"/>
            </w:tcMar>
            <w:vAlign w:val="center"/>
          </w:tcPr>
          <w:p w14:paraId="5B341FD5"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Pr>
                <w:rFonts w:eastAsia="Arial Unicode MS" w:cs="Arial"/>
              </w:rPr>
              <w:t>n/a</w:t>
            </w:r>
          </w:p>
        </w:tc>
        <w:tc>
          <w:tcPr>
            <w:tcW w:w="2639" w:type="dxa"/>
            <w:shd w:val="clear" w:color="auto" w:fill="D9D9D9" w:themeFill="background1" w:themeFillShade="D9"/>
            <w:vAlign w:val="center"/>
          </w:tcPr>
          <w:p w14:paraId="79B616FA" w14:textId="77777777" w:rsidR="000D5096" w:rsidRPr="00A36B68" w:rsidRDefault="000D5096" w:rsidP="00D20A1E">
            <w:pPr>
              <w:pStyle w:val="FootnoteText"/>
              <w:keepNext/>
              <w:keepLines/>
              <w:widowControl/>
              <w:tabs>
                <w:tab w:val="decimal" w:pos="1480"/>
              </w:tabs>
              <w:spacing w:before="40" w:after="40"/>
              <w:rPr>
                <w:rFonts w:eastAsia="Arial Unicode MS" w:cs="Arial"/>
              </w:rPr>
            </w:pPr>
          </w:p>
        </w:tc>
      </w:tr>
      <w:tr w:rsidR="000D5096" w:rsidRPr="00A36B68" w14:paraId="21DE76C2" w14:textId="77777777" w:rsidTr="00804C57">
        <w:trPr>
          <w:trHeight w:val="264"/>
        </w:trPr>
        <w:tc>
          <w:tcPr>
            <w:tcW w:w="2986" w:type="dxa"/>
            <w:tcBorders>
              <w:top w:val="nil"/>
              <w:bottom w:val="single" w:sz="4" w:space="0" w:color="auto"/>
            </w:tcBorders>
            <w:noWrap/>
            <w:tcMar>
              <w:top w:w="12" w:type="dxa"/>
              <w:left w:w="12" w:type="dxa"/>
              <w:bottom w:w="0" w:type="dxa"/>
              <w:right w:w="12" w:type="dxa"/>
            </w:tcMar>
            <w:vAlign w:val="center"/>
          </w:tcPr>
          <w:p w14:paraId="5FC9D560" w14:textId="77777777" w:rsidR="000D5096" w:rsidRPr="00A36B68" w:rsidRDefault="000D5096" w:rsidP="00D20A1E">
            <w:pPr>
              <w:keepNext/>
              <w:keepLines/>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5D0BBC82"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2648" w:type="dxa"/>
            <w:vAlign w:val="center"/>
          </w:tcPr>
          <w:p w14:paraId="264BB200"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sidRPr="00736F1D">
              <w:rPr>
                <w:rFonts w:eastAsia="Arial Unicode MS" w:cs="Arial"/>
              </w:rPr>
              <w:t>1.6</w:t>
            </w:r>
          </w:p>
        </w:tc>
        <w:tc>
          <w:tcPr>
            <w:tcW w:w="2648" w:type="dxa"/>
            <w:shd w:val="clear" w:color="auto" w:fill="D9D9D9" w:themeFill="background1" w:themeFillShade="D9"/>
            <w:noWrap/>
            <w:tcMar>
              <w:top w:w="12" w:type="dxa"/>
              <w:left w:w="12" w:type="dxa"/>
              <w:bottom w:w="0" w:type="dxa"/>
              <w:right w:w="12" w:type="dxa"/>
            </w:tcMar>
            <w:vAlign w:val="center"/>
          </w:tcPr>
          <w:p w14:paraId="40F87D9F" w14:textId="77777777" w:rsidR="000D5096" w:rsidRPr="00A36B68" w:rsidRDefault="000D5096" w:rsidP="00D20A1E">
            <w:pPr>
              <w:pStyle w:val="FootnoteText"/>
              <w:keepNext/>
              <w:keepLines/>
              <w:widowControl/>
              <w:tabs>
                <w:tab w:val="decimal" w:pos="1480"/>
              </w:tabs>
              <w:spacing w:before="40" w:after="40"/>
              <w:rPr>
                <w:rFonts w:eastAsia="Arial Unicode MS" w:cs="Arial"/>
              </w:rPr>
            </w:pPr>
          </w:p>
        </w:tc>
        <w:tc>
          <w:tcPr>
            <w:tcW w:w="2639" w:type="dxa"/>
            <w:shd w:val="clear" w:color="auto" w:fill="D9D9D9" w:themeFill="background1" w:themeFillShade="D9"/>
            <w:vAlign w:val="center"/>
          </w:tcPr>
          <w:p w14:paraId="17F80B84" w14:textId="77777777" w:rsidR="000D5096" w:rsidRPr="00A36B68" w:rsidRDefault="000D5096" w:rsidP="00D20A1E">
            <w:pPr>
              <w:pStyle w:val="FootnoteText"/>
              <w:keepNext/>
              <w:keepLines/>
              <w:widowControl/>
              <w:tabs>
                <w:tab w:val="decimal" w:pos="1480"/>
              </w:tabs>
              <w:spacing w:before="40" w:after="40"/>
              <w:rPr>
                <w:rFonts w:eastAsia="Arial Unicode MS" w:cs="Arial"/>
              </w:rPr>
            </w:pPr>
          </w:p>
        </w:tc>
      </w:tr>
      <w:tr w:rsidR="000D5096" w:rsidRPr="00A36B68" w14:paraId="7233956B" w14:textId="77777777" w:rsidTr="00804C57">
        <w:trPr>
          <w:trHeight w:val="264"/>
        </w:trPr>
        <w:tc>
          <w:tcPr>
            <w:tcW w:w="2986" w:type="dxa"/>
            <w:tcBorders>
              <w:bottom w:val="nil"/>
            </w:tcBorders>
            <w:noWrap/>
            <w:tcMar>
              <w:top w:w="12" w:type="dxa"/>
              <w:left w:w="12" w:type="dxa"/>
              <w:bottom w:w="0" w:type="dxa"/>
              <w:right w:w="12" w:type="dxa"/>
            </w:tcMar>
            <w:vAlign w:val="center"/>
          </w:tcPr>
          <w:p w14:paraId="6E7EC5F8"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Vitamin B</w:t>
            </w:r>
            <w:r w:rsidRPr="00A36B68">
              <w:rPr>
                <w:rFonts w:cs="Arial"/>
                <w:sz w:val="20"/>
                <w:szCs w:val="20"/>
                <w:vertAlign w:val="subscript"/>
              </w:rPr>
              <w:t>12</w:t>
            </w:r>
            <w:r w:rsidRPr="00A36B68">
              <w:rPr>
                <w:rFonts w:cs="Arial"/>
                <w:sz w:val="20"/>
                <w:szCs w:val="20"/>
              </w:rPr>
              <w:t xml:space="preserve"> (</w:t>
            </w:r>
            <w:r w:rsidRPr="00A36B68">
              <w:rPr>
                <w:rFonts w:eastAsia="Arial Unicode MS" w:cs="Arial"/>
                <w:sz w:val="20"/>
                <w:szCs w:val="20"/>
              </w:rPr>
              <w:t>µ</w:t>
            </w:r>
            <w:r w:rsidRPr="00A36B68">
              <w:rPr>
                <w:rFonts w:cs="Arial"/>
                <w:sz w:val="20"/>
                <w:szCs w:val="20"/>
              </w:rPr>
              <w:t>g)</w:t>
            </w:r>
          </w:p>
        </w:tc>
        <w:tc>
          <w:tcPr>
            <w:tcW w:w="3059" w:type="dxa"/>
            <w:tcMar>
              <w:top w:w="12" w:type="dxa"/>
              <w:left w:w="12" w:type="dxa"/>
              <w:bottom w:w="0" w:type="dxa"/>
              <w:right w:w="12" w:type="dxa"/>
            </w:tcMar>
            <w:vAlign w:val="center"/>
          </w:tcPr>
          <w:p w14:paraId="107D9E9A"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2 years and above</w:t>
            </w:r>
          </w:p>
        </w:tc>
        <w:tc>
          <w:tcPr>
            <w:tcW w:w="2648" w:type="dxa"/>
            <w:vAlign w:val="center"/>
          </w:tcPr>
          <w:p w14:paraId="3E3A35D0" w14:textId="77777777" w:rsidR="000D5096" w:rsidRPr="00A36B68" w:rsidRDefault="000D5096" w:rsidP="00D20A1E">
            <w:pPr>
              <w:pStyle w:val="FootnoteText"/>
              <w:widowControl/>
              <w:tabs>
                <w:tab w:val="decimal" w:pos="1480"/>
              </w:tabs>
              <w:spacing w:before="40" w:after="40"/>
              <w:rPr>
                <w:rFonts w:eastAsia="Arial Unicode MS" w:cs="Arial"/>
              </w:rPr>
            </w:pPr>
            <w:r>
              <w:rPr>
                <w:rFonts w:eastAsia="Arial Unicode MS" w:cs="Arial"/>
              </w:rPr>
              <w:t>4.3</w:t>
            </w:r>
          </w:p>
        </w:tc>
        <w:tc>
          <w:tcPr>
            <w:tcW w:w="2648" w:type="dxa"/>
            <w:shd w:val="clear" w:color="auto" w:fill="D9D9D9" w:themeFill="background1" w:themeFillShade="D9"/>
            <w:noWrap/>
            <w:tcMar>
              <w:top w:w="12" w:type="dxa"/>
              <w:left w:w="12" w:type="dxa"/>
              <w:bottom w:w="0" w:type="dxa"/>
              <w:right w:w="12" w:type="dxa"/>
            </w:tcMar>
            <w:vAlign w:val="center"/>
          </w:tcPr>
          <w:p w14:paraId="5A2F4B6C" w14:textId="77777777" w:rsidR="000D5096" w:rsidRPr="00A36B68" w:rsidRDefault="000D5096" w:rsidP="00D20A1E">
            <w:pPr>
              <w:pStyle w:val="FootnoteText"/>
              <w:widowControl/>
              <w:tabs>
                <w:tab w:val="decimal" w:pos="1480"/>
              </w:tabs>
              <w:spacing w:before="40" w:after="40"/>
              <w:rPr>
                <w:rFonts w:eastAsia="Arial Unicode MS" w:cs="Arial"/>
              </w:rPr>
            </w:pPr>
          </w:p>
        </w:tc>
        <w:tc>
          <w:tcPr>
            <w:tcW w:w="2639" w:type="dxa"/>
            <w:vAlign w:val="center"/>
          </w:tcPr>
          <w:p w14:paraId="636D466C" w14:textId="77777777" w:rsidR="000D5096" w:rsidRPr="00A36B68" w:rsidRDefault="000D5096" w:rsidP="00D20A1E">
            <w:pPr>
              <w:pStyle w:val="FootnoteText"/>
              <w:widowControl/>
              <w:tabs>
                <w:tab w:val="decimal" w:pos="1480"/>
              </w:tabs>
              <w:spacing w:before="40" w:after="40"/>
              <w:rPr>
                <w:rFonts w:eastAsia="Arial Unicode MS" w:cs="Arial"/>
              </w:rPr>
            </w:pPr>
            <w:r w:rsidRPr="004C246E">
              <w:rPr>
                <w:rFonts w:eastAsia="Arial Unicode MS" w:cs="Arial"/>
              </w:rPr>
              <w:t>4.4</w:t>
            </w:r>
          </w:p>
        </w:tc>
      </w:tr>
      <w:tr w:rsidR="000D5096" w:rsidRPr="00A36B68" w14:paraId="62ECEF06"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3FF81133" w14:textId="77777777" w:rsidR="000D5096" w:rsidRPr="00A36B68" w:rsidRDefault="000D5096"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2AB89796" w14:textId="2851381C" w:rsidR="000D5096" w:rsidRPr="00A36B68" w:rsidRDefault="000D5096" w:rsidP="00D20A1E">
            <w:pPr>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2648" w:type="dxa"/>
            <w:vAlign w:val="center"/>
          </w:tcPr>
          <w:p w14:paraId="069C28F7" w14:textId="77777777" w:rsidR="000D5096" w:rsidRPr="00A36B68" w:rsidRDefault="000D5096" w:rsidP="00D20A1E">
            <w:pPr>
              <w:pStyle w:val="FootnoteText"/>
              <w:widowControl/>
              <w:tabs>
                <w:tab w:val="decimal" w:pos="1480"/>
              </w:tabs>
              <w:spacing w:before="40" w:after="40"/>
              <w:rPr>
                <w:rFonts w:eastAsia="Arial Unicode MS" w:cs="Arial"/>
              </w:rPr>
            </w:pPr>
            <w:r>
              <w:rPr>
                <w:rFonts w:eastAsia="Arial Unicode MS" w:cs="Arial"/>
              </w:rPr>
              <w:t>2.8</w:t>
            </w:r>
          </w:p>
        </w:tc>
        <w:tc>
          <w:tcPr>
            <w:tcW w:w="2648" w:type="dxa"/>
            <w:noWrap/>
            <w:tcMar>
              <w:top w:w="12" w:type="dxa"/>
              <w:left w:w="12" w:type="dxa"/>
              <w:bottom w:w="0" w:type="dxa"/>
              <w:right w:w="12" w:type="dxa"/>
            </w:tcMar>
            <w:vAlign w:val="center"/>
          </w:tcPr>
          <w:p w14:paraId="2FDC4C8B" w14:textId="77777777" w:rsidR="000D5096" w:rsidRPr="00A36B68" w:rsidRDefault="000D5096" w:rsidP="00D20A1E">
            <w:pPr>
              <w:pStyle w:val="FootnoteText"/>
              <w:widowControl/>
              <w:tabs>
                <w:tab w:val="decimal" w:pos="1480"/>
              </w:tabs>
              <w:spacing w:before="40" w:after="40"/>
              <w:rPr>
                <w:rFonts w:eastAsia="Arial Unicode MS" w:cs="Arial"/>
              </w:rPr>
            </w:pPr>
            <w:r>
              <w:rPr>
                <w:rFonts w:eastAsia="Arial Unicode MS" w:cs="Arial"/>
              </w:rPr>
              <w:t>n/a</w:t>
            </w:r>
          </w:p>
        </w:tc>
        <w:tc>
          <w:tcPr>
            <w:tcW w:w="2639" w:type="dxa"/>
            <w:shd w:val="clear" w:color="auto" w:fill="D9D9D9" w:themeFill="background1" w:themeFillShade="D9"/>
            <w:vAlign w:val="center"/>
          </w:tcPr>
          <w:p w14:paraId="31714EE8" w14:textId="77777777" w:rsidR="000D5096" w:rsidRPr="00A36B68" w:rsidRDefault="000D5096" w:rsidP="00D20A1E">
            <w:pPr>
              <w:pStyle w:val="FootnoteText"/>
              <w:widowControl/>
              <w:tabs>
                <w:tab w:val="decimal" w:pos="1480"/>
              </w:tabs>
              <w:spacing w:before="40" w:after="40"/>
              <w:rPr>
                <w:rFonts w:eastAsia="Arial Unicode MS" w:cs="Arial"/>
              </w:rPr>
            </w:pPr>
          </w:p>
        </w:tc>
      </w:tr>
      <w:tr w:rsidR="000D5096" w:rsidRPr="00A36B68" w14:paraId="31E804C5"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369AA3BB" w14:textId="77777777" w:rsidR="000D5096" w:rsidRPr="00A36B68" w:rsidRDefault="000D5096"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6587FBA6" w14:textId="01A3FFB4" w:rsidR="000D5096" w:rsidRPr="00A36B68" w:rsidRDefault="000D5096" w:rsidP="00D20A1E">
            <w:pPr>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2648" w:type="dxa"/>
            <w:vAlign w:val="center"/>
          </w:tcPr>
          <w:p w14:paraId="2CCDEA6B" w14:textId="77777777" w:rsidR="000D5096" w:rsidRPr="00A36B68" w:rsidRDefault="000D5096" w:rsidP="00D20A1E">
            <w:pPr>
              <w:pStyle w:val="FootnoteText"/>
              <w:widowControl/>
              <w:tabs>
                <w:tab w:val="decimal" w:pos="1480"/>
              </w:tabs>
              <w:spacing w:before="40" w:after="40"/>
              <w:rPr>
                <w:rFonts w:eastAsia="Arial Unicode MS" w:cs="Arial"/>
              </w:rPr>
            </w:pPr>
            <w:r>
              <w:rPr>
                <w:rFonts w:eastAsia="Arial Unicode MS" w:cs="Arial"/>
              </w:rPr>
              <w:t>3.7</w:t>
            </w:r>
          </w:p>
        </w:tc>
        <w:tc>
          <w:tcPr>
            <w:tcW w:w="2648" w:type="dxa"/>
            <w:noWrap/>
            <w:tcMar>
              <w:top w:w="12" w:type="dxa"/>
              <w:left w:w="12" w:type="dxa"/>
              <w:bottom w:w="0" w:type="dxa"/>
              <w:right w:w="12" w:type="dxa"/>
            </w:tcMar>
            <w:vAlign w:val="center"/>
          </w:tcPr>
          <w:p w14:paraId="72A6DFE9" w14:textId="77777777" w:rsidR="000D5096" w:rsidRPr="00A36B68" w:rsidRDefault="000D5096" w:rsidP="00D20A1E">
            <w:pPr>
              <w:pStyle w:val="FootnoteText"/>
              <w:widowControl/>
              <w:tabs>
                <w:tab w:val="decimal" w:pos="1480"/>
              </w:tabs>
              <w:spacing w:before="40" w:after="40"/>
              <w:rPr>
                <w:rFonts w:eastAsia="Arial Unicode MS" w:cs="Arial"/>
              </w:rPr>
            </w:pPr>
            <w:r>
              <w:rPr>
                <w:rFonts w:eastAsia="Arial Unicode MS" w:cs="Arial"/>
              </w:rPr>
              <w:t>n/a</w:t>
            </w:r>
          </w:p>
        </w:tc>
        <w:tc>
          <w:tcPr>
            <w:tcW w:w="2639" w:type="dxa"/>
            <w:shd w:val="clear" w:color="auto" w:fill="D9D9D9" w:themeFill="background1" w:themeFillShade="D9"/>
            <w:vAlign w:val="center"/>
          </w:tcPr>
          <w:p w14:paraId="06E8F412" w14:textId="77777777" w:rsidR="000D5096" w:rsidRPr="00A36B68" w:rsidRDefault="000D5096" w:rsidP="00D20A1E">
            <w:pPr>
              <w:pStyle w:val="FootnoteText"/>
              <w:widowControl/>
              <w:tabs>
                <w:tab w:val="decimal" w:pos="1480"/>
              </w:tabs>
              <w:spacing w:before="40" w:after="40"/>
              <w:rPr>
                <w:rFonts w:eastAsia="Arial Unicode MS" w:cs="Arial"/>
              </w:rPr>
            </w:pPr>
          </w:p>
        </w:tc>
      </w:tr>
      <w:tr w:rsidR="000D5096" w:rsidRPr="00A36B68" w14:paraId="5006B7D3" w14:textId="77777777" w:rsidTr="00804C57">
        <w:trPr>
          <w:trHeight w:val="264"/>
        </w:trPr>
        <w:tc>
          <w:tcPr>
            <w:tcW w:w="2986" w:type="dxa"/>
            <w:tcBorders>
              <w:top w:val="nil"/>
              <w:bottom w:val="single" w:sz="4" w:space="0" w:color="auto"/>
            </w:tcBorders>
            <w:noWrap/>
            <w:tcMar>
              <w:top w:w="12" w:type="dxa"/>
              <w:left w:w="12" w:type="dxa"/>
              <w:bottom w:w="0" w:type="dxa"/>
              <w:right w:w="12" w:type="dxa"/>
            </w:tcMar>
            <w:vAlign w:val="center"/>
          </w:tcPr>
          <w:p w14:paraId="2D0BD62E" w14:textId="77777777" w:rsidR="000D5096" w:rsidRPr="00A36B68" w:rsidRDefault="000D5096"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3A2469AB"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15 years and above</w:t>
            </w:r>
          </w:p>
        </w:tc>
        <w:tc>
          <w:tcPr>
            <w:tcW w:w="2648" w:type="dxa"/>
            <w:vAlign w:val="center"/>
          </w:tcPr>
          <w:p w14:paraId="21F69F7D" w14:textId="77777777" w:rsidR="000D5096" w:rsidRPr="00A36B68" w:rsidRDefault="000D5096" w:rsidP="00D20A1E">
            <w:pPr>
              <w:pStyle w:val="FootnoteText"/>
              <w:widowControl/>
              <w:tabs>
                <w:tab w:val="decimal" w:pos="1480"/>
              </w:tabs>
              <w:spacing w:before="40" w:after="40"/>
              <w:rPr>
                <w:rFonts w:eastAsia="Arial Unicode MS" w:cs="Arial"/>
              </w:rPr>
            </w:pPr>
            <w:r w:rsidRPr="00736F1D">
              <w:rPr>
                <w:rFonts w:eastAsia="Arial Unicode MS" w:cs="Arial"/>
              </w:rPr>
              <w:t>4.5</w:t>
            </w:r>
          </w:p>
        </w:tc>
        <w:tc>
          <w:tcPr>
            <w:tcW w:w="2648" w:type="dxa"/>
            <w:shd w:val="clear" w:color="auto" w:fill="D9D9D9" w:themeFill="background1" w:themeFillShade="D9"/>
            <w:noWrap/>
            <w:tcMar>
              <w:top w:w="12" w:type="dxa"/>
              <w:left w:w="12" w:type="dxa"/>
              <w:bottom w:w="0" w:type="dxa"/>
              <w:right w:w="12" w:type="dxa"/>
            </w:tcMar>
            <w:vAlign w:val="center"/>
          </w:tcPr>
          <w:p w14:paraId="0D513423" w14:textId="77777777" w:rsidR="000D5096" w:rsidRPr="00A36B68" w:rsidRDefault="000D5096" w:rsidP="00D20A1E">
            <w:pPr>
              <w:pStyle w:val="FootnoteText"/>
              <w:widowControl/>
              <w:tabs>
                <w:tab w:val="decimal" w:pos="1480"/>
              </w:tabs>
              <w:spacing w:before="40" w:after="40"/>
              <w:rPr>
                <w:rFonts w:eastAsia="Arial Unicode MS" w:cs="Arial"/>
              </w:rPr>
            </w:pPr>
          </w:p>
        </w:tc>
        <w:tc>
          <w:tcPr>
            <w:tcW w:w="2639" w:type="dxa"/>
            <w:shd w:val="clear" w:color="auto" w:fill="D9D9D9" w:themeFill="background1" w:themeFillShade="D9"/>
            <w:vAlign w:val="center"/>
          </w:tcPr>
          <w:p w14:paraId="7F49DF41" w14:textId="77777777" w:rsidR="000D5096" w:rsidRPr="00A36B68" w:rsidRDefault="000D5096" w:rsidP="00D20A1E">
            <w:pPr>
              <w:pStyle w:val="FootnoteText"/>
              <w:widowControl/>
              <w:tabs>
                <w:tab w:val="decimal" w:pos="1480"/>
              </w:tabs>
              <w:spacing w:before="40" w:after="40"/>
              <w:rPr>
                <w:rFonts w:eastAsia="Arial Unicode MS" w:cs="Arial"/>
              </w:rPr>
            </w:pPr>
          </w:p>
        </w:tc>
      </w:tr>
      <w:tr w:rsidR="000D5096" w:rsidRPr="00A36B68" w14:paraId="4866DD07" w14:textId="77777777" w:rsidTr="00804C57">
        <w:trPr>
          <w:trHeight w:val="264"/>
        </w:trPr>
        <w:tc>
          <w:tcPr>
            <w:tcW w:w="2986" w:type="dxa"/>
            <w:tcBorders>
              <w:bottom w:val="nil"/>
            </w:tcBorders>
            <w:noWrap/>
            <w:tcMar>
              <w:top w:w="12" w:type="dxa"/>
              <w:left w:w="12" w:type="dxa"/>
              <w:bottom w:w="0" w:type="dxa"/>
              <w:right w:w="12" w:type="dxa"/>
            </w:tcMar>
            <w:vAlign w:val="center"/>
          </w:tcPr>
          <w:p w14:paraId="2CC6F331" w14:textId="77777777" w:rsidR="000D5096" w:rsidRPr="00A36B68" w:rsidRDefault="000D5096" w:rsidP="00D20A1E">
            <w:pPr>
              <w:keepNext/>
              <w:keepLines/>
              <w:widowControl/>
              <w:spacing w:before="40" w:after="40"/>
              <w:rPr>
                <w:rFonts w:eastAsia="Arial Unicode MS" w:cs="Arial"/>
                <w:sz w:val="20"/>
                <w:szCs w:val="20"/>
              </w:rPr>
            </w:pPr>
            <w:r w:rsidRPr="00A36B68">
              <w:rPr>
                <w:rFonts w:eastAsia="Arial Unicode MS" w:cs="Arial"/>
                <w:sz w:val="20"/>
                <w:szCs w:val="20"/>
              </w:rPr>
              <w:t>Vitamin D</w:t>
            </w:r>
            <w:r w:rsidRPr="00A36B68">
              <w:rPr>
                <w:rFonts w:cs="Arial"/>
                <w:sz w:val="20"/>
                <w:szCs w:val="20"/>
              </w:rPr>
              <w:t xml:space="preserve"> (</w:t>
            </w:r>
            <w:r w:rsidRPr="00A36B68">
              <w:rPr>
                <w:rFonts w:eastAsia="Arial Unicode MS" w:cs="Arial"/>
                <w:sz w:val="20"/>
                <w:szCs w:val="20"/>
              </w:rPr>
              <w:t>µ</w:t>
            </w:r>
            <w:r w:rsidRPr="00A36B68">
              <w:rPr>
                <w:rFonts w:cs="Arial"/>
                <w:sz w:val="20"/>
                <w:szCs w:val="20"/>
              </w:rPr>
              <w:t>g)</w:t>
            </w:r>
          </w:p>
        </w:tc>
        <w:tc>
          <w:tcPr>
            <w:tcW w:w="3059" w:type="dxa"/>
            <w:noWrap/>
            <w:tcMar>
              <w:top w:w="12" w:type="dxa"/>
              <w:left w:w="12" w:type="dxa"/>
              <w:bottom w:w="0" w:type="dxa"/>
              <w:right w:w="12" w:type="dxa"/>
            </w:tcMar>
            <w:vAlign w:val="center"/>
          </w:tcPr>
          <w:p w14:paraId="676C7AF6"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 years and above</w:t>
            </w:r>
          </w:p>
        </w:tc>
        <w:tc>
          <w:tcPr>
            <w:tcW w:w="2648" w:type="dxa"/>
            <w:vAlign w:val="center"/>
          </w:tcPr>
          <w:p w14:paraId="47B6193E"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Pr>
                <w:rFonts w:eastAsia="Arial Unicode MS" w:cs="Arial"/>
              </w:rPr>
              <w:t>1.9</w:t>
            </w:r>
          </w:p>
        </w:tc>
        <w:tc>
          <w:tcPr>
            <w:tcW w:w="2648" w:type="dxa"/>
            <w:shd w:val="clear" w:color="auto" w:fill="D9D9D9" w:themeFill="background1" w:themeFillShade="D9"/>
            <w:noWrap/>
            <w:tcMar>
              <w:top w:w="12" w:type="dxa"/>
              <w:left w:w="12" w:type="dxa"/>
              <w:bottom w:w="0" w:type="dxa"/>
              <w:right w:w="12" w:type="dxa"/>
            </w:tcMar>
            <w:vAlign w:val="center"/>
          </w:tcPr>
          <w:p w14:paraId="2FF32C40" w14:textId="77777777" w:rsidR="000D5096" w:rsidRPr="00A36B68" w:rsidRDefault="000D5096" w:rsidP="00D20A1E">
            <w:pPr>
              <w:pStyle w:val="FootnoteText"/>
              <w:keepNext/>
              <w:keepLines/>
              <w:widowControl/>
              <w:tabs>
                <w:tab w:val="decimal" w:pos="1480"/>
              </w:tabs>
              <w:spacing w:before="40" w:after="40"/>
              <w:rPr>
                <w:rFonts w:eastAsia="Arial Unicode MS" w:cs="Arial"/>
              </w:rPr>
            </w:pPr>
          </w:p>
        </w:tc>
        <w:tc>
          <w:tcPr>
            <w:tcW w:w="2639" w:type="dxa"/>
            <w:vAlign w:val="center"/>
          </w:tcPr>
          <w:p w14:paraId="1EF56D17"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Pr>
                <w:rFonts w:eastAsia="Arial Unicode MS" w:cs="Arial"/>
              </w:rPr>
              <w:t>n/a</w:t>
            </w:r>
          </w:p>
        </w:tc>
      </w:tr>
      <w:tr w:rsidR="000D5096" w:rsidRPr="00A36B68" w14:paraId="5B3C394B"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2D3A2EEF" w14:textId="77777777" w:rsidR="000D5096" w:rsidRPr="00A36B68" w:rsidRDefault="000D5096" w:rsidP="00D20A1E">
            <w:pPr>
              <w:keepNext/>
              <w:keepLines/>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2C27550D" w14:textId="7921AA68"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2648" w:type="dxa"/>
            <w:vAlign w:val="center"/>
          </w:tcPr>
          <w:p w14:paraId="7BF69F79"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Pr>
                <w:rFonts w:eastAsia="Arial Unicode MS" w:cs="Arial"/>
              </w:rPr>
              <w:t>1.2</w:t>
            </w:r>
          </w:p>
        </w:tc>
        <w:tc>
          <w:tcPr>
            <w:tcW w:w="2648" w:type="dxa"/>
            <w:noWrap/>
            <w:tcMar>
              <w:top w:w="12" w:type="dxa"/>
              <w:left w:w="12" w:type="dxa"/>
              <w:bottom w:w="0" w:type="dxa"/>
              <w:right w:w="12" w:type="dxa"/>
            </w:tcMar>
            <w:vAlign w:val="center"/>
          </w:tcPr>
          <w:p w14:paraId="3F50D74C" w14:textId="5C94648F" w:rsidR="000D5096" w:rsidRPr="00A36B68" w:rsidRDefault="000D5096" w:rsidP="00D20A1E">
            <w:pPr>
              <w:pStyle w:val="FootnoteText"/>
              <w:keepNext/>
              <w:keepLines/>
              <w:widowControl/>
              <w:tabs>
                <w:tab w:val="decimal" w:pos="1480"/>
              </w:tabs>
              <w:spacing w:before="40" w:after="40"/>
              <w:rPr>
                <w:rFonts w:eastAsia="Arial Unicode MS" w:cs="Arial"/>
              </w:rPr>
            </w:pPr>
            <w:r>
              <w:rPr>
                <w:rFonts w:eastAsia="Arial Unicode MS" w:cs="Arial"/>
              </w:rPr>
              <w:t>3.</w:t>
            </w:r>
            <w:r w:rsidR="0072004A" w:rsidRPr="0072004A">
              <w:rPr>
                <w:rFonts w:eastAsia="Arial Unicode MS" w:cs="Arial"/>
              </w:rPr>
              <w:t>2</w:t>
            </w:r>
          </w:p>
        </w:tc>
        <w:tc>
          <w:tcPr>
            <w:tcW w:w="2639" w:type="dxa"/>
            <w:shd w:val="clear" w:color="auto" w:fill="D9D9D9" w:themeFill="background1" w:themeFillShade="D9"/>
            <w:vAlign w:val="center"/>
          </w:tcPr>
          <w:p w14:paraId="1B605F7F" w14:textId="77777777" w:rsidR="000D5096" w:rsidRPr="00A36B68" w:rsidRDefault="000D5096" w:rsidP="00D20A1E">
            <w:pPr>
              <w:pStyle w:val="FootnoteText"/>
              <w:keepNext/>
              <w:keepLines/>
              <w:widowControl/>
              <w:tabs>
                <w:tab w:val="decimal" w:pos="1480"/>
              </w:tabs>
              <w:spacing w:before="40" w:after="40"/>
              <w:rPr>
                <w:rFonts w:eastAsia="Arial Unicode MS" w:cs="Arial"/>
              </w:rPr>
            </w:pPr>
          </w:p>
        </w:tc>
      </w:tr>
      <w:tr w:rsidR="000D5096" w:rsidRPr="00A36B68" w14:paraId="08646A9D"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306EC7E4" w14:textId="77777777" w:rsidR="000D5096" w:rsidRPr="00A36B68" w:rsidRDefault="000D5096" w:rsidP="00D20A1E">
            <w:pPr>
              <w:keepNext/>
              <w:keepLines/>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24F740E9" w14:textId="2246165A"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2648" w:type="dxa"/>
            <w:vAlign w:val="center"/>
          </w:tcPr>
          <w:p w14:paraId="3C81DE45"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Pr>
                <w:rFonts w:eastAsia="Arial Unicode MS" w:cs="Arial"/>
              </w:rPr>
              <w:t>1.8</w:t>
            </w:r>
          </w:p>
        </w:tc>
        <w:tc>
          <w:tcPr>
            <w:tcW w:w="2648" w:type="dxa"/>
            <w:noWrap/>
            <w:tcMar>
              <w:top w:w="12" w:type="dxa"/>
              <w:left w:w="12" w:type="dxa"/>
              <w:bottom w:w="0" w:type="dxa"/>
              <w:right w:w="12" w:type="dxa"/>
            </w:tcMar>
            <w:vAlign w:val="center"/>
          </w:tcPr>
          <w:p w14:paraId="5D38DCAC" w14:textId="1770CCC5" w:rsidR="000D5096" w:rsidRPr="00A36B68" w:rsidRDefault="0072004A" w:rsidP="00D20A1E">
            <w:pPr>
              <w:pStyle w:val="FootnoteText"/>
              <w:keepNext/>
              <w:keepLines/>
              <w:widowControl/>
              <w:tabs>
                <w:tab w:val="decimal" w:pos="1480"/>
              </w:tabs>
              <w:spacing w:before="40" w:after="40"/>
              <w:rPr>
                <w:rFonts w:eastAsia="Arial Unicode MS" w:cs="Arial"/>
              </w:rPr>
            </w:pPr>
            <w:r w:rsidRPr="0072004A">
              <w:rPr>
                <w:rFonts w:eastAsia="Arial Unicode MS" w:cs="Arial"/>
              </w:rPr>
              <w:t>3</w:t>
            </w:r>
            <w:r w:rsidR="000D5096">
              <w:rPr>
                <w:rFonts w:eastAsia="Arial Unicode MS" w:cs="Arial"/>
              </w:rPr>
              <w:t>.0</w:t>
            </w:r>
          </w:p>
        </w:tc>
        <w:tc>
          <w:tcPr>
            <w:tcW w:w="2639" w:type="dxa"/>
            <w:shd w:val="clear" w:color="auto" w:fill="D9D9D9" w:themeFill="background1" w:themeFillShade="D9"/>
            <w:vAlign w:val="center"/>
          </w:tcPr>
          <w:p w14:paraId="6976A9FE" w14:textId="77777777" w:rsidR="000D5096" w:rsidRPr="00A36B68" w:rsidRDefault="000D5096" w:rsidP="00D20A1E">
            <w:pPr>
              <w:pStyle w:val="FootnoteText"/>
              <w:keepNext/>
              <w:keepLines/>
              <w:widowControl/>
              <w:tabs>
                <w:tab w:val="decimal" w:pos="1480"/>
              </w:tabs>
              <w:spacing w:before="40" w:after="40"/>
              <w:rPr>
                <w:rFonts w:eastAsia="Arial Unicode MS" w:cs="Arial"/>
              </w:rPr>
            </w:pPr>
          </w:p>
        </w:tc>
      </w:tr>
      <w:tr w:rsidR="000D5096" w:rsidRPr="00A36B68" w14:paraId="26B6CAC4" w14:textId="77777777" w:rsidTr="00804C57">
        <w:trPr>
          <w:trHeight w:val="264"/>
        </w:trPr>
        <w:tc>
          <w:tcPr>
            <w:tcW w:w="2986" w:type="dxa"/>
            <w:tcBorders>
              <w:top w:val="nil"/>
              <w:bottom w:val="single" w:sz="4" w:space="0" w:color="auto"/>
            </w:tcBorders>
            <w:noWrap/>
            <w:tcMar>
              <w:top w:w="12" w:type="dxa"/>
              <w:left w:w="12" w:type="dxa"/>
              <w:bottom w:w="0" w:type="dxa"/>
              <w:right w:w="12" w:type="dxa"/>
            </w:tcMar>
            <w:vAlign w:val="center"/>
          </w:tcPr>
          <w:p w14:paraId="0F5ACDBF" w14:textId="77777777" w:rsidR="000D5096" w:rsidRPr="00A36B68" w:rsidRDefault="000D5096" w:rsidP="00D20A1E">
            <w:pPr>
              <w:keepNext/>
              <w:keepLines/>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2993E185"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15 years and above</w:t>
            </w:r>
          </w:p>
        </w:tc>
        <w:tc>
          <w:tcPr>
            <w:tcW w:w="2648" w:type="dxa"/>
            <w:vAlign w:val="center"/>
          </w:tcPr>
          <w:p w14:paraId="293F6995"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sidRPr="00736F1D">
              <w:rPr>
                <w:rFonts w:eastAsia="Arial Unicode MS" w:cs="Arial"/>
              </w:rPr>
              <w:t>2</w:t>
            </w:r>
            <w:r>
              <w:rPr>
                <w:rFonts w:eastAsia="Arial Unicode MS" w:cs="Arial"/>
              </w:rPr>
              <w:t>.0</w:t>
            </w:r>
          </w:p>
        </w:tc>
        <w:tc>
          <w:tcPr>
            <w:tcW w:w="2648" w:type="dxa"/>
            <w:shd w:val="clear" w:color="auto" w:fill="D9D9D9" w:themeFill="background1" w:themeFillShade="D9"/>
            <w:noWrap/>
            <w:tcMar>
              <w:top w:w="12" w:type="dxa"/>
              <w:left w:w="12" w:type="dxa"/>
              <w:bottom w:w="0" w:type="dxa"/>
              <w:right w:w="12" w:type="dxa"/>
            </w:tcMar>
            <w:vAlign w:val="center"/>
          </w:tcPr>
          <w:p w14:paraId="00C250CD" w14:textId="77777777" w:rsidR="000D5096" w:rsidRPr="00A36B68" w:rsidRDefault="000D5096" w:rsidP="00D20A1E">
            <w:pPr>
              <w:pStyle w:val="FootnoteText"/>
              <w:keepNext/>
              <w:keepLines/>
              <w:widowControl/>
              <w:tabs>
                <w:tab w:val="decimal" w:pos="1480"/>
              </w:tabs>
              <w:spacing w:before="40" w:after="40"/>
              <w:rPr>
                <w:rFonts w:eastAsia="Arial Unicode MS" w:cs="Arial"/>
              </w:rPr>
            </w:pPr>
          </w:p>
        </w:tc>
        <w:tc>
          <w:tcPr>
            <w:tcW w:w="2639" w:type="dxa"/>
            <w:shd w:val="clear" w:color="auto" w:fill="D9D9D9" w:themeFill="background1" w:themeFillShade="D9"/>
            <w:vAlign w:val="center"/>
          </w:tcPr>
          <w:p w14:paraId="39A26984" w14:textId="77777777" w:rsidR="000D5096" w:rsidRPr="00A36B68" w:rsidRDefault="000D5096" w:rsidP="00D20A1E">
            <w:pPr>
              <w:pStyle w:val="FootnoteText"/>
              <w:keepNext/>
              <w:keepLines/>
              <w:widowControl/>
              <w:tabs>
                <w:tab w:val="decimal" w:pos="1480"/>
              </w:tabs>
              <w:spacing w:before="40" w:after="40"/>
              <w:rPr>
                <w:rFonts w:eastAsia="Arial Unicode MS" w:cs="Arial"/>
              </w:rPr>
            </w:pPr>
          </w:p>
        </w:tc>
      </w:tr>
      <w:tr w:rsidR="000D5096" w:rsidRPr="00A36B68" w14:paraId="411226F1" w14:textId="77777777" w:rsidTr="00804C57">
        <w:trPr>
          <w:trHeight w:val="264"/>
        </w:trPr>
        <w:tc>
          <w:tcPr>
            <w:tcW w:w="2986" w:type="dxa"/>
            <w:tcBorders>
              <w:bottom w:val="nil"/>
            </w:tcBorders>
            <w:noWrap/>
            <w:tcMar>
              <w:top w:w="12" w:type="dxa"/>
              <w:left w:w="12" w:type="dxa"/>
              <w:bottom w:w="0" w:type="dxa"/>
              <w:right w:w="12" w:type="dxa"/>
            </w:tcMar>
            <w:vAlign w:val="center"/>
          </w:tcPr>
          <w:p w14:paraId="4D8D9007"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Zinc (mg)</w:t>
            </w:r>
          </w:p>
        </w:tc>
        <w:tc>
          <w:tcPr>
            <w:tcW w:w="3059" w:type="dxa"/>
            <w:tcMar>
              <w:top w:w="12" w:type="dxa"/>
              <w:left w:w="12" w:type="dxa"/>
              <w:bottom w:w="0" w:type="dxa"/>
              <w:right w:w="12" w:type="dxa"/>
            </w:tcMar>
            <w:vAlign w:val="center"/>
          </w:tcPr>
          <w:p w14:paraId="4ADB39AE"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2 years and above</w:t>
            </w:r>
          </w:p>
        </w:tc>
        <w:tc>
          <w:tcPr>
            <w:tcW w:w="2648" w:type="dxa"/>
            <w:vAlign w:val="center"/>
          </w:tcPr>
          <w:p w14:paraId="57409995" w14:textId="77777777" w:rsidR="000D5096" w:rsidRPr="00A36B68" w:rsidRDefault="000D5096" w:rsidP="00D20A1E">
            <w:pPr>
              <w:pStyle w:val="FootnoteText"/>
              <w:widowControl/>
              <w:tabs>
                <w:tab w:val="decimal" w:pos="1480"/>
              </w:tabs>
              <w:spacing w:before="40" w:after="40"/>
              <w:rPr>
                <w:rFonts w:eastAsia="Arial Unicode MS" w:cs="Arial"/>
              </w:rPr>
            </w:pPr>
            <w:r>
              <w:rPr>
                <w:rFonts w:eastAsia="Arial Unicode MS" w:cs="Arial"/>
              </w:rPr>
              <w:t>11.4</w:t>
            </w:r>
          </w:p>
        </w:tc>
        <w:tc>
          <w:tcPr>
            <w:tcW w:w="2648" w:type="dxa"/>
            <w:shd w:val="clear" w:color="auto" w:fill="D9D9D9" w:themeFill="background1" w:themeFillShade="D9"/>
            <w:noWrap/>
            <w:tcMar>
              <w:top w:w="12" w:type="dxa"/>
              <w:left w:w="12" w:type="dxa"/>
              <w:bottom w:w="0" w:type="dxa"/>
              <w:right w:w="12" w:type="dxa"/>
            </w:tcMar>
            <w:vAlign w:val="center"/>
          </w:tcPr>
          <w:p w14:paraId="6450CD02" w14:textId="77777777" w:rsidR="000D5096" w:rsidRPr="00A36B68" w:rsidRDefault="000D5096" w:rsidP="00D20A1E">
            <w:pPr>
              <w:pStyle w:val="FootnoteText"/>
              <w:widowControl/>
              <w:tabs>
                <w:tab w:val="decimal" w:pos="1480"/>
              </w:tabs>
              <w:spacing w:before="40" w:after="40"/>
              <w:rPr>
                <w:rFonts w:eastAsia="Arial Unicode MS" w:cs="Arial"/>
              </w:rPr>
            </w:pPr>
          </w:p>
        </w:tc>
        <w:tc>
          <w:tcPr>
            <w:tcW w:w="2639" w:type="dxa"/>
            <w:vAlign w:val="center"/>
          </w:tcPr>
          <w:p w14:paraId="0AD5A471" w14:textId="77777777" w:rsidR="000D5096" w:rsidRPr="00A36B68" w:rsidRDefault="000D5096" w:rsidP="00D20A1E">
            <w:pPr>
              <w:pStyle w:val="FootnoteText"/>
              <w:widowControl/>
              <w:tabs>
                <w:tab w:val="decimal" w:pos="1480"/>
              </w:tabs>
              <w:spacing w:before="40" w:after="40"/>
              <w:rPr>
                <w:rFonts w:eastAsia="Arial Unicode MS" w:cs="Arial"/>
              </w:rPr>
            </w:pPr>
            <w:r w:rsidRPr="002971A1">
              <w:rPr>
                <w:rFonts w:eastAsia="Arial Unicode MS" w:cs="Arial"/>
              </w:rPr>
              <w:t>10.6</w:t>
            </w:r>
          </w:p>
        </w:tc>
      </w:tr>
      <w:tr w:rsidR="000D5096" w:rsidRPr="00A36B68" w14:paraId="3D7B3B95"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706CC59D" w14:textId="77777777" w:rsidR="000D5096" w:rsidRPr="00A36B68" w:rsidRDefault="000D5096"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17E5FE9D" w14:textId="5C62A3ED" w:rsidR="000D5096" w:rsidRPr="00A36B68" w:rsidRDefault="000D5096" w:rsidP="00D20A1E">
            <w:pPr>
              <w:widowControl/>
              <w:spacing w:before="40" w:after="40"/>
              <w:rPr>
                <w:rFonts w:eastAsia="Arial Unicode MS" w:cs="Arial"/>
                <w:sz w:val="20"/>
                <w:szCs w:val="20"/>
              </w:rPr>
            </w:pPr>
            <w:r w:rsidRPr="00A36B68">
              <w:rPr>
                <w:rFonts w:cs="Arial"/>
                <w:sz w:val="20"/>
                <w:szCs w:val="20"/>
              </w:rPr>
              <w:t>2</w:t>
            </w:r>
            <w:r w:rsidR="00D60EE0">
              <w:rPr>
                <w:rFonts w:cs="Arial"/>
                <w:sz w:val="20"/>
                <w:szCs w:val="20"/>
              </w:rPr>
              <w:t>–</w:t>
            </w:r>
            <w:r w:rsidRPr="00A36B68">
              <w:rPr>
                <w:rFonts w:cs="Arial"/>
                <w:sz w:val="20"/>
                <w:szCs w:val="20"/>
              </w:rPr>
              <w:t>4 years</w:t>
            </w:r>
          </w:p>
        </w:tc>
        <w:tc>
          <w:tcPr>
            <w:tcW w:w="2648" w:type="dxa"/>
            <w:vAlign w:val="center"/>
          </w:tcPr>
          <w:p w14:paraId="6D659A22" w14:textId="77777777" w:rsidR="000D5096" w:rsidRPr="00A36B68" w:rsidRDefault="000D5096" w:rsidP="00D20A1E">
            <w:pPr>
              <w:pStyle w:val="E-mailSignature"/>
              <w:tabs>
                <w:tab w:val="decimal" w:pos="1480"/>
              </w:tabs>
              <w:spacing w:before="40" w:after="40"/>
              <w:rPr>
                <w:rFonts w:cs="Arial"/>
                <w:lang w:bidi="ar-SA"/>
              </w:rPr>
            </w:pPr>
            <w:r>
              <w:rPr>
                <w:rFonts w:cs="Arial"/>
                <w:lang w:bidi="ar-SA"/>
              </w:rPr>
              <w:t>7.2</w:t>
            </w:r>
          </w:p>
        </w:tc>
        <w:tc>
          <w:tcPr>
            <w:tcW w:w="2648" w:type="dxa"/>
            <w:noWrap/>
            <w:tcMar>
              <w:top w:w="12" w:type="dxa"/>
              <w:left w:w="12" w:type="dxa"/>
              <w:bottom w:w="0" w:type="dxa"/>
              <w:right w:w="12" w:type="dxa"/>
            </w:tcMar>
            <w:vAlign w:val="center"/>
          </w:tcPr>
          <w:p w14:paraId="6DD70708" w14:textId="5D6C62AD" w:rsidR="000D5096" w:rsidRPr="00A36B68" w:rsidRDefault="000D5096" w:rsidP="00D20A1E">
            <w:pPr>
              <w:pStyle w:val="E-mailSignature"/>
              <w:tabs>
                <w:tab w:val="decimal" w:pos="1480"/>
              </w:tabs>
              <w:spacing w:before="40" w:after="40"/>
              <w:rPr>
                <w:rFonts w:eastAsia="Arial Unicode MS" w:cs="Arial"/>
                <w:lang w:bidi="ar-SA"/>
              </w:rPr>
            </w:pPr>
            <w:r>
              <w:rPr>
                <w:rFonts w:eastAsia="Arial Unicode MS" w:cs="Arial"/>
                <w:lang w:bidi="ar-SA"/>
              </w:rPr>
              <w:t>8.</w:t>
            </w:r>
            <w:r w:rsidR="0072004A" w:rsidRPr="0072004A">
              <w:rPr>
                <w:rFonts w:eastAsia="Arial Unicode MS" w:cs="Arial"/>
                <w:lang w:bidi="ar-SA"/>
              </w:rPr>
              <w:t>2</w:t>
            </w:r>
          </w:p>
        </w:tc>
        <w:tc>
          <w:tcPr>
            <w:tcW w:w="2639" w:type="dxa"/>
            <w:shd w:val="clear" w:color="auto" w:fill="D9D9D9" w:themeFill="background1" w:themeFillShade="D9"/>
            <w:vAlign w:val="center"/>
          </w:tcPr>
          <w:p w14:paraId="6D35A155" w14:textId="77777777" w:rsidR="000D5096" w:rsidRPr="00A36B68" w:rsidRDefault="000D5096" w:rsidP="00D20A1E">
            <w:pPr>
              <w:pStyle w:val="E-mailSignature"/>
              <w:tabs>
                <w:tab w:val="decimal" w:pos="1480"/>
              </w:tabs>
              <w:spacing w:before="40" w:after="40"/>
              <w:rPr>
                <w:rFonts w:cs="Arial"/>
                <w:lang w:bidi="ar-SA"/>
              </w:rPr>
            </w:pPr>
          </w:p>
        </w:tc>
      </w:tr>
      <w:tr w:rsidR="000D5096" w:rsidRPr="00A36B68" w14:paraId="09417430" w14:textId="77777777" w:rsidTr="00804C57">
        <w:trPr>
          <w:trHeight w:val="264"/>
        </w:trPr>
        <w:tc>
          <w:tcPr>
            <w:tcW w:w="2986" w:type="dxa"/>
            <w:tcBorders>
              <w:top w:val="nil"/>
              <w:bottom w:val="nil"/>
            </w:tcBorders>
            <w:noWrap/>
            <w:tcMar>
              <w:top w:w="12" w:type="dxa"/>
              <w:left w:w="12" w:type="dxa"/>
              <w:bottom w:w="0" w:type="dxa"/>
              <w:right w:w="12" w:type="dxa"/>
            </w:tcMar>
            <w:vAlign w:val="center"/>
          </w:tcPr>
          <w:p w14:paraId="3BA986CA" w14:textId="77777777" w:rsidR="000D5096" w:rsidRPr="00A36B68" w:rsidRDefault="000D5096"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71A4CE0B" w14:textId="457E8260" w:rsidR="000D5096" w:rsidRPr="00A36B68" w:rsidRDefault="000D5096" w:rsidP="00D20A1E">
            <w:pPr>
              <w:widowControl/>
              <w:spacing w:before="40" w:after="40"/>
              <w:rPr>
                <w:rFonts w:eastAsia="Arial Unicode MS" w:cs="Arial"/>
                <w:sz w:val="20"/>
                <w:szCs w:val="20"/>
              </w:rPr>
            </w:pPr>
            <w:r w:rsidRPr="00A36B68">
              <w:rPr>
                <w:rFonts w:cs="Arial"/>
                <w:sz w:val="20"/>
                <w:szCs w:val="20"/>
              </w:rPr>
              <w:t>5</w:t>
            </w:r>
            <w:r w:rsidR="00D60EE0">
              <w:rPr>
                <w:rFonts w:cs="Arial"/>
                <w:sz w:val="20"/>
                <w:szCs w:val="20"/>
              </w:rPr>
              <w:t>–</w:t>
            </w:r>
            <w:r w:rsidRPr="00A36B68">
              <w:rPr>
                <w:rFonts w:cs="Arial"/>
                <w:sz w:val="20"/>
                <w:szCs w:val="20"/>
              </w:rPr>
              <w:t>14 years</w:t>
            </w:r>
          </w:p>
        </w:tc>
        <w:tc>
          <w:tcPr>
            <w:tcW w:w="2648" w:type="dxa"/>
            <w:vAlign w:val="center"/>
          </w:tcPr>
          <w:p w14:paraId="5A8173F4" w14:textId="77777777" w:rsidR="000D5096" w:rsidRPr="00A36B68" w:rsidRDefault="000D5096" w:rsidP="00D20A1E">
            <w:pPr>
              <w:pStyle w:val="FootnoteText"/>
              <w:widowControl/>
              <w:tabs>
                <w:tab w:val="decimal" w:pos="1480"/>
              </w:tabs>
              <w:spacing w:before="40" w:after="40"/>
              <w:rPr>
                <w:rFonts w:eastAsia="Arial Unicode MS" w:cs="Arial"/>
              </w:rPr>
            </w:pPr>
            <w:r>
              <w:rPr>
                <w:rFonts w:eastAsia="Arial Unicode MS" w:cs="Arial"/>
              </w:rPr>
              <w:t>9.9</w:t>
            </w:r>
          </w:p>
        </w:tc>
        <w:tc>
          <w:tcPr>
            <w:tcW w:w="2648" w:type="dxa"/>
            <w:noWrap/>
            <w:tcMar>
              <w:top w:w="12" w:type="dxa"/>
              <w:left w:w="12" w:type="dxa"/>
              <w:bottom w:w="0" w:type="dxa"/>
              <w:right w:w="12" w:type="dxa"/>
            </w:tcMar>
            <w:vAlign w:val="center"/>
          </w:tcPr>
          <w:p w14:paraId="334A5080" w14:textId="400D81B8" w:rsidR="000D5096" w:rsidRPr="00A36B68" w:rsidRDefault="000D5096" w:rsidP="00D20A1E">
            <w:pPr>
              <w:pStyle w:val="FootnoteText"/>
              <w:widowControl/>
              <w:tabs>
                <w:tab w:val="decimal" w:pos="1480"/>
              </w:tabs>
              <w:spacing w:before="40" w:after="40"/>
              <w:rPr>
                <w:rFonts w:eastAsia="Arial Unicode MS" w:cs="Arial"/>
              </w:rPr>
            </w:pPr>
            <w:r>
              <w:rPr>
                <w:rFonts w:eastAsia="Arial Unicode MS" w:cs="Arial"/>
              </w:rPr>
              <w:t>10.</w:t>
            </w:r>
            <w:r w:rsidR="0072004A" w:rsidRPr="0072004A">
              <w:rPr>
                <w:rFonts w:eastAsia="Arial Unicode MS" w:cs="Arial"/>
              </w:rPr>
              <w:t>4</w:t>
            </w:r>
          </w:p>
        </w:tc>
        <w:tc>
          <w:tcPr>
            <w:tcW w:w="2639" w:type="dxa"/>
            <w:shd w:val="clear" w:color="auto" w:fill="D9D9D9" w:themeFill="background1" w:themeFillShade="D9"/>
            <w:vAlign w:val="center"/>
          </w:tcPr>
          <w:p w14:paraId="44FF17D1" w14:textId="77777777" w:rsidR="000D5096" w:rsidRPr="00A36B68" w:rsidRDefault="000D5096" w:rsidP="00D20A1E">
            <w:pPr>
              <w:pStyle w:val="FootnoteText"/>
              <w:widowControl/>
              <w:tabs>
                <w:tab w:val="decimal" w:pos="1480"/>
              </w:tabs>
              <w:spacing w:before="40" w:after="40"/>
              <w:rPr>
                <w:rFonts w:eastAsia="Arial Unicode MS" w:cs="Arial"/>
              </w:rPr>
            </w:pPr>
          </w:p>
        </w:tc>
      </w:tr>
      <w:tr w:rsidR="000D5096" w:rsidRPr="00A36B68" w14:paraId="48724B15" w14:textId="77777777" w:rsidTr="00804C57">
        <w:trPr>
          <w:trHeight w:val="264"/>
        </w:trPr>
        <w:tc>
          <w:tcPr>
            <w:tcW w:w="2986" w:type="dxa"/>
            <w:tcBorders>
              <w:top w:val="nil"/>
            </w:tcBorders>
            <w:noWrap/>
            <w:tcMar>
              <w:top w:w="12" w:type="dxa"/>
              <w:left w:w="12" w:type="dxa"/>
              <w:bottom w:w="0" w:type="dxa"/>
              <w:right w:w="12" w:type="dxa"/>
            </w:tcMar>
            <w:vAlign w:val="center"/>
          </w:tcPr>
          <w:p w14:paraId="2F12FEF3" w14:textId="77777777" w:rsidR="000D5096" w:rsidRPr="00A36B68" w:rsidRDefault="000D5096" w:rsidP="00D20A1E">
            <w:pPr>
              <w:widowControl/>
              <w:spacing w:before="40" w:after="40"/>
              <w:rPr>
                <w:rFonts w:eastAsia="Arial Unicode MS" w:cs="Arial"/>
                <w:sz w:val="20"/>
                <w:szCs w:val="20"/>
              </w:rPr>
            </w:pPr>
          </w:p>
        </w:tc>
        <w:tc>
          <w:tcPr>
            <w:tcW w:w="3059" w:type="dxa"/>
            <w:noWrap/>
            <w:tcMar>
              <w:top w:w="12" w:type="dxa"/>
              <w:left w:w="12" w:type="dxa"/>
              <w:bottom w:w="0" w:type="dxa"/>
              <w:right w:w="12" w:type="dxa"/>
            </w:tcMar>
            <w:vAlign w:val="center"/>
          </w:tcPr>
          <w:p w14:paraId="06CB7BE2"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15 years and above</w:t>
            </w:r>
          </w:p>
        </w:tc>
        <w:tc>
          <w:tcPr>
            <w:tcW w:w="2648" w:type="dxa"/>
            <w:vAlign w:val="center"/>
          </w:tcPr>
          <w:p w14:paraId="475C4B24" w14:textId="77777777" w:rsidR="000D5096" w:rsidRPr="00A36B68" w:rsidRDefault="000D5096" w:rsidP="00D20A1E">
            <w:pPr>
              <w:pStyle w:val="FootnoteText"/>
              <w:widowControl/>
              <w:tabs>
                <w:tab w:val="decimal" w:pos="1480"/>
              </w:tabs>
              <w:spacing w:before="40" w:after="40"/>
              <w:rPr>
                <w:rFonts w:eastAsia="Arial Unicode MS" w:cs="Arial"/>
              </w:rPr>
            </w:pPr>
            <w:r>
              <w:rPr>
                <w:rFonts w:eastAsia="Arial Unicode MS" w:cs="Arial"/>
              </w:rPr>
              <w:t>11.8</w:t>
            </w:r>
          </w:p>
        </w:tc>
        <w:tc>
          <w:tcPr>
            <w:tcW w:w="2648" w:type="dxa"/>
            <w:shd w:val="clear" w:color="auto" w:fill="D9D9D9" w:themeFill="background1" w:themeFillShade="D9"/>
            <w:noWrap/>
            <w:tcMar>
              <w:top w:w="12" w:type="dxa"/>
              <w:left w:w="12" w:type="dxa"/>
              <w:bottom w:w="0" w:type="dxa"/>
              <w:right w:w="12" w:type="dxa"/>
            </w:tcMar>
            <w:vAlign w:val="center"/>
          </w:tcPr>
          <w:p w14:paraId="3ABB8D34" w14:textId="77777777" w:rsidR="000D5096" w:rsidRPr="00A36B68" w:rsidRDefault="000D5096" w:rsidP="00D20A1E">
            <w:pPr>
              <w:pStyle w:val="FootnoteText"/>
              <w:widowControl/>
              <w:tabs>
                <w:tab w:val="decimal" w:pos="1480"/>
              </w:tabs>
              <w:spacing w:before="40" w:after="40"/>
              <w:rPr>
                <w:rFonts w:eastAsia="Arial Unicode MS" w:cs="Arial"/>
              </w:rPr>
            </w:pPr>
          </w:p>
        </w:tc>
        <w:tc>
          <w:tcPr>
            <w:tcW w:w="2639" w:type="dxa"/>
            <w:shd w:val="clear" w:color="auto" w:fill="D9D9D9" w:themeFill="background1" w:themeFillShade="D9"/>
            <w:vAlign w:val="center"/>
          </w:tcPr>
          <w:p w14:paraId="4824D7A9" w14:textId="77777777" w:rsidR="000D5096" w:rsidRPr="00A36B68" w:rsidRDefault="000D5096" w:rsidP="00D20A1E">
            <w:pPr>
              <w:pStyle w:val="FootnoteText"/>
              <w:widowControl/>
              <w:tabs>
                <w:tab w:val="decimal" w:pos="1480"/>
              </w:tabs>
              <w:spacing w:before="40" w:after="40"/>
              <w:rPr>
                <w:rFonts w:eastAsia="Arial Unicode MS" w:cs="Arial"/>
              </w:rPr>
            </w:pPr>
          </w:p>
        </w:tc>
      </w:tr>
    </w:tbl>
    <w:p w14:paraId="63B7328D" w14:textId="77777777" w:rsidR="000D5096" w:rsidRPr="004C246E" w:rsidRDefault="000D5096" w:rsidP="00D20A1E">
      <w:pPr>
        <w:widowControl/>
        <w:spacing w:before="20" w:after="20"/>
        <w:rPr>
          <w:rFonts w:cs="Arial"/>
          <w:sz w:val="18"/>
          <w:szCs w:val="18"/>
        </w:rPr>
      </w:pPr>
      <w:r w:rsidRPr="004C246E">
        <w:rPr>
          <w:rFonts w:cs="Arial"/>
          <w:sz w:val="18"/>
          <w:szCs w:val="18"/>
        </w:rPr>
        <w:t>Consumers only – This includes only the people who have not consumed any ‘dairy products’.</w:t>
      </w:r>
    </w:p>
    <w:p w14:paraId="061B47D5" w14:textId="1733462B" w:rsidR="000D5096" w:rsidRDefault="000D5096" w:rsidP="00D20A1E">
      <w:pPr>
        <w:widowControl/>
        <w:spacing w:before="20" w:after="20"/>
        <w:rPr>
          <w:rFonts w:eastAsia="Arial Unicode MS" w:cs="Arial"/>
          <w:sz w:val="18"/>
          <w:szCs w:val="18"/>
        </w:rPr>
      </w:pPr>
      <w:r w:rsidRPr="00D538AE">
        <w:rPr>
          <w:rFonts w:cs="Arial"/>
          <w:sz w:val="18"/>
          <w:szCs w:val="18"/>
        </w:rPr>
        <w:t>^</w:t>
      </w:r>
      <w:r w:rsidR="00E4287E">
        <w:rPr>
          <w:rFonts w:cs="Arial"/>
          <w:sz w:val="18"/>
          <w:szCs w:val="18"/>
        </w:rPr>
        <w:tab/>
      </w:r>
      <w:r w:rsidRPr="00D538AE">
        <w:rPr>
          <w:rFonts w:cs="Arial"/>
          <w:sz w:val="18"/>
          <w:szCs w:val="18"/>
        </w:rPr>
        <w:t>I</w:t>
      </w:r>
      <w:r w:rsidRPr="00D538AE">
        <w:rPr>
          <w:rFonts w:eastAsia="Arial Unicode MS" w:cs="Arial"/>
          <w:sz w:val="18"/>
          <w:szCs w:val="18"/>
        </w:rPr>
        <w:t xml:space="preserve">nformation regarding consumer numbers assessed for each population group can be found in </w:t>
      </w:r>
      <w:r w:rsidR="00D538AE" w:rsidRPr="00D538AE">
        <w:rPr>
          <w:rFonts w:eastAsia="Arial Unicode MS" w:cs="Arial"/>
          <w:sz w:val="18"/>
          <w:szCs w:val="18"/>
        </w:rPr>
        <w:fldChar w:fldCharType="begin"/>
      </w:r>
      <w:r w:rsidR="00D538AE" w:rsidRPr="00D538AE">
        <w:rPr>
          <w:rFonts w:eastAsia="Arial Unicode MS" w:cs="Arial"/>
          <w:sz w:val="18"/>
          <w:szCs w:val="18"/>
        </w:rPr>
        <w:instrText xml:space="preserve"> REF _Ref420332068 \h </w:instrText>
      </w:r>
      <w:r w:rsidR="00D538AE">
        <w:rPr>
          <w:rFonts w:eastAsia="Arial Unicode MS" w:cs="Arial"/>
          <w:sz w:val="18"/>
          <w:szCs w:val="18"/>
        </w:rPr>
        <w:instrText xml:space="preserve"> \* MERGEFORMAT </w:instrText>
      </w:r>
      <w:r w:rsidR="00D538AE" w:rsidRPr="00D538AE">
        <w:rPr>
          <w:rFonts w:eastAsia="Arial Unicode MS" w:cs="Arial"/>
          <w:sz w:val="18"/>
          <w:szCs w:val="18"/>
        </w:rPr>
      </w:r>
      <w:r w:rsidR="00D538AE" w:rsidRPr="00D538AE">
        <w:rPr>
          <w:rFonts w:eastAsia="Arial Unicode MS" w:cs="Arial"/>
          <w:sz w:val="18"/>
          <w:szCs w:val="18"/>
        </w:rPr>
        <w:fldChar w:fldCharType="separate"/>
      </w:r>
      <w:r w:rsidR="00047581" w:rsidRPr="00047581">
        <w:rPr>
          <w:sz w:val="18"/>
          <w:szCs w:val="18"/>
        </w:rPr>
        <w:t>Table A1.9</w:t>
      </w:r>
      <w:r w:rsidR="00D538AE" w:rsidRPr="00D538AE">
        <w:rPr>
          <w:rFonts w:eastAsia="Arial Unicode MS" w:cs="Arial"/>
          <w:sz w:val="18"/>
          <w:szCs w:val="18"/>
        </w:rPr>
        <w:fldChar w:fldCharType="end"/>
      </w:r>
      <w:r w:rsidRPr="00D538AE">
        <w:rPr>
          <w:rFonts w:eastAsia="Arial Unicode MS" w:cs="Arial"/>
          <w:sz w:val="18"/>
          <w:szCs w:val="18"/>
        </w:rPr>
        <w:t>.</w:t>
      </w:r>
    </w:p>
    <w:p w14:paraId="6C516576" w14:textId="0069C348" w:rsidR="00541C82" w:rsidRPr="00541C82" w:rsidRDefault="00541C82" w:rsidP="00D20A1E">
      <w:pPr>
        <w:widowControl/>
        <w:spacing w:before="20" w:after="20"/>
        <w:rPr>
          <w:rFonts w:cs="Arial"/>
          <w:sz w:val="18"/>
          <w:szCs w:val="18"/>
        </w:rPr>
      </w:pPr>
      <w:r w:rsidRPr="00541C82">
        <w:rPr>
          <w:rFonts w:cs="Arial"/>
          <w:sz w:val="20"/>
          <w:szCs w:val="20"/>
          <w:vertAlign w:val="superscript"/>
        </w:rPr>
        <w:sym w:font="Wingdings 2" w:char="F0EC"/>
      </w:r>
      <w:r w:rsidRPr="00541C82">
        <w:rPr>
          <w:rFonts w:cs="Arial"/>
          <w:sz w:val="20"/>
          <w:szCs w:val="20"/>
          <w:vertAlign w:val="superscript"/>
        </w:rPr>
        <w:tab/>
      </w:r>
      <w:r w:rsidRPr="00541C82">
        <w:rPr>
          <w:rFonts w:cs="Arial"/>
          <w:sz w:val="20"/>
          <w:szCs w:val="20"/>
        </w:rPr>
        <w:t>Before introduction of mandatory</w:t>
      </w:r>
      <w:r>
        <w:rPr>
          <w:rFonts w:cs="Arial"/>
          <w:sz w:val="20"/>
          <w:szCs w:val="20"/>
        </w:rPr>
        <w:t xml:space="preserve"> folic acid</w:t>
      </w:r>
      <w:r w:rsidRPr="00541C82">
        <w:rPr>
          <w:rFonts w:cs="Arial"/>
          <w:sz w:val="20"/>
          <w:szCs w:val="20"/>
        </w:rPr>
        <w:t xml:space="preserve"> fortification of bread-making flour </w:t>
      </w:r>
      <w:r>
        <w:rPr>
          <w:rFonts w:cs="Arial"/>
          <w:sz w:val="20"/>
          <w:szCs w:val="20"/>
        </w:rPr>
        <w:t>and mandatory iodine forti</w:t>
      </w:r>
      <w:r w:rsidR="00C00894">
        <w:rPr>
          <w:rFonts w:cs="Arial"/>
          <w:sz w:val="20"/>
          <w:szCs w:val="20"/>
        </w:rPr>
        <w:t>fi</w:t>
      </w:r>
      <w:r>
        <w:rPr>
          <w:rFonts w:cs="Arial"/>
          <w:sz w:val="20"/>
          <w:szCs w:val="20"/>
        </w:rPr>
        <w:t>cation of salt used for bread-making</w:t>
      </w:r>
    </w:p>
    <w:p w14:paraId="021163B5" w14:textId="38FEAA61" w:rsidR="000D5096" w:rsidRDefault="000D5096" w:rsidP="00D20A1E">
      <w:pPr>
        <w:pStyle w:val="Table"/>
        <w:keepNext w:val="0"/>
        <w:spacing w:before="20" w:after="20"/>
        <w:outlineLvl w:val="9"/>
        <w:rPr>
          <w:rFonts w:cs="Arial"/>
          <w:sz w:val="18"/>
          <w:szCs w:val="18"/>
          <w:lang w:val="en-US"/>
        </w:rPr>
      </w:pPr>
      <w:r w:rsidRPr="004C246E">
        <w:rPr>
          <w:rFonts w:cs="Arial"/>
          <w:b w:val="0"/>
          <w:sz w:val="18"/>
          <w:szCs w:val="18"/>
        </w:rPr>
        <w:sym w:font="Wingdings 3" w:char="F07E"/>
      </w:r>
      <w:r w:rsidR="00E4287E">
        <w:rPr>
          <w:rFonts w:cs="Arial"/>
          <w:b w:val="0"/>
          <w:sz w:val="18"/>
          <w:szCs w:val="18"/>
        </w:rPr>
        <w:tab/>
      </w:r>
      <w:r w:rsidRPr="004C246E">
        <w:rPr>
          <w:rFonts w:cs="Arial"/>
          <w:b w:val="0"/>
          <w:sz w:val="18"/>
          <w:szCs w:val="18"/>
        </w:rPr>
        <w:t>Excludes vitamin/mineral intakes from supplements</w:t>
      </w:r>
      <w:r>
        <w:rPr>
          <w:rFonts w:cs="Arial"/>
          <w:sz w:val="18"/>
          <w:szCs w:val="18"/>
          <w:lang w:val="en-US"/>
        </w:rPr>
        <w:t>.</w:t>
      </w:r>
    </w:p>
    <w:p w14:paraId="3DEB601D" w14:textId="2E9221E9" w:rsidR="00934B60" w:rsidRDefault="00934B60" w:rsidP="00D20A1E">
      <w:pPr>
        <w:pStyle w:val="Table"/>
        <w:keepNext w:val="0"/>
        <w:spacing w:before="20" w:after="20"/>
        <w:outlineLvl w:val="9"/>
        <w:rPr>
          <w:rFonts w:cs="Arial"/>
          <w:b w:val="0"/>
          <w:sz w:val="18"/>
          <w:szCs w:val="18"/>
        </w:rPr>
      </w:pPr>
      <w:r w:rsidRPr="00E4287E">
        <w:rPr>
          <w:rFonts w:cs="Arial"/>
          <w:b w:val="0"/>
          <w:sz w:val="18"/>
          <w:szCs w:val="18"/>
        </w:rPr>
        <w:sym w:font="Wingdings" w:char="F07A"/>
      </w:r>
      <w:r w:rsidR="00E4287E">
        <w:rPr>
          <w:rFonts w:cs="Arial"/>
          <w:b w:val="0"/>
          <w:sz w:val="18"/>
          <w:szCs w:val="18"/>
        </w:rPr>
        <w:tab/>
      </w:r>
      <w:r w:rsidR="00F6296A" w:rsidRPr="00F6296A">
        <w:rPr>
          <w:rFonts w:cs="Arial"/>
          <w:b w:val="0"/>
          <w:sz w:val="18"/>
          <w:szCs w:val="18"/>
        </w:rPr>
        <w:t>Source: (</w:t>
      </w:r>
      <w:r w:rsidR="008F0975">
        <w:rPr>
          <w:rFonts w:cs="Arial"/>
          <w:b w:val="0"/>
          <w:sz w:val="18"/>
          <w:szCs w:val="18"/>
        </w:rPr>
        <w:t>ABS 2014b</w:t>
      </w:r>
      <w:r w:rsidRPr="00AD33AC">
        <w:rPr>
          <w:rFonts w:cs="Arial"/>
          <w:b w:val="0"/>
          <w:sz w:val="18"/>
          <w:szCs w:val="18"/>
        </w:rPr>
        <w:t>)</w:t>
      </w:r>
    </w:p>
    <w:p w14:paraId="3B8B41CB" w14:textId="2AA2AF3B" w:rsidR="008D629B" w:rsidRDefault="008D629B" w:rsidP="00D20A1E">
      <w:pPr>
        <w:pStyle w:val="Table"/>
        <w:keepNext w:val="0"/>
        <w:spacing w:before="20" w:after="20"/>
        <w:ind w:left="567" w:hanging="567"/>
        <w:outlineLvl w:val="9"/>
        <w:rPr>
          <w:rFonts w:cs="Arial"/>
          <w:b w:val="0"/>
          <w:sz w:val="18"/>
          <w:szCs w:val="18"/>
        </w:rPr>
      </w:pPr>
      <w:r w:rsidRPr="008D629B">
        <w:rPr>
          <w:rFonts w:cs="Arial"/>
          <w:b w:val="0"/>
          <w:sz w:val="18"/>
          <w:szCs w:val="18"/>
        </w:rPr>
        <w:t>ɸ</w:t>
      </w:r>
      <w:r w:rsidRPr="008D629B">
        <w:rPr>
          <w:rFonts w:cs="Arial"/>
          <w:b w:val="0"/>
          <w:sz w:val="18"/>
          <w:szCs w:val="18"/>
          <w:vertAlign w:val="superscript"/>
        </w:rPr>
        <w:tab/>
      </w:r>
      <w:r w:rsidRPr="008D629B">
        <w:rPr>
          <w:rFonts w:cs="Arial"/>
          <w:b w:val="0"/>
          <w:sz w:val="18"/>
          <w:szCs w:val="18"/>
        </w:rPr>
        <w:t>Dietary folate equivalents recognise a differential bioavailability between folate and folic acid. Dietary folate equivalents = naturally occurring folates + (1.67 x folic acid). Currently the Code treats folic acid and folate as having equivalent bioavailability; this applies to reference amounts for nutrition labelling and the derivative criteria for health and nutrition claims as well as indirectly controlling voluntary fortification.</w:t>
      </w:r>
    </w:p>
    <w:p w14:paraId="4D68055D" w14:textId="4BFC3751" w:rsidR="00FD77DE" w:rsidRPr="00FD77DE" w:rsidRDefault="00FD77DE" w:rsidP="00D20A1E">
      <w:pPr>
        <w:pStyle w:val="Table"/>
        <w:keepNext w:val="0"/>
        <w:spacing w:before="20" w:after="20"/>
        <w:ind w:left="567" w:hanging="567"/>
        <w:outlineLvl w:val="9"/>
        <w:rPr>
          <w:rFonts w:cs="Arial"/>
          <w:b w:val="0"/>
          <w:sz w:val="18"/>
          <w:szCs w:val="18"/>
          <w:lang w:val="en-US"/>
        </w:rPr>
      </w:pPr>
      <w:r w:rsidRPr="00FD77DE">
        <w:rPr>
          <w:rFonts w:cs="Arial"/>
          <w:b w:val="0"/>
          <w:sz w:val="20"/>
          <w:szCs w:val="20"/>
        </w:rPr>
        <w:t>ʎ</w:t>
      </w:r>
      <w:r w:rsidRPr="00FD77DE">
        <w:rPr>
          <w:rFonts w:cs="Arial"/>
          <w:b w:val="0"/>
          <w:sz w:val="20"/>
          <w:szCs w:val="20"/>
        </w:rPr>
        <w:tab/>
        <w:t xml:space="preserve">Total folates = </w:t>
      </w:r>
      <w:r w:rsidRPr="00FD77DE">
        <w:rPr>
          <w:rFonts w:cs="Arial"/>
          <w:b w:val="0"/>
          <w:sz w:val="18"/>
          <w:szCs w:val="18"/>
        </w:rPr>
        <w:t>naturally occurring folates + folic acid, as per the Code definition of folates</w:t>
      </w:r>
    </w:p>
    <w:p w14:paraId="702AD2FE" w14:textId="07DD7F4D" w:rsidR="00D538AE" w:rsidRDefault="00D538AE" w:rsidP="00D20A1E">
      <w:pPr>
        <w:widowControl/>
        <w:rPr>
          <w:lang w:val="en-US"/>
        </w:rPr>
      </w:pPr>
      <w:r>
        <w:rPr>
          <w:lang w:val="en-US"/>
        </w:rPr>
        <w:br w:type="page"/>
      </w:r>
    </w:p>
    <w:p w14:paraId="35ED5BFA" w14:textId="7933ADA1" w:rsidR="000D5096" w:rsidRDefault="00FA3023" w:rsidP="00D20A1E">
      <w:pPr>
        <w:pStyle w:val="FSTableTitle"/>
        <w:widowControl/>
      </w:pPr>
      <w:bookmarkStart w:id="204" w:name="_Ref420332044"/>
      <w:r>
        <w:lastRenderedPageBreak/>
        <w:t>Table A1.</w:t>
      </w:r>
      <w:fldSimple w:instr=" SEQ Table_A1. \* ARABIC ">
        <w:r w:rsidR="00047581">
          <w:rPr>
            <w:noProof/>
          </w:rPr>
          <w:t>8</w:t>
        </w:r>
      </w:fldSimple>
      <w:bookmarkEnd w:id="204"/>
      <w:r w:rsidR="000D5096" w:rsidRPr="002971A1">
        <w:t>:</w:t>
      </w:r>
      <w:r w:rsidR="00F6296A">
        <w:t xml:space="preserve"> </w:t>
      </w:r>
      <w:r w:rsidR="000D5096">
        <w:t>Comparison of the e</w:t>
      </w:r>
      <w:r w:rsidR="000D5096" w:rsidRPr="002971A1">
        <w:t>stimated mean intakes (per day) of vitamins and minerals</w:t>
      </w:r>
      <w:r w:rsidR="0072004A">
        <w:t>, excluding supplements,</w:t>
      </w:r>
      <w:r w:rsidR="000D5096" w:rsidRPr="002971A1">
        <w:t xml:space="preserve"> for the </w:t>
      </w:r>
      <w:r w:rsidR="0072004A">
        <w:t xml:space="preserve">New Zealand </w:t>
      </w:r>
      <w:r w:rsidR="000D5096" w:rsidRPr="002971A1">
        <w:t xml:space="preserve">general population </w:t>
      </w:r>
      <w:r w:rsidR="000D5096">
        <w:t>aged 15</w:t>
      </w:r>
      <w:r w:rsidR="0072004A">
        <w:t> </w:t>
      </w:r>
      <w:r w:rsidR="000D5096">
        <w:t>years and above</w:t>
      </w:r>
      <w:r w:rsidR="0072004A">
        <w:t xml:space="preserve"> using</w:t>
      </w:r>
      <w:r w:rsidR="000D5096" w:rsidRPr="002971A1">
        <w:t xml:space="preserve"> the 199</w:t>
      </w:r>
      <w:r w:rsidR="000D5096">
        <w:t xml:space="preserve">7 </w:t>
      </w:r>
      <w:r w:rsidR="000D5096" w:rsidRPr="002971A1">
        <w:t xml:space="preserve">and </w:t>
      </w:r>
      <w:r w:rsidR="000D5096">
        <w:t>2008</w:t>
      </w:r>
      <w:r w:rsidR="000D5096" w:rsidRPr="002971A1">
        <w:t xml:space="preserve"> nutrition surveys</w:t>
      </w:r>
    </w:p>
    <w:p w14:paraId="1AE5D96C" w14:textId="77777777" w:rsidR="0023423F" w:rsidRPr="0023423F" w:rsidRDefault="0023423F" w:rsidP="0023423F"/>
    <w:tbl>
      <w:tblPr>
        <w:tblW w:w="8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6"/>
        <w:gridCol w:w="2646"/>
        <w:gridCol w:w="2647"/>
      </w:tblGrid>
      <w:tr w:rsidR="000D5096" w:rsidRPr="00A36B68" w14:paraId="1D749079" w14:textId="77777777" w:rsidTr="00F13FF2">
        <w:trPr>
          <w:tblHeader/>
        </w:trPr>
        <w:tc>
          <w:tcPr>
            <w:tcW w:w="2986" w:type="dxa"/>
            <w:vMerge w:val="restart"/>
            <w:shd w:val="clear" w:color="auto" w:fill="B8CCE4" w:themeFill="accent1" w:themeFillTint="66"/>
            <w:noWrap/>
            <w:tcMar>
              <w:top w:w="12" w:type="dxa"/>
              <w:left w:w="12" w:type="dxa"/>
              <w:bottom w:w="0" w:type="dxa"/>
              <w:right w:w="12" w:type="dxa"/>
            </w:tcMar>
            <w:vAlign w:val="center"/>
          </w:tcPr>
          <w:p w14:paraId="6DEE6068" w14:textId="77777777" w:rsidR="000D5096" w:rsidRPr="00A36B68" w:rsidRDefault="000D5096" w:rsidP="00D20A1E">
            <w:pPr>
              <w:widowControl/>
              <w:spacing w:before="40" w:after="40"/>
              <w:rPr>
                <w:rFonts w:eastAsia="Arial Unicode MS" w:cs="Arial"/>
                <w:b/>
                <w:bCs/>
                <w:sz w:val="20"/>
                <w:szCs w:val="20"/>
              </w:rPr>
            </w:pPr>
            <w:r w:rsidRPr="00A36B68">
              <w:rPr>
                <w:rFonts w:cs="Arial"/>
                <w:b/>
                <w:bCs/>
                <w:sz w:val="20"/>
                <w:szCs w:val="20"/>
              </w:rPr>
              <w:t>Vitamin/</w:t>
            </w:r>
            <w:r>
              <w:rPr>
                <w:rFonts w:cs="Arial"/>
                <w:b/>
                <w:bCs/>
                <w:sz w:val="20"/>
                <w:szCs w:val="20"/>
              </w:rPr>
              <w:t xml:space="preserve"> </w:t>
            </w:r>
            <w:r w:rsidRPr="00A36B68">
              <w:rPr>
                <w:rFonts w:cs="Arial"/>
                <w:b/>
                <w:bCs/>
                <w:sz w:val="20"/>
                <w:szCs w:val="20"/>
              </w:rPr>
              <w:t>Mineral</w:t>
            </w:r>
          </w:p>
        </w:tc>
        <w:tc>
          <w:tcPr>
            <w:tcW w:w="5293" w:type="dxa"/>
            <w:gridSpan w:val="2"/>
            <w:shd w:val="clear" w:color="auto" w:fill="B8CCE4" w:themeFill="accent1" w:themeFillTint="66"/>
            <w:vAlign w:val="center"/>
          </w:tcPr>
          <w:p w14:paraId="6CF566C5" w14:textId="7BF18BA4" w:rsidR="000D5096" w:rsidRPr="00A36B68" w:rsidRDefault="00AD191F" w:rsidP="00D20A1E">
            <w:pPr>
              <w:widowControl/>
              <w:spacing w:before="40" w:after="40"/>
              <w:jc w:val="center"/>
              <w:rPr>
                <w:rFonts w:cs="Arial"/>
                <w:b/>
                <w:bCs/>
                <w:sz w:val="20"/>
                <w:szCs w:val="20"/>
              </w:rPr>
            </w:pPr>
            <w:r>
              <w:rPr>
                <w:rFonts w:cs="Arial"/>
                <w:b/>
                <w:bCs/>
                <w:sz w:val="20"/>
                <w:szCs w:val="20"/>
              </w:rPr>
              <w:t>Estimated m</w:t>
            </w:r>
            <w:r w:rsidR="000D5096" w:rsidRPr="00A36B68">
              <w:rPr>
                <w:rFonts w:cs="Arial"/>
                <w:b/>
                <w:bCs/>
                <w:sz w:val="20"/>
                <w:szCs w:val="20"/>
              </w:rPr>
              <w:t xml:space="preserve">ean </w:t>
            </w:r>
            <w:r w:rsidR="000D5096">
              <w:rPr>
                <w:rFonts w:cs="Arial"/>
                <w:b/>
                <w:bCs/>
                <w:sz w:val="20"/>
                <w:szCs w:val="20"/>
              </w:rPr>
              <w:t xml:space="preserve">dietary </w:t>
            </w:r>
            <w:r w:rsidR="000D5096" w:rsidRPr="00A36B68">
              <w:rPr>
                <w:rFonts w:cs="Arial"/>
                <w:b/>
                <w:bCs/>
                <w:sz w:val="20"/>
                <w:szCs w:val="20"/>
              </w:rPr>
              <w:t>intake per day</w:t>
            </w:r>
            <w:r w:rsidR="000D5096" w:rsidRPr="005A356B">
              <w:rPr>
                <w:rFonts w:cs="Arial"/>
                <w:b/>
                <w:szCs w:val="22"/>
                <w:vertAlign w:val="superscript"/>
              </w:rPr>
              <w:sym w:font="Wingdings 3" w:char="F07E"/>
            </w:r>
          </w:p>
        </w:tc>
      </w:tr>
      <w:tr w:rsidR="000D5096" w:rsidRPr="00A36B68" w14:paraId="46BC817F" w14:textId="77777777" w:rsidTr="00F13FF2">
        <w:trPr>
          <w:tblHeader/>
        </w:trPr>
        <w:tc>
          <w:tcPr>
            <w:tcW w:w="2986" w:type="dxa"/>
            <w:vMerge/>
            <w:shd w:val="clear" w:color="auto" w:fill="B8CCE4" w:themeFill="accent1" w:themeFillTint="66"/>
            <w:noWrap/>
            <w:tcMar>
              <w:top w:w="12" w:type="dxa"/>
              <w:left w:w="12" w:type="dxa"/>
              <w:bottom w:w="0" w:type="dxa"/>
              <w:right w:w="12" w:type="dxa"/>
            </w:tcMar>
            <w:vAlign w:val="center"/>
          </w:tcPr>
          <w:p w14:paraId="1BD74402" w14:textId="77777777" w:rsidR="000D5096" w:rsidRPr="00A36B68" w:rsidRDefault="000D5096" w:rsidP="00D20A1E">
            <w:pPr>
              <w:widowControl/>
              <w:spacing w:before="40" w:after="40"/>
              <w:rPr>
                <w:rFonts w:cs="Arial"/>
                <w:b/>
                <w:bCs/>
                <w:sz w:val="20"/>
                <w:szCs w:val="20"/>
              </w:rPr>
            </w:pPr>
          </w:p>
        </w:tc>
        <w:tc>
          <w:tcPr>
            <w:tcW w:w="2646" w:type="dxa"/>
            <w:shd w:val="clear" w:color="auto" w:fill="B8CCE4" w:themeFill="accent1" w:themeFillTint="66"/>
            <w:vAlign w:val="center"/>
          </w:tcPr>
          <w:p w14:paraId="2C58B03C" w14:textId="77777777" w:rsidR="000D5096" w:rsidRPr="002971A1" w:rsidRDefault="000D5096" w:rsidP="00D20A1E">
            <w:pPr>
              <w:widowControl/>
              <w:spacing w:before="40" w:after="40"/>
              <w:jc w:val="center"/>
              <w:rPr>
                <w:rFonts w:cs="Arial"/>
                <w:b/>
                <w:bCs/>
                <w:sz w:val="20"/>
                <w:szCs w:val="20"/>
              </w:rPr>
            </w:pPr>
            <w:r w:rsidRPr="002971A1">
              <w:rPr>
                <w:rFonts w:cs="Arial"/>
                <w:b/>
                <w:sz w:val="20"/>
                <w:szCs w:val="20"/>
              </w:rPr>
              <w:t>199</w:t>
            </w:r>
            <w:r>
              <w:rPr>
                <w:rFonts w:cs="Arial"/>
                <w:b/>
                <w:sz w:val="20"/>
                <w:szCs w:val="20"/>
              </w:rPr>
              <w:t>7</w:t>
            </w:r>
            <w:r w:rsidRPr="002971A1">
              <w:rPr>
                <w:rFonts w:cs="Arial"/>
                <w:b/>
                <w:sz w:val="20"/>
                <w:szCs w:val="20"/>
              </w:rPr>
              <w:t xml:space="preserve"> </w:t>
            </w:r>
            <w:r>
              <w:rPr>
                <w:rFonts w:cs="Arial"/>
                <w:b/>
                <w:sz w:val="20"/>
                <w:szCs w:val="20"/>
              </w:rPr>
              <w:t>NZ</w:t>
            </w:r>
            <w:r w:rsidRPr="002971A1">
              <w:rPr>
                <w:rFonts w:cs="Arial"/>
                <w:b/>
                <w:sz w:val="20"/>
                <w:szCs w:val="20"/>
              </w:rPr>
              <w:t>NNS</w:t>
            </w:r>
          </w:p>
        </w:tc>
        <w:tc>
          <w:tcPr>
            <w:tcW w:w="2647" w:type="dxa"/>
            <w:shd w:val="clear" w:color="auto" w:fill="B8CCE4" w:themeFill="accent1" w:themeFillTint="66"/>
            <w:tcMar>
              <w:top w:w="12" w:type="dxa"/>
              <w:left w:w="12" w:type="dxa"/>
              <w:bottom w:w="0" w:type="dxa"/>
              <w:right w:w="12" w:type="dxa"/>
            </w:tcMar>
            <w:vAlign w:val="center"/>
          </w:tcPr>
          <w:p w14:paraId="616DA76A" w14:textId="77777777" w:rsidR="000D5096" w:rsidRPr="002971A1" w:rsidRDefault="000D5096" w:rsidP="00D20A1E">
            <w:pPr>
              <w:widowControl/>
              <w:spacing w:before="40" w:after="40"/>
              <w:jc w:val="center"/>
              <w:rPr>
                <w:rFonts w:cs="Arial"/>
                <w:b/>
                <w:bCs/>
                <w:sz w:val="20"/>
                <w:szCs w:val="20"/>
              </w:rPr>
            </w:pPr>
            <w:r w:rsidRPr="002971A1">
              <w:rPr>
                <w:rFonts w:cs="Arial"/>
                <w:b/>
                <w:bCs/>
                <w:sz w:val="20"/>
                <w:szCs w:val="20"/>
              </w:rPr>
              <w:t>200</w:t>
            </w:r>
            <w:r>
              <w:rPr>
                <w:rFonts w:cs="Arial"/>
                <w:b/>
                <w:bCs/>
                <w:sz w:val="20"/>
                <w:szCs w:val="20"/>
              </w:rPr>
              <w:t>8 NZANS</w:t>
            </w:r>
          </w:p>
        </w:tc>
      </w:tr>
      <w:tr w:rsidR="000D5096" w:rsidRPr="00A36B68" w14:paraId="269F1924" w14:textId="77777777" w:rsidTr="00F13FF2">
        <w:trPr>
          <w:trHeight w:val="264"/>
        </w:trPr>
        <w:tc>
          <w:tcPr>
            <w:tcW w:w="2986" w:type="dxa"/>
            <w:noWrap/>
            <w:tcMar>
              <w:top w:w="12" w:type="dxa"/>
              <w:left w:w="12" w:type="dxa"/>
              <w:bottom w:w="0" w:type="dxa"/>
              <w:right w:w="12" w:type="dxa"/>
            </w:tcMar>
            <w:vAlign w:val="center"/>
          </w:tcPr>
          <w:p w14:paraId="48C0C5DE"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Calcium (mg)</w:t>
            </w:r>
          </w:p>
        </w:tc>
        <w:tc>
          <w:tcPr>
            <w:tcW w:w="2646" w:type="dxa"/>
            <w:vAlign w:val="center"/>
          </w:tcPr>
          <w:p w14:paraId="2673C299" w14:textId="77777777" w:rsidR="000D5096" w:rsidRPr="00A36B68" w:rsidRDefault="000D5096" w:rsidP="00D20A1E">
            <w:pPr>
              <w:widowControl/>
              <w:tabs>
                <w:tab w:val="decimal" w:pos="1480"/>
              </w:tabs>
              <w:spacing w:before="40" w:after="40"/>
              <w:rPr>
                <w:rFonts w:eastAsia="Arial Unicode MS" w:cs="Arial"/>
                <w:sz w:val="20"/>
                <w:szCs w:val="20"/>
              </w:rPr>
            </w:pPr>
            <w:r>
              <w:rPr>
                <w:rFonts w:cs="Arial"/>
                <w:sz w:val="20"/>
                <w:szCs w:val="20"/>
              </w:rPr>
              <w:t>788</w:t>
            </w:r>
          </w:p>
        </w:tc>
        <w:tc>
          <w:tcPr>
            <w:tcW w:w="2647" w:type="dxa"/>
            <w:shd w:val="clear" w:color="auto" w:fill="auto"/>
            <w:noWrap/>
            <w:tcMar>
              <w:top w:w="12" w:type="dxa"/>
              <w:left w:w="12" w:type="dxa"/>
              <w:bottom w:w="0" w:type="dxa"/>
              <w:right w:w="12" w:type="dxa"/>
            </w:tcMar>
            <w:vAlign w:val="center"/>
          </w:tcPr>
          <w:p w14:paraId="41FD1F1B" w14:textId="77777777" w:rsidR="000D5096" w:rsidRPr="00A36B68" w:rsidRDefault="000D5096" w:rsidP="00D20A1E">
            <w:pPr>
              <w:widowControl/>
              <w:tabs>
                <w:tab w:val="decimal" w:pos="1480"/>
              </w:tabs>
              <w:spacing w:before="40" w:after="40"/>
              <w:rPr>
                <w:rFonts w:eastAsia="Arial Unicode MS" w:cs="Arial"/>
                <w:sz w:val="20"/>
                <w:szCs w:val="20"/>
              </w:rPr>
            </w:pPr>
            <w:r w:rsidRPr="008D09BB">
              <w:rPr>
                <w:rFonts w:eastAsia="Arial Unicode MS" w:cs="Arial"/>
                <w:sz w:val="20"/>
                <w:szCs w:val="20"/>
              </w:rPr>
              <w:t>867</w:t>
            </w:r>
          </w:p>
        </w:tc>
      </w:tr>
      <w:tr w:rsidR="00536E90" w:rsidRPr="00A36B68" w14:paraId="3D0C9EC6" w14:textId="77777777" w:rsidTr="00F13FF2">
        <w:trPr>
          <w:trHeight w:val="264"/>
        </w:trPr>
        <w:tc>
          <w:tcPr>
            <w:tcW w:w="2986" w:type="dxa"/>
            <w:noWrap/>
            <w:tcMar>
              <w:top w:w="12" w:type="dxa"/>
              <w:left w:w="12" w:type="dxa"/>
              <w:bottom w:w="0" w:type="dxa"/>
              <w:right w:w="12" w:type="dxa"/>
            </w:tcMar>
            <w:vAlign w:val="center"/>
          </w:tcPr>
          <w:p w14:paraId="02FFD7B4" w14:textId="4C27C759" w:rsidR="00536E90" w:rsidRDefault="00536E90" w:rsidP="00D20A1E">
            <w:pPr>
              <w:widowControl/>
              <w:spacing w:before="40" w:after="40"/>
              <w:rPr>
                <w:rFonts w:cs="Arial"/>
                <w:sz w:val="20"/>
                <w:szCs w:val="20"/>
              </w:rPr>
            </w:pPr>
            <w:r>
              <w:rPr>
                <w:rFonts w:cs="Arial"/>
                <w:sz w:val="20"/>
                <w:szCs w:val="20"/>
              </w:rPr>
              <w:t>Dietary folate equivalents (</w:t>
            </w:r>
            <w:r w:rsidRPr="00A36B68">
              <w:rPr>
                <w:rFonts w:eastAsia="Arial Unicode MS" w:cs="Arial"/>
                <w:sz w:val="20"/>
                <w:szCs w:val="20"/>
              </w:rPr>
              <w:t>µ</w:t>
            </w:r>
            <w:r w:rsidRPr="00A36B68">
              <w:rPr>
                <w:rFonts w:cs="Arial"/>
                <w:sz w:val="20"/>
                <w:szCs w:val="20"/>
              </w:rPr>
              <w:t>g)</w:t>
            </w:r>
          </w:p>
        </w:tc>
        <w:tc>
          <w:tcPr>
            <w:tcW w:w="2646" w:type="dxa"/>
            <w:vAlign w:val="center"/>
          </w:tcPr>
          <w:p w14:paraId="2C02BFED" w14:textId="2D176DC3" w:rsidR="00536E90" w:rsidRDefault="00536E90" w:rsidP="00D20A1E">
            <w:pPr>
              <w:widowControl/>
              <w:tabs>
                <w:tab w:val="decimal" w:pos="1480"/>
              </w:tabs>
              <w:spacing w:before="40" w:after="40"/>
              <w:rPr>
                <w:rFonts w:eastAsia="Arial Unicode MS" w:cs="Arial"/>
                <w:sz w:val="20"/>
                <w:szCs w:val="20"/>
              </w:rPr>
            </w:pPr>
            <w:r>
              <w:rPr>
                <w:rFonts w:eastAsia="Arial Unicode MS" w:cs="Arial"/>
                <w:sz w:val="20"/>
                <w:szCs w:val="20"/>
              </w:rPr>
              <w:t>n/a</w:t>
            </w:r>
          </w:p>
        </w:tc>
        <w:tc>
          <w:tcPr>
            <w:tcW w:w="2647" w:type="dxa"/>
            <w:shd w:val="clear" w:color="auto" w:fill="auto"/>
            <w:noWrap/>
            <w:tcMar>
              <w:top w:w="12" w:type="dxa"/>
              <w:left w:w="12" w:type="dxa"/>
              <w:bottom w:w="0" w:type="dxa"/>
              <w:right w:w="12" w:type="dxa"/>
            </w:tcMar>
            <w:vAlign w:val="center"/>
          </w:tcPr>
          <w:p w14:paraId="0089AF09" w14:textId="24ED1867" w:rsidR="00536E90" w:rsidRDefault="00536E90" w:rsidP="00D20A1E">
            <w:pPr>
              <w:widowControl/>
              <w:tabs>
                <w:tab w:val="decimal" w:pos="1480"/>
              </w:tabs>
              <w:spacing w:before="40" w:after="40"/>
              <w:rPr>
                <w:rFonts w:eastAsia="Arial Unicode MS" w:cs="Arial"/>
                <w:sz w:val="20"/>
                <w:szCs w:val="20"/>
              </w:rPr>
            </w:pPr>
            <w:r w:rsidRPr="00536E90">
              <w:rPr>
                <w:rFonts w:eastAsia="Arial Unicode MS" w:cs="Arial"/>
                <w:sz w:val="20"/>
                <w:szCs w:val="20"/>
              </w:rPr>
              <w:t>352</w:t>
            </w:r>
          </w:p>
        </w:tc>
      </w:tr>
      <w:tr w:rsidR="009C5091" w:rsidRPr="00A36B68" w14:paraId="1382538D" w14:textId="77777777" w:rsidTr="00F13FF2">
        <w:trPr>
          <w:trHeight w:val="264"/>
        </w:trPr>
        <w:tc>
          <w:tcPr>
            <w:tcW w:w="2986" w:type="dxa"/>
            <w:noWrap/>
            <w:tcMar>
              <w:top w:w="12" w:type="dxa"/>
              <w:left w:w="12" w:type="dxa"/>
              <w:bottom w:w="0" w:type="dxa"/>
              <w:right w:w="12" w:type="dxa"/>
            </w:tcMar>
            <w:vAlign w:val="center"/>
          </w:tcPr>
          <w:p w14:paraId="3EE0D109" w14:textId="2BF10574" w:rsidR="009C5091" w:rsidRPr="00A36B68" w:rsidRDefault="009C5091" w:rsidP="00D20A1E">
            <w:pPr>
              <w:widowControl/>
              <w:spacing w:before="40" w:after="40"/>
              <w:rPr>
                <w:rFonts w:cs="Arial"/>
                <w:sz w:val="20"/>
                <w:szCs w:val="20"/>
              </w:rPr>
            </w:pPr>
            <w:r>
              <w:rPr>
                <w:rFonts w:cs="Arial"/>
                <w:sz w:val="20"/>
                <w:szCs w:val="20"/>
              </w:rPr>
              <w:t>Folates</w:t>
            </w:r>
            <w:r w:rsidR="004E5557">
              <w:rPr>
                <w:rFonts w:cs="Arial"/>
                <w:sz w:val="20"/>
                <w:szCs w:val="20"/>
              </w:rPr>
              <w:t>, naturally occurring</w:t>
            </w:r>
            <w:r>
              <w:rPr>
                <w:rFonts w:cs="Arial"/>
                <w:sz w:val="20"/>
                <w:szCs w:val="20"/>
              </w:rPr>
              <w:t xml:space="preserve"> (</w:t>
            </w:r>
            <w:r w:rsidRPr="00A36B68">
              <w:rPr>
                <w:rFonts w:eastAsia="Arial Unicode MS" w:cs="Arial"/>
                <w:sz w:val="20"/>
                <w:szCs w:val="20"/>
              </w:rPr>
              <w:t>µ</w:t>
            </w:r>
            <w:r w:rsidRPr="00A36B68">
              <w:rPr>
                <w:rFonts w:cs="Arial"/>
                <w:sz w:val="20"/>
                <w:szCs w:val="20"/>
              </w:rPr>
              <w:t>g)</w:t>
            </w:r>
          </w:p>
        </w:tc>
        <w:tc>
          <w:tcPr>
            <w:tcW w:w="2646" w:type="dxa"/>
            <w:vAlign w:val="center"/>
          </w:tcPr>
          <w:p w14:paraId="51C01372" w14:textId="2ED473FE" w:rsidR="009C5091" w:rsidRDefault="00C43B93" w:rsidP="00D20A1E">
            <w:pPr>
              <w:widowControl/>
              <w:tabs>
                <w:tab w:val="decimal" w:pos="1480"/>
              </w:tabs>
              <w:spacing w:before="40" w:after="40"/>
              <w:rPr>
                <w:rFonts w:eastAsia="Arial Unicode MS" w:cs="Arial"/>
                <w:sz w:val="20"/>
                <w:szCs w:val="20"/>
              </w:rPr>
            </w:pPr>
            <w:r w:rsidRPr="00C43B93">
              <w:rPr>
                <w:rFonts w:eastAsia="Arial Unicode MS" w:cs="Arial"/>
                <w:sz w:val="20"/>
                <w:szCs w:val="20"/>
              </w:rPr>
              <w:t>2</w:t>
            </w:r>
            <w:r w:rsidR="00A9367F">
              <w:rPr>
                <w:rFonts w:eastAsia="Arial Unicode MS" w:cs="Arial"/>
                <w:sz w:val="20"/>
                <w:szCs w:val="20"/>
              </w:rPr>
              <w:t>43</w:t>
            </w:r>
          </w:p>
        </w:tc>
        <w:tc>
          <w:tcPr>
            <w:tcW w:w="2647" w:type="dxa"/>
            <w:shd w:val="clear" w:color="auto" w:fill="auto"/>
            <w:noWrap/>
            <w:tcMar>
              <w:top w:w="12" w:type="dxa"/>
              <w:left w:w="12" w:type="dxa"/>
              <w:bottom w:w="0" w:type="dxa"/>
              <w:right w:w="12" w:type="dxa"/>
            </w:tcMar>
            <w:vAlign w:val="center"/>
          </w:tcPr>
          <w:p w14:paraId="50B6E52A" w14:textId="6411F194" w:rsidR="009C5091" w:rsidRPr="008D09BB" w:rsidRDefault="009C5091" w:rsidP="00D20A1E">
            <w:pPr>
              <w:widowControl/>
              <w:tabs>
                <w:tab w:val="decimal" w:pos="1480"/>
              </w:tabs>
              <w:spacing w:before="40" w:after="40"/>
              <w:rPr>
                <w:rFonts w:eastAsia="Arial Unicode MS" w:cs="Arial"/>
                <w:sz w:val="20"/>
                <w:szCs w:val="20"/>
              </w:rPr>
            </w:pPr>
            <w:r>
              <w:rPr>
                <w:rFonts w:eastAsia="Arial Unicode MS" w:cs="Arial"/>
                <w:sz w:val="20"/>
                <w:szCs w:val="20"/>
              </w:rPr>
              <w:t>263</w:t>
            </w:r>
          </w:p>
        </w:tc>
      </w:tr>
      <w:tr w:rsidR="00536E90" w:rsidRPr="00A36B68" w14:paraId="1B571FD8" w14:textId="77777777" w:rsidTr="00F13FF2">
        <w:trPr>
          <w:trHeight w:val="264"/>
        </w:trPr>
        <w:tc>
          <w:tcPr>
            <w:tcW w:w="2986" w:type="dxa"/>
            <w:noWrap/>
            <w:tcMar>
              <w:top w:w="12" w:type="dxa"/>
              <w:left w:w="12" w:type="dxa"/>
              <w:bottom w:w="0" w:type="dxa"/>
              <w:right w:w="12" w:type="dxa"/>
            </w:tcMar>
            <w:vAlign w:val="center"/>
          </w:tcPr>
          <w:p w14:paraId="27ABFD94" w14:textId="77B9AC33" w:rsidR="00536E90" w:rsidRPr="00A36B68" w:rsidRDefault="00536E90" w:rsidP="00D20A1E">
            <w:pPr>
              <w:widowControl/>
              <w:spacing w:before="40" w:after="40"/>
              <w:rPr>
                <w:rFonts w:cs="Arial"/>
                <w:sz w:val="20"/>
                <w:szCs w:val="20"/>
              </w:rPr>
            </w:pPr>
            <w:r>
              <w:rPr>
                <w:rFonts w:cs="Arial"/>
                <w:sz w:val="20"/>
                <w:szCs w:val="20"/>
              </w:rPr>
              <w:t>Folic acid (</w:t>
            </w:r>
            <w:r w:rsidRPr="00A36B68">
              <w:rPr>
                <w:rFonts w:eastAsia="Arial Unicode MS" w:cs="Arial"/>
                <w:sz w:val="20"/>
                <w:szCs w:val="20"/>
              </w:rPr>
              <w:t>µ</w:t>
            </w:r>
            <w:r w:rsidRPr="00A36B68">
              <w:rPr>
                <w:rFonts w:cs="Arial"/>
                <w:sz w:val="20"/>
                <w:szCs w:val="20"/>
              </w:rPr>
              <w:t>g)</w:t>
            </w:r>
          </w:p>
        </w:tc>
        <w:tc>
          <w:tcPr>
            <w:tcW w:w="2646" w:type="dxa"/>
            <w:vAlign w:val="center"/>
          </w:tcPr>
          <w:p w14:paraId="0C2BD662" w14:textId="1DDE83C3" w:rsidR="00536E90" w:rsidRDefault="00536E90" w:rsidP="00D20A1E">
            <w:pPr>
              <w:widowControl/>
              <w:tabs>
                <w:tab w:val="decimal" w:pos="1480"/>
              </w:tabs>
              <w:spacing w:before="40" w:after="40"/>
              <w:rPr>
                <w:rFonts w:eastAsia="Arial Unicode MS" w:cs="Arial"/>
                <w:sz w:val="20"/>
                <w:szCs w:val="20"/>
              </w:rPr>
            </w:pPr>
            <w:r>
              <w:rPr>
                <w:rFonts w:eastAsia="Arial Unicode MS" w:cs="Arial"/>
                <w:sz w:val="20"/>
                <w:szCs w:val="20"/>
              </w:rPr>
              <w:t>n/a</w:t>
            </w:r>
          </w:p>
        </w:tc>
        <w:tc>
          <w:tcPr>
            <w:tcW w:w="2647" w:type="dxa"/>
            <w:shd w:val="clear" w:color="auto" w:fill="auto"/>
            <w:noWrap/>
            <w:tcMar>
              <w:top w:w="12" w:type="dxa"/>
              <w:left w:w="12" w:type="dxa"/>
              <w:bottom w:w="0" w:type="dxa"/>
              <w:right w:w="12" w:type="dxa"/>
            </w:tcMar>
            <w:vAlign w:val="center"/>
          </w:tcPr>
          <w:p w14:paraId="08CC2940" w14:textId="3D526AF8" w:rsidR="00536E90" w:rsidRPr="008D09BB" w:rsidRDefault="00536E90" w:rsidP="00D20A1E">
            <w:pPr>
              <w:widowControl/>
              <w:tabs>
                <w:tab w:val="decimal" w:pos="1480"/>
              </w:tabs>
              <w:spacing w:before="40" w:after="40"/>
              <w:rPr>
                <w:rFonts w:eastAsia="Arial Unicode MS" w:cs="Arial"/>
                <w:sz w:val="20"/>
                <w:szCs w:val="20"/>
              </w:rPr>
            </w:pPr>
            <w:r w:rsidRPr="00536E90">
              <w:rPr>
                <w:rFonts w:eastAsia="Arial Unicode MS" w:cs="Arial"/>
                <w:sz w:val="20"/>
                <w:szCs w:val="20"/>
              </w:rPr>
              <w:t>53</w:t>
            </w:r>
          </w:p>
        </w:tc>
      </w:tr>
      <w:tr w:rsidR="000D5096" w:rsidRPr="00A36B68" w14:paraId="4D5122D7" w14:textId="77777777" w:rsidTr="00F13FF2">
        <w:trPr>
          <w:trHeight w:val="264"/>
        </w:trPr>
        <w:tc>
          <w:tcPr>
            <w:tcW w:w="2986" w:type="dxa"/>
            <w:noWrap/>
            <w:tcMar>
              <w:top w:w="12" w:type="dxa"/>
              <w:left w:w="12" w:type="dxa"/>
              <w:bottom w:w="0" w:type="dxa"/>
              <w:right w:w="12" w:type="dxa"/>
            </w:tcMar>
            <w:vAlign w:val="center"/>
          </w:tcPr>
          <w:p w14:paraId="409434BF"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Iodine (</w:t>
            </w:r>
            <w:r w:rsidRPr="00A36B68">
              <w:rPr>
                <w:rFonts w:eastAsia="Arial Unicode MS" w:cs="Arial"/>
                <w:sz w:val="20"/>
                <w:szCs w:val="20"/>
              </w:rPr>
              <w:t>µ</w:t>
            </w:r>
            <w:r w:rsidRPr="00A36B68">
              <w:rPr>
                <w:rFonts w:cs="Arial"/>
                <w:sz w:val="20"/>
                <w:szCs w:val="20"/>
              </w:rPr>
              <w:t>g)</w:t>
            </w:r>
          </w:p>
        </w:tc>
        <w:tc>
          <w:tcPr>
            <w:tcW w:w="2646" w:type="dxa"/>
            <w:vAlign w:val="center"/>
          </w:tcPr>
          <w:p w14:paraId="10B865D9" w14:textId="2772AE91" w:rsidR="000D5096" w:rsidRPr="00A36B68" w:rsidRDefault="002B6513" w:rsidP="00D20A1E">
            <w:pPr>
              <w:widowControl/>
              <w:tabs>
                <w:tab w:val="decimal" w:pos="1480"/>
              </w:tabs>
              <w:spacing w:before="40" w:after="40"/>
              <w:rPr>
                <w:rFonts w:eastAsia="Arial Unicode MS" w:cs="Arial"/>
                <w:sz w:val="20"/>
                <w:szCs w:val="20"/>
              </w:rPr>
            </w:pPr>
            <w:r>
              <w:rPr>
                <w:rFonts w:eastAsia="Arial Unicode MS" w:cs="Arial"/>
                <w:sz w:val="20"/>
                <w:szCs w:val="20"/>
              </w:rPr>
              <w:t>72</w:t>
            </w:r>
            <w:r w:rsidRPr="002B6513">
              <w:rPr>
                <w:rFonts w:eastAsia="Arial Unicode MS" w:cs="Arial"/>
                <w:sz w:val="20"/>
                <w:szCs w:val="20"/>
                <w:vertAlign w:val="superscript"/>
              </w:rPr>
              <w:t>ʊ</w:t>
            </w:r>
          </w:p>
        </w:tc>
        <w:tc>
          <w:tcPr>
            <w:tcW w:w="2647" w:type="dxa"/>
            <w:shd w:val="clear" w:color="auto" w:fill="auto"/>
            <w:noWrap/>
            <w:tcMar>
              <w:top w:w="12" w:type="dxa"/>
              <w:left w:w="12" w:type="dxa"/>
              <w:bottom w:w="0" w:type="dxa"/>
              <w:right w:w="12" w:type="dxa"/>
            </w:tcMar>
            <w:vAlign w:val="center"/>
          </w:tcPr>
          <w:p w14:paraId="0D27DCE0" w14:textId="77777777" w:rsidR="000D5096" w:rsidRPr="00A36B68" w:rsidRDefault="000D5096" w:rsidP="00D20A1E">
            <w:pPr>
              <w:widowControl/>
              <w:tabs>
                <w:tab w:val="decimal" w:pos="1480"/>
              </w:tabs>
              <w:spacing w:before="40" w:after="40"/>
              <w:rPr>
                <w:rFonts w:eastAsia="Arial Unicode MS" w:cs="Arial"/>
                <w:sz w:val="20"/>
                <w:szCs w:val="20"/>
              </w:rPr>
            </w:pPr>
            <w:r w:rsidRPr="008D09BB">
              <w:rPr>
                <w:rFonts w:eastAsia="Arial Unicode MS" w:cs="Arial"/>
                <w:sz w:val="20"/>
                <w:szCs w:val="20"/>
              </w:rPr>
              <w:t>62</w:t>
            </w:r>
          </w:p>
        </w:tc>
      </w:tr>
      <w:tr w:rsidR="000D5096" w:rsidRPr="00A36B68" w14:paraId="0B0794AD" w14:textId="77777777" w:rsidTr="00F13FF2">
        <w:trPr>
          <w:trHeight w:val="264"/>
        </w:trPr>
        <w:tc>
          <w:tcPr>
            <w:tcW w:w="2986" w:type="dxa"/>
            <w:noWrap/>
            <w:tcMar>
              <w:top w:w="12" w:type="dxa"/>
              <w:left w:w="12" w:type="dxa"/>
              <w:bottom w:w="0" w:type="dxa"/>
              <w:right w:w="12" w:type="dxa"/>
            </w:tcMar>
            <w:vAlign w:val="center"/>
          </w:tcPr>
          <w:p w14:paraId="3CB2650D"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Magnesium (mg)</w:t>
            </w:r>
          </w:p>
        </w:tc>
        <w:tc>
          <w:tcPr>
            <w:tcW w:w="2646" w:type="dxa"/>
            <w:vAlign w:val="center"/>
          </w:tcPr>
          <w:p w14:paraId="22DB807C" w14:textId="77777777" w:rsidR="000D5096" w:rsidRPr="00A36B68" w:rsidRDefault="000D5096" w:rsidP="00D20A1E">
            <w:pPr>
              <w:widowControl/>
              <w:tabs>
                <w:tab w:val="decimal" w:pos="1480"/>
              </w:tabs>
              <w:spacing w:before="40" w:after="40"/>
              <w:rPr>
                <w:rFonts w:eastAsia="Arial Unicode MS" w:cs="Arial"/>
                <w:sz w:val="20"/>
                <w:szCs w:val="20"/>
              </w:rPr>
            </w:pPr>
            <w:r w:rsidRPr="00662A81">
              <w:rPr>
                <w:rFonts w:eastAsia="Arial Unicode MS" w:cs="Arial"/>
                <w:sz w:val="20"/>
                <w:szCs w:val="20"/>
              </w:rPr>
              <w:t>310</w:t>
            </w:r>
          </w:p>
        </w:tc>
        <w:tc>
          <w:tcPr>
            <w:tcW w:w="2647" w:type="dxa"/>
            <w:shd w:val="clear" w:color="auto" w:fill="auto"/>
            <w:noWrap/>
            <w:tcMar>
              <w:top w:w="12" w:type="dxa"/>
              <w:left w:w="12" w:type="dxa"/>
              <w:bottom w:w="0" w:type="dxa"/>
              <w:right w:w="12" w:type="dxa"/>
            </w:tcMar>
            <w:vAlign w:val="center"/>
          </w:tcPr>
          <w:p w14:paraId="59DCE9F0" w14:textId="77777777" w:rsidR="000D5096" w:rsidRPr="00A36B68" w:rsidRDefault="000D5096" w:rsidP="00D20A1E">
            <w:pPr>
              <w:widowControl/>
              <w:tabs>
                <w:tab w:val="decimal" w:pos="1480"/>
              </w:tabs>
              <w:spacing w:before="40" w:after="40"/>
              <w:rPr>
                <w:rFonts w:eastAsia="Arial Unicode MS" w:cs="Arial"/>
                <w:sz w:val="20"/>
                <w:szCs w:val="20"/>
              </w:rPr>
            </w:pPr>
            <w:r w:rsidRPr="008D09BB">
              <w:rPr>
                <w:rFonts w:eastAsia="Arial Unicode MS" w:cs="Arial"/>
                <w:sz w:val="20"/>
                <w:szCs w:val="20"/>
              </w:rPr>
              <w:t>320</w:t>
            </w:r>
          </w:p>
        </w:tc>
      </w:tr>
      <w:tr w:rsidR="000D5096" w:rsidRPr="00A36B68" w14:paraId="25409155" w14:textId="77777777" w:rsidTr="00F13FF2">
        <w:trPr>
          <w:trHeight w:val="264"/>
        </w:trPr>
        <w:tc>
          <w:tcPr>
            <w:tcW w:w="2986" w:type="dxa"/>
            <w:noWrap/>
            <w:tcMar>
              <w:top w:w="12" w:type="dxa"/>
              <w:left w:w="12" w:type="dxa"/>
              <w:bottom w:w="0" w:type="dxa"/>
              <w:right w:w="12" w:type="dxa"/>
            </w:tcMar>
            <w:vAlign w:val="center"/>
          </w:tcPr>
          <w:p w14:paraId="3CDF6752"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Phosphorus (mg)</w:t>
            </w:r>
          </w:p>
        </w:tc>
        <w:tc>
          <w:tcPr>
            <w:tcW w:w="2646" w:type="dxa"/>
            <w:vAlign w:val="center"/>
          </w:tcPr>
          <w:p w14:paraId="618B90A6" w14:textId="77777777" w:rsidR="000D5096" w:rsidRPr="00A36B68" w:rsidRDefault="000D5096" w:rsidP="00D20A1E">
            <w:pPr>
              <w:widowControl/>
              <w:tabs>
                <w:tab w:val="decimal" w:pos="1480"/>
              </w:tabs>
              <w:spacing w:before="40" w:after="40"/>
              <w:rPr>
                <w:rFonts w:eastAsia="Arial Unicode MS" w:cs="Arial"/>
                <w:sz w:val="20"/>
                <w:szCs w:val="20"/>
              </w:rPr>
            </w:pPr>
            <w:r w:rsidRPr="00662A81">
              <w:rPr>
                <w:rFonts w:eastAsia="Arial Unicode MS" w:cs="Arial"/>
                <w:sz w:val="20"/>
                <w:szCs w:val="20"/>
              </w:rPr>
              <w:t>1</w:t>
            </w:r>
            <w:r>
              <w:rPr>
                <w:rFonts w:eastAsia="Arial Unicode MS" w:cs="Arial"/>
                <w:sz w:val="20"/>
                <w:szCs w:val="20"/>
              </w:rPr>
              <w:t>,</w:t>
            </w:r>
            <w:r w:rsidRPr="00662A81">
              <w:rPr>
                <w:rFonts w:eastAsia="Arial Unicode MS" w:cs="Arial"/>
                <w:sz w:val="20"/>
                <w:szCs w:val="20"/>
              </w:rPr>
              <w:t>46</w:t>
            </w:r>
            <w:r>
              <w:rPr>
                <w:rFonts w:eastAsia="Arial Unicode MS" w:cs="Arial"/>
                <w:sz w:val="20"/>
                <w:szCs w:val="20"/>
              </w:rPr>
              <w:t>8</w:t>
            </w:r>
          </w:p>
        </w:tc>
        <w:tc>
          <w:tcPr>
            <w:tcW w:w="2647" w:type="dxa"/>
            <w:shd w:val="clear" w:color="auto" w:fill="auto"/>
            <w:noWrap/>
            <w:tcMar>
              <w:top w:w="12" w:type="dxa"/>
              <w:left w:w="12" w:type="dxa"/>
              <w:bottom w:w="0" w:type="dxa"/>
              <w:right w:w="12" w:type="dxa"/>
            </w:tcMar>
            <w:vAlign w:val="center"/>
          </w:tcPr>
          <w:p w14:paraId="423924AB" w14:textId="77777777" w:rsidR="000D5096" w:rsidRPr="00A36B68" w:rsidRDefault="000D5096" w:rsidP="00D20A1E">
            <w:pPr>
              <w:widowControl/>
              <w:tabs>
                <w:tab w:val="decimal" w:pos="1480"/>
              </w:tabs>
              <w:spacing w:before="40" w:after="40"/>
              <w:rPr>
                <w:rFonts w:eastAsia="Arial Unicode MS" w:cs="Arial"/>
                <w:sz w:val="20"/>
                <w:szCs w:val="20"/>
              </w:rPr>
            </w:pPr>
            <w:r w:rsidRPr="008D09BB">
              <w:rPr>
                <w:rFonts w:eastAsia="Arial Unicode MS" w:cs="Arial"/>
                <w:sz w:val="20"/>
                <w:szCs w:val="20"/>
              </w:rPr>
              <w:t>1</w:t>
            </w:r>
            <w:r>
              <w:rPr>
                <w:rFonts w:eastAsia="Arial Unicode MS" w:cs="Arial"/>
                <w:sz w:val="20"/>
                <w:szCs w:val="20"/>
              </w:rPr>
              <w:t>,</w:t>
            </w:r>
            <w:r w:rsidRPr="008D09BB">
              <w:rPr>
                <w:rFonts w:eastAsia="Arial Unicode MS" w:cs="Arial"/>
                <w:sz w:val="20"/>
                <w:szCs w:val="20"/>
              </w:rPr>
              <w:t>427</w:t>
            </w:r>
          </w:p>
        </w:tc>
      </w:tr>
      <w:tr w:rsidR="000D5096" w:rsidRPr="00A36B68" w14:paraId="772C0A23" w14:textId="77777777" w:rsidTr="00F13FF2">
        <w:trPr>
          <w:trHeight w:val="264"/>
        </w:trPr>
        <w:tc>
          <w:tcPr>
            <w:tcW w:w="2986" w:type="dxa"/>
            <w:noWrap/>
            <w:tcMar>
              <w:top w:w="12" w:type="dxa"/>
              <w:left w:w="12" w:type="dxa"/>
              <w:bottom w:w="0" w:type="dxa"/>
              <w:right w:w="12" w:type="dxa"/>
            </w:tcMar>
            <w:vAlign w:val="center"/>
          </w:tcPr>
          <w:p w14:paraId="39144238" w14:textId="2A2C3ABC" w:rsidR="000D5096" w:rsidRPr="00A36B68" w:rsidRDefault="00326E1B" w:rsidP="00D20A1E">
            <w:pPr>
              <w:widowControl/>
              <w:spacing w:before="40" w:after="40"/>
              <w:rPr>
                <w:rFonts w:eastAsia="Arial Unicode MS" w:cs="Arial"/>
                <w:sz w:val="20"/>
                <w:szCs w:val="20"/>
              </w:rPr>
            </w:pPr>
            <w:r>
              <w:rPr>
                <w:rFonts w:cs="Arial"/>
                <w:sz w:val="20"/>
                <w:szCs w:val="20"/>
              </w:rPr>
              <w:t>Retinol equivalents</w:t>
            </w:r>
            <w:r w:rsidR="000D5096" w:rsidRPr="00A36B68">
              <w:rPr>
                <w:rFonts w:cs="Arial"/>
                <w:sz w:val="20"/>
                <w:szCs w:val="20"/>
              </w:rPr>
              <w:t xml:space="preserve"> (</w:t>
            </w:r>
            <w:r w:rsidR="000D5096" w:rsidRPr="00A36B68">
              <w:rPr>
                <w:rFonts w:eastAsia="Arial Unicode MS" w:cs="Arial"/>
                <w:sz w:val="20"/>
                <w:szCs w:val="20"/>
              </w:rPr>
              <w:t>µ</w:t>
            </w:r>
            <w:r w:rsidR="000D5096" w:rsidRPr="00A36B68">
              <w:rPr>
                <w:rFonts w:cs="Arial"/>
                <w:sz w:val="20"/>
                <w:szCs w:val="20"/>
              </w:rPr>
              <w:t>g)</w:t>
            </w:r>
          </w:p>
        </w:tc>
        <w:tc>
          <w:tcPr>
            <w:tcW w:w="2646" w:type="dxa"/>
            <w:vAlign w:val="center"/>
          </w:tcPr>
          <w:p w14:paraId="593D3E1A" w14:textId="77777777" w:rsidR="000D5096" w:rsidRPr="00A36B68" w:rsidRDefault="000D5096" w:rsidP="00D20A1E">
            <w:pPr>
              <w:widowControl/>
              <w:tabs>
                <w:tab w:val="decimal" w:pos="1480"/>
              </w:tabs>
              <w:spacing w:before="40" w:after="40"/>
              <w:rPr>
                <w:rFonts w:eastAsia="Arial Unicode MS" w:cs="Arial"/>
                <w:sz w:val="20"/>
                <w:szCs w:val="20"/>
              </w:rPr>
            </w:pPr>
            <w:r w:rsidRPr="008D09BB">
              <w:rPr>
                <w:rFonts w:eastAsia="Arial Unicode MS" w:cs="Arial"/>
                <w:sz w:val="20"/>
                <w:szCs w:val="20"/>
              </w:rPr>
              <w:t>1</w:t>
            </w:r>
            <w:r>
              <w:rPr>
                <w:rFonts w:eastAsia="Arial Unicode MS" w:cs="Arial"/>
                <w:sz w:val="20"/>
                <w:szCs w:val="20"/>
              </w:rPr>
              <w:t>,</w:t>
            </w:r>
            <w:r w:rsidRPr="008D09BB">
              <w:rPr>
                <w:rFonts w:eastAsia="Arial Unicode MS" w:cs="Arial"/>
                <w:sz w:val="20"/>
                <w:szCs w:val="20"/>
              </w:rPr>
              <w:t>105</w:t>
            </w:r>
          </w:p>
        </w:tc>
        <w:tc>
          <w:tcPr>
            <w:tcW w:w="2647" w:type="dxa"/>
            <w:shd w:val="clear" w:color="auto" w:fill="auto"/>
            <w:noWrap/>
            <w:tcMar>
              <w:top w:w="12" w:type="dxa"/>
              <w:left w:w="12" w:type="dxa"/>
              <w:bottom w:w="0" w:type="dxa"/>
              <w:right w:w="12" w:type="dxa"/>
            </w:tcMar>
            <w:vAlign w:val="center"/>
          </w:tcPr>
          <w:p w14:paraId="1D844A88" w14:textId="77777777" w:rsidR="000D5096" w:rsidRPr="00A36B68" w:rsidRDefault="000D5096" w:rsidP="00D20A1E">
            <w:pPr>
              <w:widowControl/>
              <w:tabs>
                <w:tab w:val="decimal" w:pos="1480"/>
              </w:tabs>
              <w:spacing w:before="40" w:after="40"/>
              <w:rPr>
                <w:rFonts w:eastAsia="Arial Unicode MS" w:cs="Arial"/>
                <w:sz w:val="20"/>
                <w:szCs w:val="20"/>
              </w:rPr>
            </w:pPr>
            <w:r w:rsidRPr="008D09BB">
              <w:rPr>
                <w:rFonts w:eastAsia="Arial Unicode MS" w:cs="Arial"/>
                <w:sz w:val="20"/>
                <w:szCs w:val="20"/>
              </w:rPr>
              <w:t>882</w:t>
            </w:r>
          </w:p>
        </w:tc>
      </w:tr>
      <w:tr w:rsidR="000D5096" w:rsidRPr="00A36B68" w14:paraId="2E8F4ACD" w14:textId="77777777" w:rsidTr="00F13FF2">
        <w:trPr>
          <w:trHeight w:val="264"/>
        </w:trPr>
        <w:tc>
          <w:tcPr>
            <w:tcW w:w="2986" w:type="dxa"/>
            <w:noWrap/>
            <w:tcMar>
              <w:top w:w="12" w:type="dxa"/>
              <w:left w:w="12" w:type="dxa"/>
              <w:bottom w:w="0" w:type="dxa"/>
              <w:right w:w="12" w:type="dxa"/>
            </w:tcMar>
            <w:vAlign w:val="center"/>
          </w:tcPr>
          <w:p w14:paraId="6F8DCC89" w14:textId="77777777" w:rsidR="000D5096" w:rsidRPr="00A36B68" w:rsidRDefault="000D5096" w:rsidP="00D20A1E">
            <w:pPr>
              <w:keepNext/>
              <w:keepLines/>
              <w:widowControl/>
              <w:spacing w:before="40" w:after="40"/>
              <w:rPr>
                <w:rFonts w:eastAsia="Arial Unicode MS" w:cs="Arial"/>
                <w:sz w:val="20"/>
                <w:szCs w:val="20"/>
              </w:rPr>
            </w:pPr>
            <w:r w:rsidRPr="00A36B68">
              <w:rPr>
                <w:rFonts w:cs="Arial"/>
                <w:sz w:val="20"/>
                <w:szCs w:val="20"/>
              </w:rPr>
              <w:t>Riboflavin (mg)</w:t>
            </w:r>
          </w:p>
        </w:tc>
        <w:tc>
          <w:tcPr>
            <w:tcW w:w="2646" w:type="dxa"/>
            <w:vAlign w:val="center"/>
          </w:tcPr>
          <w:p w14:paraId="2DEC8C4C"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Pr>
                <w:rFonts w:eastAsia="Arial Unicode MS" w:cs="Arial"/>
              </w:rPr>
              <w:t>1.</w:t>
            </w:r>
            <w:r w:rsidRPr="00662A81">
              <w:rPr>
                <w:rFonts w:eastAsia="Arial Unicode MS" w:cs="Arial"/>
              </w:rPr>
              <w:t>8</w:t>
            </w:r>
          </w:p>
        </w:tc>
        <w:tc>
          <w:tcPr>
            <w:tcW w:w="2647" w:type="dxa"/>
            <w:shd w:val="clear" w:color="auto" w:fill="auto"/>
            <w:noWrap/>
            <w:tcMar>
              <w:top w:w="12" w:type="dxa"/>
              <w:left w:w="12" w:type="dxa"/>
              <w:bottom w:w="0" w:type="dxa"/>
              <w:right w:w="12" w:type="dxa"/>
            </w:tcMar>
            <w:vAlign w:val="center"/>
          </w:tcPr>
          <w:p w14:paraId="66CF0212" w14:textId="77777777" w:rsidR="000D5096" w:rsidRPr="00A36B68" w:rsidRDefault="000D5096" w:rsidP="00D20A1E">
            <w:pPr>
              <w:pStyle w:val="FootnoteText"/>
              <w:keepNext/>
              <w:keepLines/>
              <w:widowControl/>
              <w:tabs>
                <w:tab w:val="decimal" w:pos="1480"/>
              </w:tabs>
              <w:spacing w:before="40" w:after="40"/>
              <w:rPr>
                <w:rFonts w:eastAsia="Arial Unicode MS" w:cs="Arial"/>
              </w:rPr>
            </w:pPr>
            <w:r w:rsidRPr="008D09BB">
              <w:rPr>
                <w:rFonts w:eastAsia="Arial Unicode MS" w:cs="Arial"/>
              </w:rPr>
              <w:t>2</w:t>
            </w:r>
            <w:r>
              <w:rPr>
                <w:rFonts w:eastAsia="Arial Unicode MS" w:cs="Arial"/>
              </w:rPr>
              <w:t>.0</w:t>
            </w:r>
          </w:p>
        </w:tc>
      </w:tr>
      <w:tr w:rsidR="000D5096" w:rsidRPr="00A36B68" w14:paraId="644F6DBC" w14:textId="77777777" w:rsidTr="00F13FF2">
        <w:trPr>
          <w:trHeight w:val="264"/>
        </w:trPr>
        <w:tc>
          <w:tcPr>
            <w:tcW w:w="2986" w:type="dxa"/>
            <w:noWrap/>
            <w:tcMar>
              <w:top w:w="12" w:type="dxa"/>
              <w:left w:w="12" w:type="dxa"/>
              <w:bottom w:w="0" w:type="dxa"/>
              <w:right w:w="12" w:type="dxa"/>
            </w:tcMar>
            <w:vAlign w:val="center"/>
          </w:tcPr>
          <w:p w14:paraId="4A356148"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Thiamin (mg)</w:t>
            </w:r>
          </w:p>
        </w:tc>
        <w:tc>
          <w:tcPr>
            <w:tcW w:w="2646" w:type="dxa"/>
            <w:vAlign w:val="center"/>
          </w:tcPr>
          <w:p w14:paraId="7CE1D394" w14:textId="77777777" w:rsidR="000D5096" w:rsidRPr="00A36B68" w:rsidRDefault="000D5096" w:rsidP="00D20A1E">
            <w:pPr>
              <w:pStyle w:val="FootnoteText"/>
              <w:widowControl/>
              <w:tabs>
                <w:tab w:val="decimal" w:pos="1480"/>
              </w:tabs>
              <w:spacing w:before="40" w:after="40"/>
              <w:rPr>
                <w:rFonts w:eastAsia="Arial Unicode MS" w:cs="Arial"/>
              </w:rPr>
            </w:pPr>
            <w:r w:rsidRPr="0030752B">
              <w:rPr>
                <w:rFonts w:eastAsia="Arial Unicode MS" w:cs="Arial"/>
              </w:rPr>
              <w:t>1.4</w:t>
            </w:r>
          </w:p>
        </w:tc>
        <w:tc>
          <w:tcPr>
            <w:tcW w:w="2647" w:type="dxa"/>
            <w:shd w:val="clear" w:color="auto" w:fill="auto"/>
            <w:noWrap/>
            <w:tcMar>
              <w:top w:w="12" w:type="dxa"/>
              <w:left w:w="12" w:type="dxa"/>
              <w:bottom w:w="0" w:type="dxa"/>
              <w:right w:w="12" w:type="dxa"/>
            </w:tcMar>
            <w:vAlign w:val="center"/>
          </w:tcPr>
          <w:p w14:paraId="7E7EDF74" w14:textId="77777777" w:rsidR="000D5096" w:rsidRPr="00A36B68" w:rsidRDefault="000D5096" w:rsidP="00D20A1E">
            <w:pPr>
              <w:pStyle w:val="FootnoteText"/>
              <w:widowControl/>
              <w:tabs>
                <w:tab w:val="decimal" w:pos="1480"/>
              </w:tabs>
              <w:spacing w:before="40" w:after="40"/>
              <w:rPr>
                <w:rFonts w:eastAsia="Arial Unicode MS" w:cs="Arial"/>
              </w:rPr>
            </w:pPr>
            <w:r w:rsidRPr="008D09BB">
              <w:rPr>
                <w:rFonts w:eastAsia="Arial Unicode MS" w:cs="Arial"/>
              </w:rPr>
              <w:t>1.5</w:t>
            </w:r>
          </w:p>
        </w:tc>
      </w:tr>
      <w:tr w:rsidR="000D5096" w:rsidRPr="00A36B68" w14:paraId="7796FD12" w14:textId="77777777" w:rsidTr="00F13FF2">
        <w:trPr>
          <w:trHeight w:val="264"/>
        </w:trPr>
        <w:tc>
          <w:tcPr>
            <w:tcW w:w="2986" w:type="dxa"/>
            <w:noWrap/>
            <w:tcMar>
              <w:top w:w="12" w:type="dxa"/>
              <w:left w:w="12" w:type="dxa"/>
              <w:bottom w:w="0" w:type="dxa"/>
              <w:right w:w="12" w:type="dxa"/>
            </w:tcMar>
            <w:vAlign w:val="center"/>
          </w:tcPr>
          <w:p w14:paraId="5631A43B"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Vitamin B</w:t>
            </w:r>
            <w:r w:rsidRPr="00A36B68">
              <w:rPr>
                <w:rFonts w:cs="Arial"/>
                <w:sz w:val="20"/>
                <w:szCs w:val="20"/>
                <w:vertAlign w:val="subscript"/>
              </w:rPr>
              <w:t>6</w:t>
            </w:r>
            <w:r w:rsidRPr="00A36B68">
              <w:rPr>
                <w:rFonts w:cs="Arial"/>
                <w:sz w:val="20"/>
                <w:szCs w:val="20"/>
              </w:rPr>
              <w:t xml:space="preserve"> (mg)</w:t>
            </w:r>
          </w:p>
        </w:tc>
        <w:tc>
          <w:tcPr>
            <w:tcW w:w="2646" w:type="dxa"/>
            <w:vAlign w:val="center"/>
          </w:tcPr>
          <w:p w14:paraId="49764A98" w14:textId="77777777" w:rsidR="000D5096" w:rsidRPr="00A36B68" w:rsidRDefault="000D5096" w:rsidP="00D20A1E">
            <w:pPr>
              <w:pStyle w:val="FootnoteText"/>
              <w:widowControl/>
              <w:tabs>
                <w:tab w:val="decimal" w:pos="1480"/>
              </w:tabs>
              <w:spacing w:before="40" w:after="40"/>
              <w:rPr>
                <w:rFonts w:eastAsia="Arial Unicode MS" w:cs="Arial"/>
              </w:rPr>
            </w:pPr>
            <w:r w:rsidRPr="0030752B">
              <w:rPr>
                <w:rFonts w:eastAsia="Arial Unicode MS" w:cs="Arial"/>
              </w:rPr>
              <w:t>1.4</w:t>
            </w:r>
          </w:p>
        </w:tc>
        <w:tc>
          <w:tcPr>
            <w:tcW w:w="2647" w:type="dxa"/>
            <w:shd w:val="clear" w:color="auto" w:fill="auto"/>
            <w:noWrap/>
            <w:tcMar>
              <w:top w:w="12" w:type="dxa"/>
              <w:left w:w="12" w:type="dxa"/>
              <w:bottom w:w="0" w:type="dxa"/>
              <w:right w:w="12" w:type="dxa"/>
            </w:tcMar>
            <w:vAlign w:val="center"/>
          </w:tcPr>
          <w:p w14:paraId="5A1876EB" w14:textId="77777777" w:rsidR="000D5096" w:rsidRPr="00A36B68" w:rsidRDefault="000D5096" w:rsidP="00D20A1E">
            <w:pPr>
              <w:pStyle w:val="FootnoteText"/>
              <w:widowControl/>
              <w:tabs>
                <w:tab w:val="decimal" w:pos="1480"/>
              </w:tabs>
              <w:spacing w:before="40" w:after="40"/>
              <w:rPr>
                <w:rFonts w:eastAsia="Arial Unicode MS" w:cs="Arial"/>
              </w:rPr>
            </w:pPr>
            <w:r w:rsidRPr="008D09BB">
              <w:rPr>
                <w:rFonts w:eastAsia="Arial Unicode MS" w:cs="Arial"/>
              </w:rPr>
              <w:t>2.1</w:t>
            </w:r>
          </w:p>
        </w:tc>
      </w:tr>
      <w:tr w:rsidR="000D5096" w:rsidRPr="00A36B68" w14:paraId="471140CF" w14:textId="77777777" w:rsidTr="00F13FF2">
        <w:trPr>
          <w:trHeight w:val="264"/>
        </w:trPr>
        <w:tc>
          <w:tcPr>
            <w:tcW w:w="2986" w:type="dxa"/>
            <w:noWrap/>
            <w:tcMar>
              <w:top w:w="12" w:type="dxa"/>
              <w:left w:w="12" w:type="dxa"/>
              <w:bottom w:w="0" w:type="dxa"/>
              <w:right w:w="12" w:type="dxa"/>
            </w:tcMar>
            <w:vAlign w:val="center"/>
          </w:tcPr>
          <w:p w14:paraId="7677845C"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Vitamin B</w:t>
            </w:r>
            <w:r w:rsidRPr="00A36B68">
              <w:rPr>
                <w:rFonts w:cs="Arial"/>
                <w:sz w:val="20"/>
                <w:szCs w:val="20"/>
                <w:vertAlign w:val="subscript"/>
              </w:rPr>
              <w:t>12</w:t>
            </w:r>
            <w:r w:rsidRPr="00A36B68">
              <w:rPr>
                <w:rFonts w:cs="Arial"/>
                <w:sz w:val="20"/>
                <w:szCs w:val="20"/>
              </w:rPr>
              <w:t xml:space="preserve"> (</w:t>
            </w:r>
            <w:r w:rsidRPr="00A36B68">
              <w:rPr>
                <w:rFonts w:eastAsia="Arial Unicode MS" w:cs="Arial"/>
                <w:sz w:val="20"/>
                <w:szCs w:val="20"/>
              </w:rPr>
              <w:t>µ</w:t>
            </w:r>
            <w:r w:rsidRPr="00A36B68">
              <w:rPr>
                <w:rFonts w:cs="Arial"/>
                <w:sz w:val="20"/>
                <w:szCs w:val="20"/>
              </w:rPr>
              <w:t>g)</w:t>
            </w:r>
          </w:p>
        </w:tc>
        <w:tc>
          <w:tcPr>
            <w:tcW w:w="2646" w:type="dxa"/>
            <w:vAlign w:val="center"/>
          </w:tcPr>
          <w:p w14:paraId="621DC21E" w14:textId="77777777" w:rsidR="000D5096" w:rsidRPr="00A36B68" w:rsidRDefault="000D5096" w:rsidP="00D20A1E">
            <w:pPr>
              <w:pStyle w:val="FootnoteText"/>
              <w:widowControl/>
              <w:tabs>
                <w:tab w:val="decimal" w:pos="1480"/>
              </w:tabs>
              <w:spacing w:before="40" w:after="40"/>
              <w:rPr>
                <w:rFonts w:eastAsia="Arial Unicode MS" w:cs="Arial"/>
              </w:rPr>
            </w:pPr>
            <w:r>
              <w:rPr>
                <w:rFonts w:eastAsia="Arial Unicode MS" w:cs="Arial"/>
              </w:rPr>
              <w:t>4.8</w:t>
            </w:r>
          </w:p>
        </w:tc>
        <w:tc>
          <w:tcPr>
            <w:tcW w:w="2647" w:type="dxa"/>
            <w:shd w:val="clear" w:color="auto" w:fill="auto"/>
            <w:noWrap/>
            <w:tcMar>
              <w:top w:w="12" w:type="dxa"/>
              <w:left w:w="12" w:type="dxa"/>
              <w:bottom w:w="0" w:type="dxa"/>
              <w:right w:w="12" w:type="dxa"/>
            </w:tcMar>
            <w:vAlign w:val="center"/>
          </w:tcPr>
          <w:p w14:paraId="2AACED1D" w14:textId="77777777" w:rsidR="000D5096" w:rsidRPr="00A36B68" w:rsidRDefault="000D5096" w:rsidP="00D20A1E">
            <w:pPr>
              <w:pStyle w:val="FootnoteText"/>
              <w:widowControl/>
              <w:tabs>
                <w:tab w:val="decimal" w:pos="1480"/>
              </w:tabs>
              <w:spacing w:before="40" w:after="40"/>
              <w:rPr>
                <w:rFonts w:eastAsia="Arial Unicode MS" w:cs="Arial"/>
              </w:rPr>
            </w:pPr>
            <w:r w:rsidRPr="008D09BB">
              <w:rPr>
                <w:rFonts w:eastAsia="Arial Unicode MS" w:cs="Arial"/>
              </w:rPr>
              <w:t>4.4</w:t>
            </w:r>
          </w:p>
        </w:tc>
      </w:tr>
      <w:tr w:rsidR="000D5096" w:rsidRPr="00A36B68" w14:paraId="102FD90C" w14:textId="77777777" w:rsidTr="00F13FF2">
        <w:trPr>
          <w:trHeight w:val="264"/>
        </w:trPr>
        <w:tc>
          <w:tcPr>
            <w:tcW w:w="2986" w:type="dxa"/>
            <w:noWrap/>
            <w:tcMar>
              <w:top w:w="12" w:type="dxa"/>
              <w:left w:w="12" w:type="dxa"/>
              <w:bottom w:w="0" w:type="dxa"/>
              <w:right w:w="12" w:type="dxa"/>
            </w:tcMar>
            <w:vAlign w:val="center"/>
          </w:tcPr>
          <w:p w14:paraId="7BF025C7" w14:textId="77777777" w:rsidR="000D5096" w:rsidRPr="00A36B68" w:rsidRDefault="000D5096" w:rsidP="00D20A1E">
            <w:pPr>
              <w:widowControl/>
              <w:spacing w:before="40" w:after="40"/>
              <w:rPr>
                <w:rFonts w:eastAsia="Arial Unicode MS" w:cs="Arial"/>
                <w:sz w:val="20"/>
                <w:szCs w:val="20"/>
              </w:rPr>
            </w:pPr>
            <w:r w:rsidRPr="00A36B68">
              <w:rPr>
                <w:rFonts w:eastAsia="Arial Unicode MS" w:cs="Arial"/>
                <w:sz w:val="20"/>
                <w:szCs w:val="20"/>
              </w:rPr>
              <w:t>Vitamin D</w:t>
            </w:r>
            <w:r w:rsidRPr="00A36B68">
              <w:rPr>
                <w:rFonts w:cs="Arial"/>
                <w:sz w:val="20"/>
                <w:szCs w:val="20"/>
              </w:rPr>
              <w:t xml:space="preserve"> (</w:t>
            </w:r>
            <w:r w:rsidRPr="00A36B68">
              <w:rPr>
                <w:rFonts w:eastAsia="Arial Unicode MS" w:cs="Arial"/>
                <w:sz w:val="20"/>
                <w:szCs w:val="20"/>
              </w:rPr>
              <w:t>µ</w:t>
            </w:r>
            <w:r w:rsidRPr="00A36B68">
              <w:rPr>
                <w:rFonts w:cs="Arial"/>
                <w:sz w:val="20"/>
                <w:szCs w:val="20"/>
              </w:rPr>
              <w:t>g)</w:t>
            </w:r>
          </w:p>
        </w:tc>
        <w:tc>
          <w:tcPr>
            <w:tcW w:w="2646" w:type="dxa"/>
            <w:vAlign w:val="center"/>
          </w:tcPr>
          <w:p w14:paraId="46E648AA" w14:textId="77777777" w:rsidR="000D5096" w:rsidRPr="00A36B68" w:rsidRDefault="000D5096" w:rsidP="00D20A1E">
            <w:pPr>
              <w:pStyle w:val="FootnoteText"/>
              <w:widowControl/>
              <w:tabs>
                <w:tab w:val="decimal" w:pos="1480"/>
              </w:tabs>
              <w:spacing w:before="40" w:after="40"/>
              <w:rPr>
                <w:rFonts w:eastAsia="Arial Unicode MS" w:cs="Arial"/>
              </w:rPr>
            </w:pPr>
            <w:r w:rsidRPr="0030752B">
              <w:rPr>
                <w:rFonts w:eastAsia="Arial Unicode MS" w:cs="Arial"/>
              </w:rPr>
              <w:t>2.3</w:t>
            </w:r>
          </w:p>
        </w:tc>
        <w:tc>
          <w:tcPr>
            <w:tcW w:w="2647" w:type="dxa"/>
            <w:shd w:val="clear" w:color="auto" w:fill="auto"/>
            <w:noWrap/>
            <w:tcMar>
              <w:top w:w="12" w:type="dxa"/>
              <w:left w:w="12" w:type="dxa"/>
              <w:bottom w:w="0" w:type="dxa"/>
              <w:right w:w="12" w:type="dxa"/>
            </w:tcMar>
            <w:vAlign w:val="center"/>
          </w:tcPr>
          <w:p w14:paraId="0B7E87E3" w14:textId="77777777" w:rsidR="000D5096" w:rsidRPr="00A36B68" w:rsidRDefault="000D5096" w:rsidP="00D20A1E">
            <w:pPr>
              <w:pStyle w:val="FootnoteText"/>
              <w:widowControl/>
              <w:tabs>
                <w:tab w:val="decimal" w:pos="1480"/>
              </w:tabs>
              <w:spacing w:before="40" w:after="40"/>
              <w:rPr>
                <w:rFonts w:eastAsia="Arial Unicode MS" w:cs="Arial"/>
              </w:rPr>
            </w:pPr>
            <w:r w:rsidRPr="008D09BB">
              <w:rPr>
                <w:rFonts w:eastAsia="Arial Unicode MS" w:cs="Arial"/>
              </w:rPr>
              <w:t>4.6</w:t>
            </w:r>
          </w:p>
        </w:tc>
      </w:tr>
      <w:tr w:rsidR="000D5096" w:rsidRPr="00A36B68" w14:paraId="20B99A4F" w14:textId="77777777" w:rsidTr="00F13FF2">
        <w:trPr>
          <w:trHeight w:val="264"/>
        </w:trPr>
        <w:tc>
          <w:tcPr>
            <w:tcW w:w="2986" w:type="dxa"/>
            <w:noWrap/>
            <w:tcMar>
              <w:top w:w="12" w:type="dxa"/>
              <w:left w:w="12" w:type="dxa"/>
              <w:bottom w:w="0" w:type="dxa"/>
              <w:right w:w="12" w:type="dxa"/>
            </w:tcMar>
            <w:vAlign w:val="center"/>
          </w:tcPr>
          <w:p w14:paraId="16A66313" w14:textId="77777777" w:rsidR="000D5096" w:rsidRPr="00A36B68" w:rsidRDefault="000D5096" w:rsidP="00D20A1E">
            <w:pPr>
              <w:widowControl/>
              <w:spacing w:before="40" w:after="40"/>
              <w:rPr>
                <w:rFonts w:eastAsia="Arial Unicode MS" w:cs="Arial"/>
                <w:sz w:val="20"/>
                <w:szCs w:val="20"/>
              </w:rPr>
            </w:pPr>
            <w:r w:rsidRPr="00A36B68">
              <w:rPr>
                <w:rFonts w:cs="Arial"/>
                <w:sz w:val="20"/>
                <w:szCs w:val="20"/>
              </w:rPr>
              <w:t>Zinc (mg)</w:t>
            </w:r>
          </w:p>
        </w:tc>
        <w:tc>
          <w:tcPr>
            <w:tcW w:w="2646" w:type="dxa"/>
            <w:vAlign w:val="center"/>
          </w:tcPr>
          <w:p w14:paraId="08338ED9" w14:textId="77777777" w:rsidR="000D5096" w:rsidRPr="00A36B68" w:rsidRDefault="000D5096" w:rsidP="00D20A1E">
            <w:pPr>
              <w:pStyle w:val="FootnoteText"/>
              <w:widowControl/>
              <w:tabs>
                <w:tab w:val="decimal" w:pos="1480"/>
              </w:tabs>
              <w:spacing w:before="40" w:after="40"/>
              <w:rPr>
                <w:rFonts w:eastAsia="Arial Unicode MS" w:cs="Arial"/>
              </w:rPr>
            </w:pPr>
            <w:r w:rsidRPr="0030752B">
              <w:rPr>
                <w:rFonts w:eastAsia="Arial Unicode MS" w:cs="Arial"/>
              </w:rPr>
              <w:t>12.2</w:t>
            </w:r>
          </w:p>
        </w:tc>
        <w:tc>
          <w:tcPr>
            <w:tcW w:w="2647" w:type="dxa"/>
            <w:shd w:val="clear" w:color="auto" w:fill="auto"/>
            <w:noWrap/>
            <w:tcMar>
              <w:top w:w="12" w:type="dxa"/>
              <w:left w:w="12" w:type="dxa"/>
              <w:bottom w:w="0" w:type="dxa"/>
              <w:right w:w="12" w:type="dxa"/>
            </w:tcMar>
            <w:vAlign w:val="center"/>
          </w:tcPr>
          <w:p w14:paraId="3CFBBE20" w14:textId="77777777" w:rsidR="000D5096" w:rsidRPr="00A36B68" w:rsidRDefault="000D5096" w:rsidP="00D20A1E">
            <w:pPr>
              <w:pStyle w:val="FootnoteText"/>
              <w:widowControl/>
              <w:tabs>
                <w:tab w:val="decimal" w:pos="1480"/>
              </w:tabs>
              <w:spacing w:before="40" w:after="40"/>
              <w:rPr>
                <w:rFonts w:eastAsia="Arial Unicode MS" w:cs="Arial"/>
              </w:rPr>
            </w:pPr>
            <w:r w:rsidRPr="008D09BB">
              <w:rPr>
                <w:rFonts w:eastAsia="Arial Unicode MS" w:cs="Arial"/>
              </w:rPr>
              <w:t>11.3</w:t>
            </w:r>
          </w:p>
        </w:tc>
      </w:tr>
    </w:tbl>
    <w:p w14:paraId="0B618385" w14:textId="77777777" w:rsidR="000D5096" w:rsidRDefault="000D5096" w:rsidP="00D20A1E">
      <w:pPr>
        <w:pStyle w:val="Table"/>
        <w:keepNext w:val="0"/>
        <w:spacing w:before="40" w:after="20"/>
        <w:outlineLvl w:val="9"/>
        <w:rPr>
          <w:rFonts w:cs="Arial"/>
          <w:sz w:val="18"/>
          <w:szCs w:val="18"/>
          <w:lang w:val="en-US"/>
        </w:rPr>
      </w:pPr>
      <w:r w:rsidRPr="004C246E">
        <w:rPr>
          <w:rFonts w:cs="Arial"/>
          <w:b w:val="0"/>
          <w:sz w:val="18"/>
          <w:szCs w:val="18"/>
        </w:rPr>
        <w:sym w:font="Wingdings 3" w:char="F07E"/>
      </w:r>
      <w:r w:rsidRPr="004C246E">
        <w:rPr>
          <w:rFonts w:cs="Arial"/>
          <w:b w:val="0"/>
          <w:sz w:val="18"/>
          <w:szCs w:val="18"/>
        </w:rPr>
        <w:tab/>
        <w:t>Excludes vitamin/mineral intakes from supplements</w:t>
      </w:r>
      <w:r>
        <w:rPr>
          <w:rFonts w:cs="Arial"/>
          <w:sz w:val="18"/>
          <w:szCs w:val="18"/>
          <w:lang w:val="en-US"/>
        </w:rPr>
        <w:t>.</w:t>
      </w:r>
    </w:p>
    <w:p w14:paraId="36FF4F59" w14:textId="3EED5876" w:rsidR="000D5096" w:rsidRDefault="002B6513" w:rsidP="00D20A1E">
      <w:pPr>
        <w:widowControl/>
        <w:ind w:left="567" w:hanging="567"/>
        <w:rPr>
          <w:lang w:val="en-US"/>
        </w:rPr>
      </w:pPr>
      <w:r>
        <w:rPr>
          <w:rFonts w:eastAsia="Arial Unicode MS" w:cs="Arial"/>
          <w:sz w:val="20"/>
          <w:szCs w:val="20"/>
        </w:rPr>
        <w:t>ʊ</w:t>
      </w:r>
      <w:r>
        <w:rPr>
          <w:rFonts w:eastAsia="Arial Unicode MS" w:cs="Arial"/>
          <w:sz w:val="20"/>
          <w:szCs w:val="20"/>
        </w:rPr>
        <w:tab/>
        <w:t xml:space="preserve">Data as per the P230 – </w:t>
      </w:r>
      <w:r w:rsidRPr="002B6513">
        <w:rPr>
          <w:rFonts w:eastAsia="Arial Unicode MS" w:cs="Arial"/>
          <w:sz w:val="20"/>
          <w:szCs w:val="20"/>
        </w:rPr>
        <w:t>Consideration</w:t>
      </w:r>
      <w:r>
        <w:rPr>
          <w:rFonts w:eastAsia="Arial Unicode MS" w:cs="Arial"/>
          <w:sz w:val="20"/>
          <w:szCs w:val="20"/>
        </w:rPr>
        <w:t xml:space="preserve"> </w:t>
      </w:r>
      <w:r w:rsidRPr="002B6513">
        <w:rPr>
          <w:rFonts w:eastAsia="Arial Unicode MS" w:cs="Arial"/>
          <w:sz w:val="20"/>
          <w:szCs w:val="20"/>
        </w:rPr>
        <w:t xml:space="preserve">of Mandatory Fortification with Iodine for New </w:t>
      </w:r>
      <w:r w:rsidRPr="00117D3B">
        <w:rPr>
          <w:rFonts w:eastAsia="Arial Unicode MS" w:cs="Arial"/>
          <w:sz w:val="20"/>
          <w:szCs w:val="20"/>
        </w:rPr>
        <w:t xml:space="preserve">Zealand (FSANZ </w:t>
      </w:r>
      <w:r w:rsidR="00C00894" w:rsidRPr="00117D3B">
        <w:rPr>
          <w:rFonts w:eastAsia="Arial Unicode MS" w:cs="Arial"/>
          <w:sz w:val="20"/>
          <w:szCs w:val="20"/>
        </w:rPr>
        <w:t>2008</w:t>
      </w:r>
      <w:r w:rsidRPr="00117D3B">
        <w:rPr>
          <w:rFonts w:eastAsia="Arial Unicode MS" w:cs="Arial"/>
          <w:sz w:val="20"/>
          <w:szCs w:val="20"/>
        </w:rPr>
        <w:t>) dietary</w:t>
      </w:r>
      <w:r>
        <w:rPr>
          <w:rFonts w:eastAsia="Arial Unicode MS" w:cs="Arial"/>
          <w:sz w:val="20"/>
          <w:szCs w:val="20"/>
        </w:rPr>
        <w:t xml:space="preserve"> iodine intake assessment, excluding discretionary iodised salt intakes. </w:t>
      </w:r>
      <w:r w:rsidR="00536E90">
        <w:rPr>
          <w:rFonts w:eastAsia="Arial Unicode MS" w:cs="Arial"/>
          <w:sz w:val="20"/>
          <w:szCs w:val="20"/>
        </w:rPr>
        <w:t>This uses a different methodology to the A500 assessment.</w:t>
      </w:r>
    </w:p>
    <w:p w14:paraId="2B25CD61" w14:textId="38C305E4" w:rsidR="00D538AE" w:rsidRDefault="00D538AE" w:rsidP="00D20A1E">
      <w:pPr>
        <w:widowControl/>
        <w:rPr>
          <w:lang w:val="en-US"/>
        </w:rPr>
      </w:pPr>
      <w:r>
        <w:rPr>
          <w:lang w:val="en-US"/>
        </w:rPr>
        <w:br w:type="page"/>
      </w:r>
    </w:p>
    <w:p w14:paraId="7B93CE7D" w14:textId="30762ABB" w:rsidR="000D5096" w:rsidRDefault="00FA3023" w:rsidP="00D20A1E">
      <w:pPr>
        <w:pStyle w:val="FSTableTitle"/>
        <w:widowControl/>
      </w:pPr>
      <w:bookmarkStart w:id="205" w:name="_Ref420332068"/>
      <w:r>
        <w:lastRenderedPageBreak/>
        <w:t>Table A1.</w:t>
      </w:r>
      <w:fldSimple w:instr=" SEQ Table_A1. \* ARABIC ">
        <w:r w:rsidR="00047581">
          <w:rPr>
            <w:noProof/>
          </w:rPr>
          <w:t>9</w:t>
        </w:r>
      </w:fldSimple>
      <w:bookmarkEnd w:id="205"/>
      <w:r w:rsidR="000D5096">
        <w:t>:</w:t>
      </w:r>
      <w:r w:rsidR="00F6296A">
        <w:t xml:space="preserve"> </w:t>
      </w:r>
      <w:r w:rsidR="000D5096">
        <w:t>Estimated mean protein intakes (g/day) for Australian and New Zealand population groups, as per cereal beverage assessment (A500)</w:t>
      </w:r>
    </w:p>
    <w:p w14:paraId="589F99B5" w14:textId="77777777" w:rsidR="0023423F" w:rsidRPr="0023423F" w:rsidRDefault="0023423F" w:rsidP="002342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1589"/>
        <w:gridCol w:w="1484"/>
        <w:gridCol w:w="1648"/>
        <w:gridCol w:w="1650"/>
        <w:gridCol w:w="1497"/>
        <w:gridCol w:w="1731"/>
        <w:gridCol w:w="2952"/>
      </w:tblGrid>
      <w:tr w:rsidR="000D5096" w14:paraId="5407E7F4" w14:textId="77777777" w:rsidTr="00D10630">
        <w:trPr>
          <w:trHeight w:val="276"/>
        </w:trPr>
        <w:tc>
          <w:tcPr>
            <w:tcW w:w="1429" w:type="dxa"/>
            <w:vMerge w:val="restart"/>
            <w:tcBorders>
              <w:top w:val="single" w:sz="4" w:space="0" w:color="auto"/>
              <w:left w:val="single" w:sz="4" w:space="0" w:color="auto"/>
              <w:right w:val="single" w:sz="4" w:space="0" w:color="auto"/>
            </w:tcBorders>
            <w:shd w:val="clear" w:color="auto" w:fill="B8CCE4" w:themeFill="accent1" w:themeFillTint="66"/>
            <w:noWrap/>
            <w:tcMar>
              <w:top w:w="11" w:type="dxa"/>
              <w:left w:w="11" w:type="dxa"/>
              <w:bottom w:w="0" w:type="dxa"/>
              <w:right w:w="11" w:type="dxa"/>
            </w:tcMar>
            <w:vAlign w:val="center"/>
          </w:tcPr>
          <w:p w14:paraId="70658459" w14:textId="77777777" w:rsidR="000D5096" w:rsidRPr="00EE4A94" w:rsidRDefault="000D5096" w:rsidP="00D20A1E">
            <w:pPr>
              <w:widowControl/>
              <w:spacing w:before="60" w:after="60"/>
              <w:rPr>
                <w:rFonts w:eastAsia="Arial Unicode MS"/>
                <w:sz w:val="20"/>
                <w:szCs w:val="20"/>
              </w:rPr>
            </w:pPr>
            <w:r w:rsidRPr="00EE4A94">
              <w:rPr>
                <w:b/>
                <w:bCs/>
                <w:sz w:val="20"/>
                <w:szCs w:val="20"/>
              </w:rPr>
              <w:t>Country</w:t>
            </w:r>
          </w:p>
        </w:tc>
        <w:tc>
          <w:tcPr>
            <w:tcW w:w="1589" w:type="dxa"/>
            <w:vMerge w:val="restart"/>
            <w:tcBorders>
              <w:left w:val="single" w:sz="4" w:space="0" w:color="auto"/>
            </w:tcBorders>
            <w:shd w:val="clear" w:color="auto" w:fill="B8CCE4" w:themeFill="accent1" w:themeFillTint="66"/>
            <w:noWrap/>
            <w:tcMar>
              <w:top w:w="11" w:type="dxa"/>
              <w:left w:w="11" w:type="dxa"/>
              <w:bottom w:w="0" w:type="dxa"/>
              <w:right w:w="11" w:type="dxa"/>
            </w:tcMar>
            <w:vAlign w:val="center"/>
          </w:tcPr>
          <w:p w14:paraId="01933C9A" w14:textId="77777777" w:rsidR="000D5096" w:rsidRPr="00EE4A94" w:rsidRDefault="000D5096" w:rsidP="00D20A1E">
            <w:pPr>
              <w:widowControl/>
              <w:spacing w:before="60" w:after="60"/>
              <w:ind w:left="-11"/>
              <w:jc w:val="center"/>
              <w:rPr>
                <w:rFonts w:eastAsia="Arial Unicode MS"/>
                <w:sz w:val="20"/>
                <w:szCs w:val="20"/>
              </w:rPr>
            </w:pPr>
            <w:r w:rsidRPr="00EE4A94">
              <w:rPr>
                <w:b/>
                <w:bCs/>
                <w:sz w:val="20"/>
                <w:szCs w:val="20"/>
              </w:rPr>
              <w:t>Population Group^</w:t>
            </w:r>
          </w:p>
        </w:tc>
        <w:tc>
          <w:tcPr>
            <w:tcW w:w="4782" w:type="dxa"/>
            <w:gridSpan w:val="3"/>
            <w:shd w:val="clear" w:color="auto" w:fill="B8CCE4" w:themeFill="accent1" w:themeFillTint="66"/>
            <w:vAlign w:val="center"/>
          </w:tcPr>
          <w:p w14:paraId="08889393" w14:textId="77777777" w:rsidR="000D5096" w:rsidRPr="00EE4A94" w:rsidRDefault="000D5096" w:rsidP="00D20A1E">
            <w:pPr>
              <w:widowControl/>
              <w:spacing w:before="60" w:after="60"/>
              <w:jc w:val="center"/>
              <w:rPr>
                <w:b/>
                <w:bCs/>
                <w:sz w:val="20"/>
                <w:szCs w:val="20"/>
              </w:rPr>
            </w:pPr>
            <w:r>
              <w:rPr>
                <w:b/>
                <w:bCs/>
                <w:sz w:val="20"/>
                <w:szCs w:val="20"/>
              </w:rPr>
              <w:t>Number of survey respondents</w:t>
            </w:r>
          </w:p>
        </w:tc>
        <w:tc>
          <w:tcPr>
            <w:tcW w:w="6180" w:type="dxa"/>
            <w:gridSpan w:val="3"/>
            <w:shd w:val="clear" w:color="auto" w:fill="B8CCE4" w:themeFill="accent1" w:themeFillTint="66"/>
            <w:noWrap/>
            <w:tcMar>
              <w:top w:w="11" w:type="dxa"/>
              <w:left w:w="11" w:type="dxa"/>
              <w:bottom w:w="0" w:type="dxa"/>
              <w:right w:w="11" w:type="dxa"/>
            </w:tcMar>
            <w:vAlign w:val="center"/>
          </w:tcPr>
          <w:p w14:paraId="7A9227A5" w14:textId="55BB669B" w:rsidR="000D5096" w:rsidRPr="00EE4A94" w:rsidRDefault="00AD191F" w:rsidP="00D20A1E">
            <w:pPr>
              <w:widowControl/>
              <w:spacing w:before="60" w:after="60"/>
              <w:jc w:val="center"/>
              <w:rPr>
                <w:rFonts w:eastAsia="Arial Unicode MS"/>
                <w:b/>
                <w:bCs/>
                <w:sz w:val="20"/>
                <w:szCs w:val="20"/>
              </w:rPr>
            </w:pPr>
            <w:r>
              <w:rPr>
                <w:b/>
                <w:bCs/>
                <w:sz w:val="20"/>
                <w:szCs w:val="20"/>
              </w:rPr>
              <w:t>Estimated m</w:t>
            </w:r>
            <w:r w:rsidR="000D5096">
              <w:rPr>
                <w:b/>
                <w:bCs/>
                <w:sz w:val="20"/>
                <w:szCs w:val="20"/>
              </w:rPr>
              <w:t>ean p</w:t>
            </w:r>
            <w:r w:rsidR="000D5096" w:rsidRPr="00EE4A94">
              <w:rPr>
                <w:b/>
                <w:bCs/>
                <w:sz w:val="20"/>
                <w:szCs w:val="20"/>
              </w:rPr>
              <w:t xml:space="preserve">rotein </w:t>
            </w:r>
            <w:r>
              <w:rPr>
                <w:b/>
                <w:bCs/>
                <w:sz w:val="20"/>
                <w:szCs w:val="20"/>
              </w:rPr>
              <w:t>i</w:t>
            </w:r>
            <w:r w:rsidR="000D5096" w:rsidRPr="00EE4A94">
              <w:rPr>
                <w:b/>
                <w:bCs/>
                <w:sz w:val="20"/>
                <w:szCs w:val="20"/>
              </w:rPr>
              <w:t>ntake (g/day)</w:t>
            </w:r>
          </w:p>
        </w:tc>
      </w:tr>
      <w:tr w:rsidR="000D5096" w14:paraId="325A292F" w14:textId="77777777" w:rsidTr="00D10630">
        <w:trPr>
          <w:trHeight w:val="540"/>
        </w:trPr>
        <w:tc>
          <w:tcPr>
            <w:tcW w:w="1429" w:type="dxa"/>
            <w:vMerge/>
            <w:tcBorders>
              <w:left w:val="single" w:sz="4" w:space="0" w:color="auto"/>
              <w:right w:val="single" w:sz="4" w:space="0" w:color="auto"/>
            </w:tcBorders>
            <w:shd w:val="clear" w:color="auto" w:fill="B8CCE4" w:themeFill="accent1" w:themeFillTint="66"/>
            <w:tcMar>
              <w:top w:w="11" w:type="dxa"/>
              <w:left w:w="11" w:type="dxa"/>
              <w:bottom w:w="0" w:type="dxa"/>
              <w:right w:w="11" w:type="dxa"/>
            </w:tcMar>
            <w:vAlign w:val="center"/>
          </w:tcPr>
          <w:p w14:paraId="4E5A593A" w14:textId="77777777" w:rsidR="000D5096" w:rsidRPr="00EE4A94" w:rsidRDefault="000D5096" w:rsidP="00D20A1E">
            <w:pPr>
              <w:widowControl/>
              <w:spacing w:before="60" w:after="60"/>
              <w:rPr>
                <w:rFonts w:eastAsia="Arial Unicode MS"/>
                <w:b/>
                <w:bCs/>
                <w:sz w:val="20"/>
                <w:szCs w:val="20"/>
              </w:rPr>
            </w:pPr>
          </w:p>
        </w:tc>
        <w:tc>
          <w:tcPr>
            <w:tcW w:w="1589" w:type="dxa"/>
            <w:vMerge/>
            <w:tcBorders>
              <w:left w:val="single" w:sz="4" w:space="0" w:color="auto"/>
            </w:tcBorders>
            <w:shd w:val="clear" w:color="auto" w:fill="B8CCE4" w:themeFill="accent1" w:themeFillTint="66"/>
            <w:tcMar>
              <w:top w:w="11" w:type="dxa"/>
              <w:left w:w="11" w:type="dxa"/>
              <w:bottom w:w="0" w:type="dxa"/>
              <w:right w:w="11" w:type="dxa"/>
            </w:tcMar>
            <w:vAlign w:val="center"/>
          </w:tcPr>
          <w:p w14:paraId="7B1DDAE3" w14:textId="77777777" w:rsidR="000D5096" w:rsidRPr="00EE4A94" w:rsidRDefault="000D5096" w:rsidP="00D20A1E">
            <w:pPr>
              <w:widowControl/>
              <w:spacing w:before="60" w:after="60"/>
              <w:ind w:left="-11"/>
              <w:jc w:val="center"/>
              <w:rPr>
                <w:rFonts w:eastAsia="Arial Unicode MS"/>
                <w:b/>
                <w:bCs/>
                <w:sz w:val="20"/>
                <w:szCs w:val="20"/>
              </w:rPr>
            </w:pPr>
          </w:p>
        </w:tc>
        <w:tc>
          <w:tcPr>
            <w:tcW w:w="1484" w:type="dxa"/>
            <w:shd w:val="clear" w:color="auto" w:fill="B8CCE4" w:themeFill="accent1" w:themeFillTint="66"/>
            <w:vAlign w:val="center"/>
          </w:tcPr>
          <w:p w14:paraId="436327FB" w14:textId="77777777" w:rsidR="000D5096" w:rsidRPr="006C356A" w:rsidRDefault="000D5096" w:rsidP="00D20A1E">
            <w:pPr>
              <w:widowControl/>
              <w:spacing w:before="60" w:after="60"/>
              <w:jc w:val="center"/>
              <w:rPr>
                <w:b/>
                <w:i/>
                <w:sz w:val="20"/>
                <w:szCs w:val="20"/>
                <w:lang w:val="en-US"/>
              </w:rPr>
            </w:pPr>
            <w:r w:rsidRPr="006C356A">
              <w:rPr>
                <w:b/>
                <w:i/>
                <w:sz w:val="20"/>
                <w:szCs w:val="20"/>
                <w:lang w:val="en-US"/>
              </w:rPr>
              <w:t>General population</w:t>
            </w:r>
          </w:p>
        </w:tc>
        <w:tc>
          <w:tcPr>
            <w:tcW w:w="3298" w:type="dxa"/>
            <w:gridSpan w:val="2"/>
            <w:shd w:val="clear" w:color="auto" w:fill="B8CCE4" w:themeFill="accent1" w:themeFillTint="66"/>
            <w:vAlign w:val="center"/>
          </w:tcPr>
          <w:p w14:paraId="4E01A937" w14:textId="77777777" w:rsidR="000D5096" w:rsidRPr="006C356A" w:rsidRDefault="000D5096" w:rsidP="00D20A1E">
            <w:pPr>
              <w:widowControl/>
              <w:spacing w:before="60" w:after="60"/>
              <w:jc w:val="center"/>
              <w:rPr>
                <w:b/>
                <w:i/>
                <w:sz w:val="20"/>
                <w:szCs w:val="20"/>
                <w:lang w:val="en-US"/>
              </w:rPr>
            </w:pPr>
            <w:r w:rsidRPr="006C356A">
              <w:rPr>
                <w:b/>
                <w:i/>
                <w:sz w:val="20"/>
                <w:szCs w:val="20"/>
                <w:lang w:val="en-US"/>
              </w:rPr>
              <w:t xml:space="preserve">Non-dairy consumers </w:t>
            </w:r>
          </w:p>
        </w:tc>
        <w:tc>
          <w:tcPr>
            <w:tcW w:w="1497" w:type="dxa"/>
            <w:shd w:val="clear" w:color="auto" w:fill="B8CCE4" w:themeFill="accent1" w:themeFillTint="66"/>
            <w:tcMar>
              <w:top w:w="11" w:type="dxa"/>
              <w:left w:w="11" w:type="dxa"/>
              <w:bottom w:w="0" w:type="dxa"/>
              <w:right w:w="11" w:type="dxa"/>
            </w:tcMar>
            <w:vAlign w:val="center"/>
          </w:tcPr>
          <w:p w14:paraId="30C58570" w14:textId="77777777" w:rsidR="000D5096" w:rsidRPr="006C356A" w:rsidRDefault="000D5096" w:rsidP="00D20A1E">
            <w:pPr>
              <w:widowControl/>
              <w:spacing w:before="60" w:after="60"/>
              <w:jc w:val="center"/>
              <w:rPr>
                <w:rFonts w:eastAsia="Arial Unicode MS"/>
                <w:b/>
                <w:bCs/>
                <w:i/>
                <w:sz w:val="20"/>
                <w:szCs w:val="20"/>
              </w:rPr>
            </w:pPr>
            <w:r w:rsidRPr="006C356A">
              <w:rPr>
                <w:b/>
                <w:i/>
                <w:sz w:val="20"/>
                <w:szCs w:val="20"/>
                <w:lang w:val="en-US"/>
              </w:rPr>
              <w:t>General population</w:t>
            </w:r>
          </w:p>
        </w:tc>
        <w:tc>
          <w:tcPr>
            <w:tcW w:w="4683" w:type="dxa"/>
            <w:gridSpan w:val="2"/>
            <w:shd w:val="clear" w:color="auto" w:fill="B8CCE4" w:themeFill="accent1" w:themeFillTint="66"/>
            <w:tcMar>
              <w:top w:w="11" w:type="dxa"/>
              <w:left w:w="11" w:type="dxa"/>
              <w:bottom w:w="0" w:type="dxa"/>
              <w:right w:w="11" w:type="dxa"/>
            </w:tcMar>
            <w:vAlign w:val="center"/>
          </w:tcPr>
          <w:p w14:paraId="249CE717" w14:textId="77777777" w:rsidR="000D5096" w:rsidRPr="006C356A" w:rsidRDefault="000D5096" w:rsidP="00D20A1E">
            <w:pPr>
              <w:widowControl/>
              <w:spacing w:before="60" w:after="60"/>
              <w:jc w:val="center"/>
              <w:rPr>
                <w:rFonts w:eastAsia="Arial Unicode MS"/>
                <w:bCs/>
                <w:i/>
                <w:sz w:val="20"/>
                <w:szCs w:val="20"/>
              </w:rPr>
            </w:pPr>
            <w:r w:rsidRPr="006C356A">
              <w:rPr>
                <w:b/>
                <w:i/>
                <w:sz w:val="20"/>
                <w:szCs w:val="20"/>
                <w:lang w:val="en-US"/>
              </w:rPr>
              <w:t xml:space="preserve">Non-dairy consumers </w:t>
            </w:r>
          </w:p>
        </w:tc>
      </w:tr>
      <w:tr w:rsidR="000D5096" w14:paraId="0A08A98F" w14:textId="77777777" w:rsidTr="00F13FF2">
        <w:trPr>
          <w:trHeight w:val="540"/>
        </w:trPr>
        <w:tc>
          <w:tcPr>
            <w:tcW w:w="1429" w:type="dxa"/>
            <w:vMerge/>
            <w:tcBorders>
              <w:left w:val="single" w:sz="4" w:space="0" w:color="auto"/>
              <w:bottom w:val="single" w:sz="4" w:space="0" w:color="auto"/>
              <w:right w:val="single" w:sz="4" w:space="0" w:color="auto"/>
            </w:tcBorders>
            <w:shd w:val="clear" w:color="auto" w:fill="B8CCE4" w:themeFill="accent1" w:themeFillTint="66"/>
            <w:tcMar>
              <w:top w:w="11" w:type="dxa"/>
              <w:left w:w="11" w:type="dxa"/>
              <w:bottom w:w="0" w:type="dxa"/>
              <w:right w:w="11" w:type="dxa"/>
            </w:tcMar>
            <w:vAlign w:val="center"/>
          </w:tcPr>
          <w:p w14:paraId="47EAC305" w14:textId="77777777" w:rsidR="000D5096" w:rsidRPr="00EE4A94" w:rsidRDefault="000D5096" w:rsidP="00D20A1E">
            <w:pPr>
              <w:widowControl/>
              <w:spacing w:before="60" w:after="60"/>
              <w:rPr>
                <w:b/>
                <w:bCs/>
                <w:sz w:val="20"/>
                <w:szCs w:val="20"/>
              </w:rPr>
            </w:pPr>
          </w:p>
        </w:tc>
        <w:tc>
          <w:tcPr>
            <w:tcW w:w="1589" w:type="dxa"/>
            <w:vMerge/>
            <w:tcBorders>
              <w:left w:val="single" w:sz="4" w:space="0" w:color="auto"/>
            </w:tcBorders>
            <w:shd w:val="clear" w:color="auto" w:fill="B8CCE4" w:themeFill="accent1" w:themeFillTint="66"/>
            <w:tcMar>
              <w:top w:w="11" w:type="dxa"/>
              <w:left w:w="11" w:type="dxa"/>
              <w:bottom w:w="0" w:type="dxa"/>
              <w:right w:w="11" w:type="dxa"/>
            </w:tcMar>
            <w:vAlign w:val="center"/>
          </w:tcPr>
          <w:p w14:paraId="14487395" w14:textId="77777777" w:rsidR="000D5096" w:rsidRPr="00EE4A94" w:rsidRDefault="000D5096" w:rsidP="00D20A1E">
            <w:pPr>
              <w:widowControl/>
              <w:spacing w:before="60" w:after="60"/>
              <w:ind w:left="-11"/>
              <w:jc w:val="center"/>
              <w:rPr>
                <w:b/>
                <w:bCs/>
                <w:sz w:val="20"/>
                <w:szCs w:val="20"/>
              </w:rPr>
            </w:pPr>
          </w:p>
        </w:tc>
        <w:tc>
          <w:tcPr>
            <w:tcW w:w="1484" w:type="dxa"/>
            <w:shd w:val="clear" w:color="auto" w:fill="B8CCE4" w:themeFill="accent1" w:themeFillTint="66"/>
            <w:vAlign w:val="center"/>
          </w:tcPr>
          <w:p w14:paraId="3A86C9A9" w14:textId="77777777" w:rsidR="000D5096" w:rsidRPr="006C356A" w:rsidRDefault="000D5096" w:rsidP="00D20A1E">
            <w:pPr>
              <w:widowControl/>
              <w:spacing w:before="60" w:after="60"/>
              <w:jc w:val="center"/>
              <w:rPr>
                <w:b/>
                <w:i/>
                <w:sz w:val="20"/>
                <w:szCs w:val="20"/>
                <w:lang w:val="en-US"/>
              </w:rPr>
            </w:pPr>
            <w:r w:rsidRPr="006C356A">
              <w:rPr>
                <w:b/>
                <w:i/>
                <w:sz w:val="20"/>
                <w:szCs w:val="20"/>
                <w:lang w:val="en-US"/>
              </w:rPr>
              <w:t>Includes dairy</w:t>
            </w:r>
            <w:r>
              <w:rPr>
                <w:b/>
                <w:i/>
                <w:sz w:val="20"/>
                <w:szCs w:val="20"/>
                <w:lang w:val="en-US"/>
              </w:rPr>
              <w:t xml:space="preserve"> and non-dairy</w:t>
            </w:r>
            <w:r w:rsidRPr="006C356A">
              <w:rPr>
                <w:b/>
                <w:i/>
                <w:sz w:val="20"/>
                <w:szCs w:val="20"/>
                <w:lang w:val="en-US"/>
              </w:rPr>
              <w:t xml:space="preserve"> consumers</w:t>
            </w:r>
          </w:p>
        </w:tc>
        <w:tc>
          <w:tcPr>
            <w:tcW w:w="1648" w:type="dxa"/>
            <w:shd w:val="clear" w:color="auto" w:fill="B8CCE4" w:themeFill="accent1" w:themeFillTint="66"/>
            <w:vAlign w:val="center"/>
          </w:tcPr>
          <w:p w14:paraId="5FF32A84" w14:textId="4E8CD5E7" w:rsidR="000D5096" w:rsidRPr="006C356A" w:rsidRDefault="000D5096" w:rsidP="00D20A1E">
            <w:pPr>
              <w:widowControl/>
              <w:spacing w:before="60" w:after="60"/>
              <w:jc w:val="center"/>
              <w:rPr>
                <w:b/>
                <w:i/>
                <w:sz w:val="20"/>
                <w:szCs w:val="20"/>
                <w:lang w:val="en-US"/>
              </w:rPr>
            </w:pPr>
            <w:r>
              <w:rPr>
                <w:b/>
                <w:i/>
                <w:sz w:val="20"/>
                <w:szCs w:val="20"/>
                <w:lang w:val="en-US"/>
              </w:rPr>
              <w:t>With or without</w:t>
            </w:r>
            <w:r w:rsidRPr="006C356A">
              <w:rPr>
                <w:b/>
                <w:i/>
                <w:sz w:val="20"/>
                <w:szCs w:val="20"/>
                <w:lang w:val="en-US"/>
              </w:rPr>
              <w:t xml:space="preserve"> </w:t>
            </w:r>
            <w:r w:rsidR="003D608F">
              <w:rPr>
                <w:b/>
                <w:i/>
                <w:sz w:val="20"/>
                <w:szCs w:val="20"/>
                <w:lang w:val="en-US"/>
              </w:rPr>
              <w:t>plant-based milk substitute</w:t>
            </w:r>
            <w:r w:rsidRPr="006C356A">
              <w:rPr>
                <w:b/>
                <w:i/>
                <w:sz w:val="20"/>
                <w:szCs w:val="20"/>
                <w:lang w:val="en-US"/>
              </w:rPr>
              <w:t>s</w:t>
            </w:r>
          </w:p>
        </w:tc>
        <w:tc>
          <w:tcPr>
            <w:tcW w:w="1650" w:type="dxa"/>
            <w:shd w:val="clear" w:color="auto" w:fill="B8CCE4" w:themeFill="accent1" w:themeFillTint="66"/>
            <w:vAlign w:val="center"/>
          </w:tcPr>
          <w:p w14:paraId="0EB2E6CB" w14:textId="7B2712C2" w:rsidR="000D5096" w:rsidRPr="006C356A" w:rsidRDefault="000D5096" w:rsidP="00D20A1E">
            <w:pPr>
              <w:widowControl/>
              <w:spacing w:before="60" w:after="60"/>
              <w:jc w:val="center"/>
              <w:rPr>
                <w:b/>
                <w:i/>
                <w:sz w:val="20"/>
                <w:szCs w:val="20"/>
                <w:lang w:val="en-US"/>
              </w:rPr>
            </w:pPr>
            <w:r>
              <w:rPr>
                <w:b/>
                <w:i/>
                <w:sz w:val="20"/>
                <w:szCs w:val="20"/>
                <w:lang w:val="en-US"/>
              </w:rPr>
              <w:t>With</w:t>
            </w:r>
            <w:r w:rsidRPr="006C356A">
              <w:rPr>
                <w:b/>
                <w:i/>
                <w:sz w:val="20"/>
                <w:szCs w:val="20"/>
                <w:lang w:val="en-US"/>
              </w:rPr>
              <w:t xml:space="preserve"> </w:t>
            </w:r>
            <w:r w:rsidR="003D608F">
              <w:rPr>
                <w:b/>
                <w:i/>
                <w:sz w:val="20"/>
                <w:szCs w:val="20"/>
                <w:lang w:val="en-US"/>
              </w:rPr>
              <w:t>plant-based milk substitute</w:t>
            </w:r>
            <w:r w:rsidRPr="006C356A">
              <w:rPr>
                <w:b/>
                <w:i/>
                <w:sz w:val="20"/>
                <w:szCs w:val="20"/>
                <w:lang w:val="en-US"/>
              </w:rPr>
              <w:t>s</w:t>
            </w:r>
          </w:p>
        </w:tc>
        <w:tc>
          <w:tcPr>
            <w:tcW w:w="1497" w:type="dxa"/>
            <w:shd w:val="clear" w:color="auto" w:fill="B8CCE4" w:themeFill="accent1" w:themeFillTint="66"/>
            <w:tcMar>
              <w:top w:w="11" w:type="dxa"/>
              <w:left w:w="11" w:type="dxa"/>
              <w:bottom w:w="0" w:type="dxa"/>
              <w:right w:w="11" w:type="dxa"/>
            </w:tcMar>
            <w:vAlign w:val="center"/>
          </w:tcPr>
          <w:p w14:paraId="004CAF40" w14:textId="77777777" w:rsidR="000D5096" w:rsidRPr="006C356A" w:rsidRDefault="000D5096" w:rsidP="00D20A1E">
            <w:pPr>
              <w:widowControl/>
              <w:spacing w:before="60" w:after="60"/>
              <w:jc w:val="center"/>
              <w:rPr>
                <w:b/>
                <w:i/>
                <w:sz w:val="20"/>
                <w:szCs w:val="20"/>
                <w:lang w:val="en-US"/>
              </w:rPr>
            </w:pPr>
            <w:r w:rsidRPr="006C356A">
              <w:rPr>
                <w:b/>
                <w:i/>
                <w:sz w:val="20"/>
                <w:szCs w:val="20"/>
                <w:lang w:val="en-US"/>
              </w:rPr>
              <w:t>Includes dairy</w:t>
            </w:r>
            <w:r>
              <w:rPr>
                <w:b/>
                <w:i/>
                <w:sz w:val="20"/>
                <w:szCs w:val="20"/>
                <w:lang w:val="en-US"/>
              </w:rPr>
              <w:t xml:space="preserve"> and non-dairy</w:t>
            </w:r>
            <w:r w:rsidRPr="006C356A">
              <w:rPr>
                <w:b/>
                <w:i/>
                <w:sz w:val="20"/>
                <w:szCs w:val="20"/>
                <w:lang w:val="en-US"/>
              </w:rPr>
              <w:t xml:space="preserve"> consumers</w:t>
            </w:r>
          </w:p>
        </w:tc>
        <w:tc>
          <w:tcPr>
            <w:tcW w:w="1731" w:type="dxa"/>
            <w:shd w:val="clear" w:color="auto" w:fill="B8CCE4" w:themeFill="accent1" w:themeFillTint="66"/>
            <w:tcMar>
              <w:top w:w="11" w:type="dxa"/>
              <w:left w:w="11" w:type="dxa"/>
              <w:bottom w:w="0" w:type="dxa"/>
              <w:right w:w="11" w:type="dxa"/>
            </w:tcMar>
            <w:vAlign w:val="center"/>
          </w:tcPr>
          <w:p w14:paraId="18EBD1E4" w14:textId="76C94889" w:rsidR="000D5096" w:rsidRPr="006C356A" w:rsidRDefault="000D5096" w:rsidP="00D20A1E">
            <w:pPr>
              <w:widowControl/>
              <w:spacing w:before="60" w:after="60"/>
              <w:jc w:val="center"/>
              <w:rPr>
                <w:b/>
                <w:i/>
                <w:sz w:val="20"/>
                <w:szCs w:val="20"/>
                <w:lang w:val="en-US"/>
              </w:rPr>
            </w:pPr>
            <w:r>
              <w:rPr>
                <w:b/>
                <w:i/>
                <w:sz w:val="20"/>
                <w:szCs w:val="20"/>
                <w:lang w:val="en-US"/>
              </w:rPr>
              <w:t>With or without</w:t>
            </w:r>
            <w:r w:rsidRPr="006C356A">
              <w:rPr>
                <w:b/>
                <w:i/>
                <w:sz w:val="20"/>
                <w:szCs w:val="20"/>
                <w:lang w:val="en-US"/>
              </w:rPr>
              <w:t xml:space="preserve"> </w:t>
            </w:r>
            <w:r w:rsidR="003D608F">
              <w:rPr>
                <w:b/>
                <w:i/>
                <w:sz w:val="20"/>
                <w:szCs w:val="20"/>
                <w:lang w:val="en-US"/>
              </w:rPr>
              <w:t>plant-based milk substitute</w:t>
            </w:r>
            <w:r w:rsidRPr="006C356A">
              <w:rPr>
                <w:b/>
                <w:i/>
                <w:sz w:val="20"/>
                <w:szCs w:val="20"/>
                <w:lang w:val="en-US"/>
              </w:rPr>
              <w:t>s</w:t>
            </w:r>
          </w:p>
        </w:tc>
        <w:tc>
          <w:tcPr>
            <w:tcW w:w="2952" w:type="dxa"/>
            <w:shd w:val="clear" w:color="auto" w:fill="B8CCE4" w:themeFill="accent1" w:themeFillTint="66"/>
            <w:noWrap/>
            <w:tcMar>
              <w:top w:w="11" w:type="dxa"/>
              <w:left w:w="11" w:type="dxa"/>
              <w:bottom w:w="0" w:type="dxa"/>
              <w:right w:w="11" w:type="dxa"/>
            </w:tcMar>
            <w:vAlign w:val="center"/>
          </w:tcPr>
          <w:p w14:paraId="29DFCEAE" w14:textId="3418A273" w:rsidR="000D5096" w:rsidRPr="006C356A" w:rsidRDefault="000D5096" w:rsidP="00D20A1E">
            <w:pPr>
              <w:widowControl/>
              <w:spacing w:before="60" w:after="60"/>
              <w:jc w:val="center"/>
              <w:rPr>
                <w:b/>
                <w:i/>
                <w:sz w:val="20"/>
                <w:szCs w:val="20"/>
                <w:lang w:val="en-US"/>
              </w:rPr>
            </w:pPr>
            <w:r>
              <w:rPr>
                <w:b/>
                <w:i/>
                <w:sz w:val="20"/>
                <w:szCs w:val="20"/>
                <w:lang w:val="en-US"/>
              </w:rPr>
              <w:t>With</w:t>
            </w:r>
            <w:r w:rsidRPr="006C356A">
              <w:rPr>
                <w:b/>
                <w:i/>
                <w:sz w:val="20"/>
                <w:szCs w:val="20"/>
                <w:lang w:val="en-US"/>
              </w:rPr>
              <w:t xml:space="preserve"> </w:t>
            </w:r>
            <w:r w:rsidR="003D608F">
              <w:rPr>
                <w:b/>
                <w:i/>
                <w:sz w:val="20"/>
                <w:szCs w:val="20"/>
                <w:lang w:val="en-US"/>
              </w:rPr>
              <w:t>plant-based milk substitute</w:t>
            </w:r>
            <w:r w:rsidRPr="006C356A">
              <w:rPr>
                <w:b/>
                <w:i/>
                <w:sz w:val="20"/>
                <w:szCs w:val="20"/>
                <w:lang w:val="en-US"/>
              </w:rPr>
              <w:t>s</w:t>
            </w:r>
          </w:p>
        </w:tc>
      </w:tr>
      <w:tr w:rsidR="000D5096" w14:paraId="15B8FEB8" w14:textId="77777777" w:rsidTr="00F13FF2">
        <w:trPr>
          <w:trHeight w:val="264"/>
        </w:trPr>
        <w:tc>
          <w:tcPr>
            <w:tcW w:w="1429" w:type="dxa"/>
            <w:tcBorders>
              <w:top w:val="single" w:sz="4" w:space="0" w:color="auto"/>
              <w:bottom w:val="nil"/>
            </w:tcBorders>
            <w:noWrap/>
            <w:tcMar>
              <w:top w:w="15" w:type="dxa"/>
              <w:left w:w="11" w:type="dxa"/>
              <w:bottom w:w="0" w:type="dxa"/>
              <w:right w:w="11" w:type="dxa"/>
            </w:tcMar>
            <w:vAlign w:val="center"/>
          </w:tcPr>
          <w:p w14:paraId="095D8F6C" w14:textId="77777777" w:rsidR="000D5096" w:rsidRPr="00FC41C1" w:rsidRDefault="000D5096" w:rsidP="00D20A1E">
            <w:pPr>
              <w:widowControl/>
              <w:spacing w:before="60" w:after="60"/>
              <w:rPr>
                <w:rFonts w:eastAsia="Arial Unicode MS"/>
                <w:sz w:val="20"/>
                <w:szCs w:val="20"/>
              </w:rPr>
            </w:pPr>
            <w:r w:rsidRPr="00FC41C1">
              <w:rPr>
                <w:sz w:val="20"/>
                <w:szCs w:val="20"/>
              </w:rPr>
              <w:t>Australia</w:t>
            </w:r>
            <w:r w:rsidRPr="00FC41C1">
              <w:rPr>
                <w:sz w:val="20"/>
                <w:szCs w:val="20"/>
                <w:vertAlign w:val="superscript"/>
              </w:rPr>
              <w:sym w:font="Wingdings 2" w:char="F0BF"/>
            </w:r>
          </w:p>
        </w:tc>
        <w:tc>
          <w:tcPr>
            <w:tcW w:w="1589" w:type="dxa"/>
            <w:noWrap/>
            <w:tcMar>
              <w:top w:w="15" w:type="dxa"/>
              <w:left w:w="11" w:type="dxa"/>
              <w:bottom w:w="0" w:type="dxa"/>
              <w:right w:w="11" w:type="dxa"/>
            </w:tcMar>
            <w:vAlign w:val="center"/>
          </w:tcPr>
          <w:p w14:paraId="6553C5C0" w14:textId="77777777" w:rsidR="000D5096" w:rsidRPr="00EE4A94" w:rsidRDefault="000D5096" w:rsidP="00D20A1E">
            <w:pPr>
              <w:widowControl/>
              <w:spacing w:before="60" w:after="60"/>
              <w:rPr>
                <w:rFonts w:eastAsia="Arial Unicode MS"/>
                <w:sz w:val="20"/>
                <w:szCs w:val="20"/>
              </w:rPr>
            </w:pPr>
            <w:r w:rsidRPr="00EE4A94">
              <w:rPr>
                <w:sz w:val="20"/>
                <w:szCs w:val="20"/>
              </w:rPr>
              <w:t>2 years and above</w:t>
            </w:r>
          </w:p>
        </w:tc>
        <w:tc>
          <w:tcPr>
            <w:tcW w:w="1484" w:type="dxa"/>
          </w:tcPr>
          <w:p w14:paraId="59D63456" w14:textId="77777777" w:rsidR="000D5096" w:rsidRPr="00EE4A94" w:rsidRDefault="000D5096" w:rsidP="00D20A1E">
            <w:pPr>
              <w:widowControl/>
              <w:tabs>
                <w:tab w:val="decimal" w:pos="961"/>
              </w:tabs>
              <w:spacing w:before="60" w:after="60"/>
              <w:rPr>
                <w:rFonts w:cs="Arial"/>
                <w:sz w:val="20"/>
                <w:szCs w:val="20"/>
              </w:rPr>
            </w:pPr>
            <w:r>
              <w:rPr>
                <w:rFonts w:cs="Arial"/>
                <w:sz w:val="20"/>
                <w:szCs w:val="20"/>
              </w:rPr>
              <w:t>13,858</w:t>
            </w:r>
          </w:p>
        </w:tc>
        <w:tc>
          <w:tcPr>
            <w:tcW w:w="1648" w:type="dxa"/>
          </w:tcPr>
          <w:p w14:paraId="09A29C11" w14:textId="77777777" w:rsidR="000D5096" w:rsidRPr="00EE4A94" w:rsidRDefault="000D5096" w:rsidP="00D20A1E">
            <w:pPr>
              <w:widowControl/>
              <w:tabs>
                <w:tab w:val="decimal" w:pos="1045"/>
              </w:tabs>
              <w:spacing w:before="60" w:after="60"/>
              <w:rPr>
                <w:rFonts w:cs="Arial"/>
                <w:sz w:val="20"/>
                <w:szCs w:val="20"/>
              </w:rPr>
            </w:pPr>
            <w:r>
              <w:rPr>
                <w:rFonts w:cs="Arial"/>
                <w:sz w:val="20"/>
                <w:szCs w:val="20"/>
              </w:rPr>
              <w:t>734</w:t>
            </w:r>
          </w:p>
        </w:tc>
        <w:tc>
          <w:tcPr>
            <w:tcW w:w="1650" w:type="dxa"/>
            <w:tcBorders>
              <w:bottom w:val="single" w:sz="4" w:space="0" w:color="auto"/>
            </w:tcBorders>
          </w:tcPr>
          <w:p w14:paraId="3E49DCF7" w14:textId="77777777" w:rsidR="000D5096" w:rsidRPr="00EE4A94" w:rsidRDefault="000D5096" w:rsidP="00D20A1E">
            <w:pPr>
              <w:widowControl/>
              <w:spacing w:before="60" w:after="60"/>
              <w:jc w:val="center"/>
              <w:rPr>
                <w:rFonts w:cs="Arial"/>
                <w:sz w:val="20"/>
                <w:szCs w:val="20"/>
              </w:rPr>
            </w:pPr>
            <w:r>
              <w:rPr>
                <w:rFonts w:cs="Arial"/>
                <w:sz w:val="20"/>
                <w:szCs w:val="20"/>
              </w:rPr>
              <w:t>60</w:t>
            </w:r>
          </w:p>
        </w:tc>
        <w:tc>
          <w:tcPr>
            <w:tcW w:w="1497" w:type="dxa"/>
            <w:noWrap/>
            <w:tcMar>
              <w:top w:w="15" w:type="dxa"/>
              <w:left w:w="11" w:type="dxa"/>
              <w:bottom w:w="0" w:type="dxa"/>
              <w:right w:w="11" w:type="dxa"/>
            </w:tcMar>
            <w:vAlign w:val="center"/>
          </w:tcPr>
          <w:p w14:paraId="32AED0B0" w14:textId="77777777" w:rsidR="000D5096" w:rsidRPr="00EE4A94" w:rsidRDefault="000D5096" w:rsidP="00D20A1E">
            <w:pPr>
              <w:widowControl/>
              <w:spacing w:before="60" w:after="60"/>
              <w:jc w:val="center"/>
              <w:rPr>
                <w:rFonts w:eastAsia="Arial Unicode MS" w:cs="Arial"/>
                <w:sz w:val="20"/>
                <w:szCs w:val="20"/>
              </w:rPr>
            </w:pPr>
            <w:r w:rsidRPr="00EE4A94">
              <w:rPr>
                <w:rFonts w:cs="Arial"/>
                <w:sz w:val="20"/>
                <w:szCs w:val="20"/>
              </w:rPr>
              <w:t>86</w:t>
            </w:r>
          </w:p>
        </w:tc>
        <w:tc>
          <w:tcPr>
            <w:tcW w:w="1731" w:type="dxa"/>
            <w:noWrap/>
            <w:tcMar>
              <w:top w:w="15" w:type="dxa"/>
              <w:left w:w="11" w:type="dxa"/>
              <w:bottom w:w="0" w:type="dxa"/>
              <w:right w:w="11" w:type="dxa"/>
            </w:tcMar>
            <w:vAlign w:val="center"/>
          </w:tcPr>
          <w:p w14:paraId="7788CB6C" w14:textId="78EA70F7" w:rsidR="000D5096" w:rsidRPr="00EE4A94" w:rsidRDefault="000D5096" w:rsidP="00D20A1E">
            <w:pPr>
              <w:widowControl/>
              <w:tabs>
                <w:tab w:val="decimal" w:pos="1051"/>
              </w:tabs>
              <w:spacing w:before="60" w:after="60"/>
              <w:rPr>
                <w:rFonts w:eastAsia="Arial Unicode MS" w:cs="Arial"/>
                <w:sz w:val="20"/>
                <w:szCs w:val="20"/>
              </w:rPr>
            </w:pPr>
            <w:r w:rsidRPr="00EE4A94">
              <w:rPr>
                <w:rFonts w:cs="Arial"/>
                <w:sz w:val="20"/>
                <w:szCs w:val="20"/>
              </w:rPr>
              <w:t>7</w:t>
            </w:r>
            <w:r w:rsidR="00A9367F">
              <w:rPr>
                <w:rFonts w:cs="Arial"/>
                <w:sz w:val="20"/>
                <w:szCs w:val="20"/>
              </w:rPr>
              <w:t>1</w:t>
            </w:r>
          </w:p>
        </w:tc>
        <w:tc>
          <w:tcPr>
            <w:tcW w:w="2952" w:type="dxa"/>
            <w:tcBorders>
              <w:bottom w:val="single" w:sz="4" w:space="0" w:color="auto"/>
            </w:tcBorders>
            <w:noWrap/>
            <w:tcMar>
              <w:top w:w="11" w:type="dxa"/>
              <w:left w:w="11" w:type="dxa"/>
              <w:bottom w:w="0" w:type="dxa"/>
              <w:right w:w="11" w:type="dxa"/>
            </w:tcMar>
            <w:vAlign w:val="center"/>
          </w:tcPr>
          <w:p w14:paraId="55F0E61E" w14:textId="54FCB368" w:rsidR="000D5096" w:rsidRPr="00EE4A94" w:rsidRDefault="000D5096" w:rsidP="00D20A1E">
            <w:pPr>
              <w:pStyle w:val="E-mailSignature"/>
              <w:spacing w:before="60" w:after="60"/>
              <w:jc w:val="center"/>
              <w:rPr>
                <w:rFonts w:eastAsia="Arial Unicode MS" w:cs="Arial"/>
                <w:lang w:val="en-GB" w:bidi="ar-SA"/>
              </w:rPr>
            </w:pPr>
            <w:r w:rsidRPr="00EE4A94">
              <w:rPr>
                <w:rFonts w:cs="Arial"/>
                <w:lang w:val="en-GB" w:bidi="ar-SA"/>
              </w:rPr>
              <w:t>7</w:t>
            </w:r>
            <w:r w:rsidR="00A9367F">
              <w:rPr>
                <w:rFonts w:cs="Arial"/>
                <w:lang w:val="en-GB" w:bidi="ar-SA"/>
              </w:rPr>
              <w:t>0</w:t>
            </w:r>
          </w:p>
        </w:tc>
      </w:tr>
      <w:tr w:rsidR="000D5096" w14:paraId="73D957BE" w14:textId="77777777" w:rsidTr="00F13FF2">
        <w:trPr>
          <w:trHeight w:val="264"/>
        </w:trPr>
        <w:tc>
          <w:tcPr>
            <w:tcW w:w="1429" w:type="dxa"/>
            <w:tcBorders>
              <w:top w:val="nil"/>
              <w:bottom w:val="nil"/>
            </w:tcBorders>
            <w:noWrap/>
            <w:tcMar>
              <w:top w:w="15" w:type="dxa"/>
              <w:left w:w="11" w:type="dxa"/>
              <w:bottom w:w="0" w:type="dxa"/>
              <w:right w:w="11" w:type="dxa"/>
            </w:tcMar>
            <w:vAlign w:val="center"/>
          </w:tcPr>
          <w:p w14:paraId="751088F2" w14:textId="77777777" w:rsidR="000D5096" w:rsidRPr="00FC41C1" w:rsidRDefault="000D5096" w:rsidP="00D20A1E">
            <w:pPr>
              <w:widowControl/>
              <w:spacing w:before="60" w:after="60"/>
              <w:rPr>
                <w:rFonts w:eastAsia="Arial Unicode MS"/>
                <w:sz w:val="20"/>
                <w:szCs w:val="20"/>
              </w:rPr>
            </w:pPr>
          </w:p>
        </w:tc>
        <w:tc>
          <w:tcPr>
            <w:tcW w:w="1589" w:type="dxa"/>
            <w:noWrap/>
            <w:tcMar>
              <w:top w:w="15" w:type="dxa"/>
              <w:left w:w="11" w:type="dxa"/>
              <w:bottom w:w="0" w:type="dxa"/>
              <w:right w:w="11" w:type="dxa"/>
            </w:tcMar>
            <w:vAlign w:val="center"/>
          </w:tcPr>
          <w:p w14:paraId="16629D49" w14:textId="708C3CDB" w:rsidR="000D5096" w:rsidRPr="00EE4A94" w:rsidRDefault="000D5096" w:rsidP="00D20A1E">
            <w:pPr>
              <w:widowControl/>
              <w:spacing w:before="60" w:after="60"/>
              <w:rPr>
                <w:rFonts w:eastAsia="Arial Unicode MS"/>
                <w:sz w:val="20"/>
                <w:szCs w:val="20"/>
              </w:rPr>
            </w:pPr>
            <w:r w:rsidRPr="00EE4A94">
              <w:rPr>
                <w:sz w:val="20"/>
                <w:szCs w:val="20"/>
              </w:rPr>
              <w:t>2</w:t>
            </w:r>
            <w:r w:rsidR="00D60EE0">
              <w:rPr>
                <w:rFonts w:cs="Arial"/>
                <w:sz w:val="20"/>
                <w:szCs w:val="20"/>
              </w:rPr>
              <w:t>–</w:t>
            </w:r>
            <w:r w:rsidRPr="00EE4A94">
              <w:rPr>
                <w:sz w:val="20"/>
                <w:szCs w:val="20"/>
              </w:rPr>
              <w:t>4 years</w:t>
            </w:r>
          </w:p>
        </w:tc>
        <w:tc>
          <w:tcPr>
            <w:tcW w:w="1484" w:type="dxa"/>
          </w:tcPr>
          <w:p w14:paraId="6038A640" w14:textId="77777777" w:rsidR="000D5096" w:rsidRPr="00EE4A94" w:rsidRDefault="000D5096" w:rsidP="00D20A1E">
            <w:pPr>
              <w:widowControl/>
              <w:tabs>
                <w:tab w:val="decimal" w:pos="961"/>
              </w:tabs>
              <w:spacing w:before="60" w:after="60"/>
              <w:rPr>
                <w:rFonts w:cs="Arial"/>
                <w:sz w:val="20"/>
                <w:szCs w:val="20"/>
              </w:rPr>
            </w:pPr>
            <w:r>
              <w:rPr>
                <w:rFonts w:cs="Arial"/>
                <w:sz w:val="20"/>
                <w:szCs w:val="20"/>
              </w:rPr>
              <w:t>583</w:t>
            </w:r>
          </w:p>
        </w:tc>
        <w:tc>
          <w:tcPr>
            <w:tcW w:w="1648" w:type="dxa"/>
          </w:tcPr>
          <w:p w14:paraId="784ECFF2" w14:textId="77777777" w:rsidR="000D5096" w:rsidRPr="00EE4A94" w:rsidRDefault="000D5096" w:rsidP="00D20A1E">
            <w:pPr>
              <w:widowControl/>
              <w:tabs>
                <w:tab w:val="decimal" w:pos="1045"/>
              </w:tabs>
              <w:spacing w:before="60" w:after="60"/>
              <w:rPr>
                <w:rFonts w:cs="Arial"/>
                <w:sz w:val="20"/>
                <w:szCs w:val="20"/>
              </w:rPr>
            </w:pPr>
            <w:r>
              <w:rPr>
                <w:rFonts w:cs="Arial"/>
                <w:sz w:val="20"/>
                <w:szCs w:val="20"/>
              </w:rPr>
              <w:t>12</w:t>
            </w:r>
          </w:p>
        </w:tc>
        <w:tc>
          <w:tcPr>
            <w:tcW w:w="1650" w:type="dxa"/>
            <w:shd w:val="clear" w:color="auto" w:fill="D9D9D9" w:themeFill="background1" w:themeFillShade="D9"/>
          </w:tcPr>
          <w:p w14:paraId="028C69EF" w14:textId="77777777" w:rsidR="000D5096" w:rsidRPr="00EE4A94" w:rsidRDefault="000D5096" w:rsidP="00D20A1E">
            <w:pPr>
              <w:widowControl/>
              <w:spacing w:before="60" w:after="60"/>
              <w:jc w:val="center"/>
              <w:rPr>
                <w:rFonts w:cs="Arial"/>
                <w:sz w:val="20"/>
                <w:szCs w:val="20"/>
              </w:rPr>
            </w:pPr>
          </w:p>
        </w:tc>
        <w:tc>
          <w:tcPr>
            <w:tcW w:w="1497" w:type="dxa"/>
            <w:noWrap/>
            <w:tcMar>
              <w:top w:w="15" w:type="dxa"/>
              <w:left w:w="11" w:type="dxa"/>
              <w:bottom w:w="0" w:type="dxa"/>
              <w:right w:w="11" w:type="dxa"/>
            </w:tcMar>
            <w:vAlign w:val="center"/>
          </w:tcPr>
          <w:p w14:paraId="5FC8A268" w14:textId="77777777" w:rsidR="000D5096" w:rsidRPr="00EE4A94" w:rsidRDefault="000D5096" w:rsidP="00D20A1E">
            <w:pPr>
              <w:widowControl/>
              <w:spacing w:before="60" w:after="60"/>
              <w:jc w:val="center"/>
              <w:rPr>
                <w:rFonts w:eastAsia="Arial Unicode MS" w:cs="Arial"/>
                <w:sz w:val="20"/>
                <w:szCs w:val="20"/>
              </w:rPr>
            </w:pPr>
            <w:r w:rsidRPr="00EE4A94">
              <w:rPr>
                <w:rFonts w:cs="Arial"/>
                <w:sz w:val="20"/>
                <w:szCs w:val="20"/>
              </w:rPr>
              <w:t>54</w:t>
            </w:r>
          </w:p>
        </w:tc>
        <w:tc>
          <w:tcPr>
            <w:tcW w:w="1731" w:type="dxa"/>
            <w:noWrap/>
            <w:tcMar>
              <w:top w:w="15" w:type="dxa"/>
              <w:left w:w="11" w:type="dxa"/>
              <w:bottom w:w="0" w:type="dxa"/>
              <w:right w:w="11" w:type="dxa"/>
            </w:tcMar>
            <w:vAlign w:val="center"/>
          </w:tcPr>
          <w:p w14:paraId="2F0B4C8C" w14:textId="7D7B8A66" w:rsidR="000D5096" w:rsidRPr="00EE4A94" w:rsidRDefault="000D5096" w:rsidP="00D20A1E">
            <w:pPr>
              <w:widowControl/>
              <w:tabs>
                <w:tab w:val="decimal" w:pos="1051"/>
              </w:tabs>
              <w:spacing w:before="60" w:after="60"/>
              <w:rPr>
                <w:rFonts w:eastAsia="Arial Unicode MS" w:cs="Arial"/>
                <w:sz w:val="20"/>
                <w:szCs w:val="20"/>
              </w:rPr>
            </w:pPr>
            <w:r w:rsidRPr="00EE4A94">
              <w:rPr>
                <w:rFonts w:cs="Arial"/>
                <w:sz w:val="20"/>
                <w:szCs w:val="20"/>
              </w:rPr>
              <w:t>4</w:t>
            </w:r>
            <w:r w:rsidR="00A9367F">
              <w:rPr>
                <w:rFonts w:cs="Arial"/>
                <w:sz w:val="20"/>
                <w:szCs w:val="20"/>
              </w:rPr>
              <w:t>3</w:t>
            </w:r>
            <w:r w:rsidR="00A62EBB" w:rsidRPr="00A62EBB">
              <w:rPr>
                <w:rFonts w:eastAsia="Arial Unicode MS" w:cs="Arial"/>
                <w:sz w:val="20"/>
                <w:szCs w:val="20"/>
                <w:vertAlign w:val="superscript"/>
              </w:rPr>
              <w:sym w:font="Webdings" w:char="F0EA"/>
            </w:r>
          </w:p>
        </w:tc>
        <w:tc>
          <w:tcPr>
            <w:tcW w:w="2952" w:type="dxa"/>
            <w:shd w:val="clear" w:color="auto" w:fill="D9D9D9" w:themeFill="background1" w:themeFillShade="D9"/>
            <w:noWrap/>
            <w:tcMar>
              <w:top w:w="11" w:type="dxa"/>
              <w:left w:w="11" w:type="dxa"/>
              <w:bottom w:w="0" w:type="dxa"/>
              <w:right w:w="11" w:type="dxa"/>
            </w:tcMar>
            <w:vAlign w:val="center"/>
          </w:tcPr>
          <w:p w14:paraId="5F845C64" w14:textId="77777777" w:rsidR="000D5096" w:rsidRPr="00EE4A94" w:rsidRDefault="000D5096" w:rsidP="00D20A1E">
            <w:pPr>
              <w:widowControl/>
              <w:spacing w:before="60" w:after="60"/>
              <w:jc w:val="center"/>
              <w:rPr>
                <w:rFonts w:eastAsia="Arial Unicode MS" w:cs="Arial"/>
                <w:sz w:val="20"/>
                <w:szCs w:val="20"/>
              </w:rPr>
            </w:pPr>
            <w:r>
              <w:rPr>
                <w:rFonts w:cs="Arial"/>
                <w:sz w:val="20"/>
                <w:szCs w:val="20"/>
              </w:rPr>
              <w:t>n/a</w:t>
            </w:r>
          </w:p>
        </w:tc>
      </w:tr>
      <w:tr w:rsidR="000D5096" w14:paraId="529DA18A" w14:textId="77777777" w:rsidTr="00F13FF2">
        <w:trPr>
          <w:trHeight w:val="264"/>
        </w:trPr>
        <w:tc>
          <w:tcPr>
            <w:tcW w:w="1429" w:type="dxa"/>
            <w:tcBorders>
              <w:top w:val="nil"/>
              <w:bottom w:val="nil"/>
            </w:tcBorders>
            <w:noWrap/>
            <w:tcMar>
              <w:top w:w="15" w:type="dxa"/>
              <w:left w:w="11" w:type="dxa"/>
              <w:bottom w:w="0" w:type="dxa"/>
              <w:right w:w="11" w:type="dxa"/>
            </w:tcMar>
            <w:vAlign w:val="center"/>
          </w:tcPr>
          <w:p w14:paraId="7408180B" w14:textId="77777777" w:rsidR="000D5096" w:rsidRPr="00FC41C1" w:rsidRDefault="000D5096" w:rsidP="00D20A1E">
            <w:pPr>
              <w:widowControl/>
              <w:spacing w:before="60" w:after="60"/>
              <w:rPr>
                <w:rFonts w:eastAsia="Arial Unicode MS"/>
                <w:sz w:val="20"/>
                <w:szCs w:val="20"/>
              </w:rPr>
            </w:pPr>
          </w:p>
        </w:tc>
        <w:tc>
          <w:tcPr>
            <w:tcW w:w="1589" w:type="dxa"/>
            <w:noWrap/>
            <w:tcMar>
              <w:top w:w="15" w:type="dxa"/>
              <w:left w:w="11" w:type="dxa"/>
              <w:bottom w:w="0" w:type="dxa"/>
              <w:right w:w="11" w:type="dxa"/>
            </w:tcMar>
            <w:vAlign w:val="center"/>
          </w:tcPr>
          <w:p w14:paraId="758F6025" w14:textId="49101DBC" w:rsidR="000D5096" w:rsidRPr="00EE4A94" w:rsidRDefault="000D5096" w:rsidP="00D20A1E">
            <w:pPr>
              <w:widowControl/>
              <w:spacing w:before="60" w:after="60"/>
              <w:rPr>
                <w:rFonts w:eastAsia="Arial Unicode MS"/>
                <w:sz w:val="20"/>
                <w:szCs w:val="20"/>
              </w:rPr>
            </w:pPr>
            <w:r w:rsidRPr="00EE4A94">
              <w:rPr>
                <w:sz w:val="20"/>
                <w:szCs w:val="20"/>
              </w:rPr>
              <w:t>5</w:t>
            </w:r>
            <w:r w:rsidR="00D60EE0">
              <w:rPr>
                <w:rFonts w:cs="Arial"/>
                <w:sz w:val="20"/>
                <w:szCs w:val="20"/>
              </w:rPr>
              <w:t>–</w:t>
            </w:r>
            <w:r w:rsidRPr="00EE4A94">
              <w:rPr>
                <w:sz w:val="20"/>
                <w:szCs w:val="20"/>
              </w:rPr>
              <w:t>14 years</w:t>
            </w:r>
          </w:p>
        </w:tc>
        <w:tc>
          <w:tcPr>
            <w:tcW w:w="1484" w:type="dxa"/>
          </w:tcPr>
          <w:p w14:paraId="186858EA" w14:textId="77777777" w:rsidR="000D5096" w:rsidRPr="00EE4A94" w:rsidRDefault="000D5096" w:rsidP="00D20A1E">
            <w:pPr>
              <w:widowControl/>
              <w:tabs>
                <w:tab w:val="decimal" w:pos="961"/>
              </w:tabs>
              <w:spacing w:before="60" w:after="60"/>
              <w:rPr>
                <w:rFonts w:cs="Arial"/>
                <w:sz w:val="20"/>
                <w:szCs w:val="20"/>
              </w:rPr>
            </w:pPr>
            <w:r>
              <w:rPr>
                <w:rFonts w:cs="Arial"/>
                <w:sz w:val="20"/>
                <w:szCs w:val="20"/>
              </w:rPr>
              <w:t>1,844</w:t>
            </w:r>
          </w:p>
        </w:tc>
        <w:tc>
          <w:tcPr>
            <w:tcW w:w="1648" w:type="dxa"/>
          </w:tcPr>
          <w:p w14:paraId="7627CB04" w14:textId="77777777" w:rsidR="000D5096" w:rsidRPr="00EE4A94" w:rsidRDefault="000D5096" w:rsidP="00D20A1E">
            <w:pPr>
              <w:widowControl/>
              <w:tabs>
                <w:tab w:val="decimal" w:pos="1045"/>
              </w:tabs>
              <w:spacing w:before="60" w:after="60"/>
              <w:rPr>
                <w:rFonts w:cs="Arial"/>
                <w:sz w:val="20"/>
                <w:szCs w:val="20"/>
              </w:rPr>
            </w:pPr>
            <w:r>
              <w:rPr>
                <w:rFonts w:cs="Arial"/>
                <w:sz w:val="20"/>
                <w:szCs w:val="20"/>
              </w:rPr>
              <w:t>99</w:t>
            </w:r>
          </w:p>
        </w:tc>
        <w:tc>
          <w:tcPr>
            <w:tcW w:w="1650" w:type="dxa"/>
            <w:shd w:val="clear" w:color="auto" w:fill="D9D9D9" w:themeFill="background1" w:themeFillShade="D9"/>
          </w:tcPr>
          <w:p w14:paraId="6FA459A0" w14:textId="77777777" w:rsidR="000D5096" w:rsidRPr="00EE4A94" w:rsidRDefault="000D5096" w:rsidP="00D20A1E">
            <w:pPr>
              <w:widowControl/>
              <w:spacing w:before="60" w:after="60"/>
              <w:jc w:val="center"/>
              <w:rPr>
                <w:rFonts w:cs="Arial"/>
                <w:sz w:val="20"/>
                <w:szCs w:val="20"/>
              </w:rPr>
            </w:pPr>
          </w:p>
        </w:tc>
        <w:tc>
          <w:tcPr>
            <w:tcW w:w="1497" w:type="dxa"/>
            <w:noWrap/>
            <w:tcMar>
              <w:top w:w="15" w:type="dxa"/>
              <w:left w:w="11" w:type="dxa"/>
              <w:bottom w:w="0" w:type="dxa"/>
              <w:right w:w="11" w:type="dxa"/>
            </w:tcMar>
            <w:vAlign w:val="center"/>
          </w:tcPr>
          <w:p w14:paraId="0F0F5506" w14:textId="77777777" w:rsidR="000D5096" w:rsidRPr="00EE4A94" w:rsidRDefault="000D5096" w:rsidP="00D20A1E">
            <w:pPr>
              <w:widowControl/>
              <w:spacing w:before="60" w:after="60"/>
              <w:jc w:val="center"/>
              <w:rPr>
                <w:rFonts w:eastAsia="Arial Unicode MS" w:cs="Arial"/>
                <w:sz w:val="20"/>
                <w:szCs w:val="20"/>
              </w:rPr>
            </w:pPr>
            <w:r w:rsidRPr="00EE4A94">
              <w:rPr>
                <w:rFonts w:cs="Arial"/>
                <w:sz w:val="20"/>
                <w:szCs w:val="20"/>
              </w:rPr>
              <w:t>73</w:t>
            </w:r>
          </w:p>
        </w:tc>
        <w:tc>
          <w:tcPr>
            <w:tcW w:w="1731" w:type="dxa"/>
            <w:noWrap/>
            <w:tcMar>
              <w:top w:w="15" w:type="dxa"/>
              <w:left w:w="11" w:type="dxa"/>
              <w:bottom w:w="0" w:type="dxa"/>
              <w:right w:w="11" w:type="dxa"/>
            </w:tcMar>
            <w:vAlign w:val="center"/>
          </w:tcPr>
          <w:p w14:paraId="5A3D916F" w14:textId="0779614C" w:rsidR="000D5096" w:rsidRPr="00EE4A94" w:rsidRDefault="000D5096" w:rsidP="00D20A1E">
            <w:pPr>
              <w:widowControl/>
              <w:tabs>
                <w:tab w:val="decimal" w:pos="1051"/>
              </w:tabs>
              <w:spacing w:before="60" w:after="60"/>
              <w:rPr>
                <w:rFonts w:eastAsia="Arial Unicode MS" w:cs="Arial"/>
                <w:sz w:val="20"/>
                <w:szCs w:val="20"/>
              </w:rPr>
            </w:pPr>
            <w:r w:rsidRPr="00EE4A94">
              <w:rPr>
                <w:rFonts w:cs="Arial"/>
                <w:sz w:val="20"/>
                <w:szCs w:val="20"/>
              </w:rPr>
              <w:t>5</w:t>
            </w:r>
            <w:r w:rsidR="00A9367F">
              <w:rPr>
                <w:rFonts w:cs="Arial"/>
                <w:sz w:val="20"/>
                <w:szCs w:val="20"/>
              </w:rPr>
              <w:t>7</w:t>
            </w:r>
          </w:p>
        </w:tc>
        <w:tc>
          <w:tcPr>
            <w:tcW w:w="2952" w:type="dxa"/>
            <w:shd w:val="clear" w:color="auto" w:fill="D9D9D9" w:themeFill="background1" w:themeFillShade="D9"/>
            <w:noWrap/>
            <w:tcMar>
              <w:top w:w="11" w:type="dxa"/>
              <w:left w:w="11" w:type="dxa"/>
              <w:bottom w:w="0" w:type="dxa"/>
              <w:right w:w="11" w:type="dxa"/>
            </w:tcMar>
            <w:vAlign w:val="center"/>
          </w:tcPr>
          <w:p w14:paraId="07012964" w14:textId="77777777" w:rsidR="000D5096" w:rsidRPr="00EE4A94" w:rsidRDefault="000D5096" w:rsidP="00D20A1E">
            <w:pPr>
              <w:widowControl/>
              <w:spacing w:before="60" w:after="60"/>
              <w:jc w:val="center"/>
              <w:rPr>
                <w:rFonts w:eastAsia="Arial Unicode MS" w:cs="Arial"/>
                <w:sz w:val="20"/>
                <w:szCs w:val="20"/>
              </w:rPr>
            </w:pPr>
            <w:r>
              <w:rPr>
                <w:rFonts w:cs="Arial"/>
                <w:sz w:val="20"/>
                <w:szCs w:val="20"/>
              </w:rPr>
              <w:t>n/a</w:t>
            </w:r>
          </w:p>
        </w:tc>
      </w:tr>
      <w:tr w:rsidR="000D5096" w14:paraId="42BA1628" w14:textId="77777777" w:rsidTr="00F13FF2">
        <w:trPr>
          <w:trHeight w:val="264"/>
        </w:trPr>
        <w:tc>
          <w:tcPr>
            <w:tcW w:w="1429" w:type="dxa"/>
            <w:tcBorders>
              <w:top w:val="nil"/>
            </w:tcBorders>
            <w:noWrap/>
            <w:tcMar>
              <w:top w:w="15" w:type="dxa"/>
              <w:left w:w="11" w:type="dxa"/>
              <w:bottom w:w="0" w:type="dxa"/>
              <w:right w:w="11" w:type="dxa"/>
            </w:tcMar>
            <w:vAlign w:val="center"/>
          </w:tcPr>
          <w:p w14:paraId="044B1E87" w14:textId="77777777" w:rsidR="000D5096" w:rsidRPr="00FC41C1" w:rsidRDefault="000D5096" w:rsidP="00D20A1E">
            <w:pPr>
              <w:widowControl/>
              <w:spacing w:before="60" w:after="60"/>
              <w:rPr>
                <w:rFonts w:eastAsia="Arial Unicode MS"/>
                <w:sz w:val="20"/>
                <w:szCs w:val="20"/>
              </w:rPr>
            </w:pPr>
          </w:p>
        </w:tc>
        <w:tc>
          <w:tcPr>
            <w:tcW w:w="1589" w:type="dxa"/>
            <w:noWrap/>
            <w:tcMar>
              <w:top w:w="15" w:type="dxa"/>
              <w:left w:w="11" w:type="dxa"/>
              <w:bottom w:w="0" w:type="dxa"/>
              <w:right w:w="11" w:type="dxa"/>
            </w:tcMar>
            <w:vAlign w:val="center"/>
          </w:tcPr>
          <w:p w14:paraId="50DECA07" w14:textId="77777777" w:rsidR="000D5096" w:rsidRPr="00EE4A94" w:rsidRDefault="000D5096" w:rsidP="00D20A1E">
            <w:pPr>
              <w:widowControl/>
              <w:spacing w:before="60" w:after="60"/>
              <w:rPr>
                <w:rFonts w:eastAsia="Arial Unicode MS"/>
                <w:sz w:val="20"/>
                <w:szCs w:val="20"/>
              </w:rPr>
            </w:pPr>
            <w:r w:rsidRPr="00EE4A94">
              <w:rPr>
                <w:sz w:val="20"/>
                <w:szCs w:val="20"/>
              </w:rPr>
              <w:t>15 years and above</w:t>
            </w:r>
          </w:p>
        </w:tc>
        <w:tc>
          <w:tcPr>
            <w:tcW w:w="1484" w:type="dxa"/>
          </w:tcPr>
          <w:p w14:paraId="0DF95619" w14:textId="77777777" w:rsidR="000D5096" w:rsidRPr="00EE4A94" w:rsidRDefault="000D5096" w:rsidP="00D20A1E">
            <w:pPr>
              <w:widowControl/>
              <w:tabs>
                <w:tab w:val="decimal" w:pos="961"/>
              </w:tabs>
              <w:spacing w:before="60" w:after="60"/>
              <w:rPr>
                <w:rFonts w:cs="Arial"/>
                <w:sz w:val="20"/>
                <w:szCs w:val="20"/>
              </w:rPr>
            </w:pPr>
            <w:r>
              <w:rPr>
                <w:rFonts w:cs="Arial"/>
                <w:sz w:val="20"/>
                <w:szCs w:val="20"/>
              </w:rPr>
              <w:t>11,431</w:t>
            </w:r>
          </w:p>
        </w:tc>
        <w:tc>
          <w:tcPr>
            <w:tcW w:w="1648" w:type="dxa"/>
          </w:tcPr>
          <w:p w14:paraId="3168B19C" w14:textId="77777777" w:rsidR="000D5096" w:rsidRPr="00EE4A94" w:rsidRDefault="000D5096" w:rsidP="00D20A1E">
            <w:pPr>
              <w:widowControl/>
              <w:tabs>
                <w:tab w:val="decimal" w:pos="1045"/>
              </w:tabs>
              <w:spacing w:before="60" w:after="60"/>
              <w:rPr>
                <w:rFonts w:cs="Arial"/>
                <w:sz w:val="20"/>
                <w:szCs w:val="20"/>
              </w:rPr>
            </w:pPr>
            <w:r>
              <w:rPr>
                <w:rFonts w:cs="Arial"/>
                <w:sz w:val="20"/>
                <w:szCs w:val="20"/>
              </w:rPr>
              <w:t>623</w:t>
            </w:r>
          </w:p>
        </w:tc>
        <w:tc>
          <w:tcPr>
            <w:tcW w:w="1650" w:type="dxa"/>
            <w:shd w:val="clear" w:color="auto" w:fill="D9D9D9" w:themeFill="background1" w:themeFillShade="D9"/>
          </w:tcPr>
          <w:p w14:paraId="18726DD0" w14:textId="77777777" w:rsidR="000D5096" w:rsidRPr="00EE4A94" w:rsidRDefault="000D5096" w:rsidP="00D20A1E">
            <w:pPr>
              <w:widowControl/>
              <w:spacing w:before="60" w:after="60"/>
              <w:jc w:val="center"/>
              <w:rPr>
                <w:rFonts w:cs="Arial"/>
                <w:sz w:val="20"/>
                <w:szCs w:val="20"/>
              </w:rPr>
            </w:pPr>
          </w:p>
        </w:tc>
        <w:tc>
          <w:tcPr>
            <w:tcW w:w="1497" w:type="dxa"/>
            <w:noWrap/>
            <w:tcMar>
              <w:top w:w="15" w:type="dxa"/>
              <w:left w:w="11" w:type="dxa"/>
              <w:bottom w:w="0" w:type="dxa"/>
              <w:right w:w="11" w:type="dxa"/>
            </w:tcMar>
            <w:vAlign w:val="center"/>
          </w:tcPr>
          <w:p w14:paraId="78EB8A9E" w14:textId="77777777" w:rsidR="000D5096" w:rsidRPr="00EE4A94" w:rsidRDefault="000D5096" w:rsidP="00D20A1E">
            <w:pPr>
              <w:widowControl/>
              <w:spacing w:before="60" w:after="60"/>
              <w:jc w:val="center"/>
              <w:rPr>
                <w:rFonts w:eastAsia="Arial Unicode MS" w:cs="Arial"/>
                <w:sz w:val="20"/>
                <w:szCs w:val="20"/>
              </w:rPr>
            </w:pPr>
            <w:r w:rsidRPr="00EE4A94">
              <w:rPr>
                <w:rFonts w:cs="Arial"/>
                <w:sz w:val="20"/>
                <w:szCs w:val="20"/>
              </w:rPr>
              <w:t>90</w:t>
            </w:r>
          </w:p>
        </w:tc>
        <w:tc>
          <w:tcPr>
            <w:tcW w:w="1731" w:type="dxa"/>
            <w:noWrap/>
            <w:tcMar>
              <w:top w:w="15" w:type="dxa"/>
              <w:left w:w="11" w:type="dxa"/>
              <w:bottom w:w="0" w:type="dxa"/>
              <w:right w:w="11" w:type="dxa"/>
            </w:tcMar>
            <w:vAlign w:val="center"/>
          </w:tcPr>
          <w:p w14:paraId="7F31C93A" w14:textId="7F43F68C" w:rsidR="000D5096" w:rsidRPr="00EE4A94" w:rsidRDefault="000D5096" w:rsidP="00D20A1E">
            <w:pPr>
              <w:widowControl/>
              <w:tabs>
                <w:tab w:val="decimal" w:pos="1051"/>
              </w:tabs>
              <w:spacing w:before="60" w:after="60"/>
              <w:rPr>
                <w:rFonts w:eastAsia="Arial Unicode MS" w:cs="Arial"/>
                <w:sz w:val="20"/>
                <w:szCs w:val="20"/>
              </w:rPr>
            </w:pPr>
            <w:r w:rsidRPr="00EE4A94">
              <w:rPr>
                <w:rFonts w:cs="Arial"/>
                <w:sz w:val="20"/>
                <w:szCs w:val="20"/>
              </w:rPr>
              <w:t>7</w:t>
            </w:r>
            <w:r w:rsidR="00A9367F">
              <w:rPr>
                <w:rFonts w:cs="Arial"/>
                <w:sz w:val="20"/>
                <w:szCs w:val="20"/>
              </w:rPr>
              <w:t>4</w:t>
            </w:r>
          </w:p>
        </w:tc>
        <w:tc>
          <w:tcPr>
            <w:tcW w:w="2952" w:type="dxa"/>
            <w:shd w:val="clear" w:color="auto" w:fill="D9D9D9" w:themeFill="background1" w:themeFillShade="D9"/>
            <w:noWrap/>
            <w:tcMar>
              <w:top w:w="11" w:type="dxa"/>
              <w:left w:w="11" w:type="dxa"/>
              <w:bottom w:w="0" w:type="dxa"/>
              <w:right w:w="11" w:type="dxa"/>
            </w:tcMar>
            <w:vAlign w:val="center"/>
          </w:tcPr>
          <w:p w14:paraId="3401C39C" w14:textId="77777777" w:rsidR="000D5096" w:rsidRPr="00EE4A94" w:rsidRDefault="000D5096" w:rsidP="00D20A1E">
            <w:pPr>
              <w:widowControl/>
              <w:spacing w:before="60" w:after="60"/>
              <w:jc w:val="center"/>
              <w:rPr>
                <w:rFonts w:eastAsia="Arial Unicode MS" w:cs="Arial"/>
                <w:sz w:val="20"/>
                <w:szCs w:val="20"/>
              </w:rPr>
            </w:pPr>
            <w:r>
              <w:rPr>
                <w:rFonts w:cs="Arial"/>
                <w:sz w:val="20"/>
                <w:szCs w:val="20"/>
              </w:rPr>
              <w:t>n/a</w:t>
            </w:r>
          </w:p>
        </w:tc>
      </w:tr>
      <w:tr w:rsidR="000D5096" w14:paraId="3DF6322D" w14:textId="77777777" w:rsidTr="000D5096">
        <w:trPr>
          <w:trHeight w:val="276"/>
        </w:trPr>
        <w:tc>
          <w:tcPr>
            <w:tcW w:w="1429" w:type="dxa"/>
            <w:noWrap/>
            <w:tcMar>
              <w:top w:w="11" w:type="dxa"/>
              <w:left w:w="11" w:type="dxa"/>
              <w:bottom w:w="0" w:type="dxa"/>
              <w:right w:w="11" w:type="dxa"/>
            </w:tcMar>
            <w:vAlign w:val="center"/>
          </w:tcPr>
          <w:p w14:paraId="77F0D83E" w14:textId="77777777" w:rsidR="000D5096" w:rsidRPr="00FC41C1" w:rsidRDefault="000D5096" w:rsidP="00D20A1E">
            <w:pPr>
              <w:widowControl/>
              <w:spacing w:before="60" w:after="60"/>
              <w:rPr>
                <w:rFonts w:eastAsia="Arial Unicode MS"/>
                <w:sz w:val="20"/>
                <w:szCs w:val="20"/>
              </w:rPr>
            </w:pPr>
            <w:r w:rsidRPr="00FC41C1">
              <w:rPr>
                <w:sz w:val="20"/>
                <w:szCs w:val="20"/>
              </w:rPr>
              <w:t>New Zealand</w:t>
            </w:r>
            <w:r w:rsidRPr="00FC41C1">
              <w:rPr>
                <w:rFonts w:cs="Arial"/>
                <w:sz w:val="20"/>
                <w:szCs w:val="20"/>
                <w:vertAlign w:val="superscript"/>
              </w:rPr>
              <w:t>Δ</w:t>
            </w:r>
          </w:p>
        </w:tc>
        <w:tc>
          <w:tcPr>
            <w:tcW w:w="1589" w:type="dxa"/>
            <w:noWrap/>
            <w:tcMar>
              <w:top w:w="11" w:type="dxa"/>
              <w:left w:w="11" w:type="dxa"/>
              <w:bottom w:w="0" w:type="dxa"/>
              <w:right w:w="11" w:type="dxa"/>
            </w:tcMar>
            <w:vAlign w:val="center"/>
          </w:tcPr>
          <w:p w14:paraId="6DA4A8F3" w14:textId="77777777" w:rsidR="000D5096" w:rsidRPr="00EE4A94" w:rsidRDefault="000D5096" w:rsidP="00D20A1E">
            <w:pPr>
              <w:widowControl/>
              <w:spacing w:before="60" w:after="60"/>
              <w:rPr>
                <w:rFonts w:eastAsia="Arial Unicode MS"/>
                <w:sz w:val="20"/>
                <w:szCs w:val="20"/>
              </w:rPr>
            </w:pPr>
            <w:r w:rsidRPr="00EE4A94">
              <w:rPr>
                <w:sz w:val="20"/>
                <w:szCs w:val="20"/>
              </w:rPr>
              <w:t>15 years and above</w:t>
            </w:r>
          </w:p>
        </w:tc>
        <w:tc>
          <w:tcPr>
            <w:tcW w:w="1484" w:type="dxa"/>
          </w:tcPr>
          <w:p w14:paraId="60F257CE" w14:textId="77777777" w:rsidR="000D5096" w:rsidRPr="00EE4A94" w:rsidRDefault="000D5096" w:rsidP="00D20A1E">
            <w:pPr>
              <w:widowControl/>
              <w:tabs>
                <w:tab w:val="decimal" w:pos="961"/>
              </w:tabs>
              <w:spacing w:before="60" w:after="60"/>
              <w:rPr>
                <w:rFonts w:cs="Arial"/>
                <w:sz w:val="20"/>
                <w:szCs w:val="20"/>
              </w:rPr>
            </w:pPr>
            <w:r>
              <w:rPr>
                <w:rFonts w:cs="Arial"/>
                <w:sz w:val="20"/>
                <w:szCs w:val="20"/>
              </w:rPr>
              <w:t>4,636</w:t>
            </w:r>
          </w:p>
        </w:tc>
        <w:tc>
          <w:tcPr>
            <w:tcW w:w="1648" w:type="dxa"/>
          </w:tcPr>
          <w:p w14:paraId="4C1F5878" w14:textId="77777777" w:rsidR="000D5096" w:rsidRPr="00EE4A94" w:rsidRDefault="000D5096" w:rsidP="00D20A1E">
            <w:pPr>
              <w:widowControl/>
              <w:tabs>
                <w:tab w:val="decimal" w:pos="1045"/>
              </w:tabs>
              <w:spacing w:before="60" w:after="60"/>
              <w:rPr>
                <w:rFonts w:cs="Arial"/>
                <w:sz w:val="20"/>
                <w:szCs w:val="20"/>
              </w:rPr>
            </w:pPr>
            <w:r>
              <w:rPr>
                <w:rFonts w:cs="Arial"/>
                <w:sz w:val="20"/>
                <w:szCs w:val="20"/>
              </w:rPr>
              <w:t>205</w:t>
            </w:r>
          </w:p>
        </w:tc>
        <w:tc>
          <w:tcPr>
            <w:tcW w:w="1650" w:type="dxa"/>
            <w:shd w:val="clear" w:color="auto" w:fill="D9D9D9" w:themeFill="background1" w:themeFillShade="D9"/>
          </w:tcPr>
          <w:p w14:paraId="6991DD3E" w14:textId="77777777" w:rsidR="000D5096" w:rsidRPr="00EE4A94" w:rsidRDefault="000D5096" w:rsidP="00D20A1E">
            <w:pPr>
              <w:widowControl/>
              <w:spacing w:before="60" w:after="60"/>
              <w:jc w:val="center"/>
              <w:rPr>
                <w:rFonts w:cs="Arial"/>
                <w:sz w:val="20"/>
                <w:szCs w:val="20"/>
              </w:rPr>
            </w:pPr>
          </w:p>
        </w:tc>
        <w:tc>
          <w:tcPr>
            <w:tcW w:w="1497" w:type="dxa"/>
            <w:noWrap/>
            <w:tcMar>
              <w:top w:w="11" w:type="dxa"/>
              <w:left w:w="11" w:type="dxa"/>
              <w:bottom w:w="0" w:type="dxa"/>
              <w:right w:w="11" w:type="dxa"/>
            </w:tcMar>
            <w:vAlign w:val="center"/>
          </w:tcPr>
          <w:p w14:paraId="1BE171B6" w14:textId="77777777" w:rsidR="000D5096" w:rsidRPr="00EE4A94" w:rsidRDefault="000D5096" w:rsidP="00D20A1E">
            <w:pPr>
              <w:widowControl/>
              <w:spacing w:before="60" w:after="60"/>
              <w:jc w:val="center"/>
              <w:rPr>
                <w:rFonts w:eastAsia="Arial Unicode MS" w:cs="Arial"/>
                <w:sz w:val="20"/>
                <w:szCs w:val="20"/>
              </w:rPr>
            </w:pPr>
            <w:r w:rsidRPr="00EE4A94">
              <w:rPr>
                <w:rFonts w:cs="Arial"/>
                <w:sz w:val="20"/>
                <w:szCs w:val="20"/>
              </w:rPr>
              <w:t>87</w:t>
            </w:r>
          </w:p>
        </w:tc>
        <w:tc>
          <w:tcPr>
            <w:tcW w:w="1731" w:type="dxa"/>
            <w:noWrap/>
            <w:tcMar>
              <w:top w:w="11" w:type="dxa"/>
              <w:left w:w="11" w:type="dxa"/>
              <w:bottom w:w="0" w:type="dxa"/>
              <w:right w:w="11" w:type="dxa"/>
            </w:tcMar>
            <w:vAlign w:val="center"/>
          </w:tcPr>
          <w:p w14:paraId="32D412F5" w14:textId="77777777" w:rsidR="000D5096" w:rsidRPr="00EE4A94" w:rsidRDefault="000D5096" w:rsidP="00D20A1E">
            <w:pPr>
              <w:widowControl/>
              <w:tabs>
                <w:tab w:val="decimal" w:pos="1051"/>
              </w:tabs>
              <w:spacing w:before="60" w:after="60"/>
              <w:rPr>
                <w:rFonts w:eastAsia="Arial Unicode MS" w:cs="Arial"/>
                <w:sz w:val="20"/>
                <w:szCs w:val="20"/>
              </w:rPr>
            </w:pPr>
            <w:r w:rsidRPr="00EE4A94">
              <w:rPr>
                <w:rFonts w:cs="Arial"/>
                <w:sz w:val="20"/>
                <w:szCs w:val="20"/>
              </w:rPr>
              <w:t>68</w:t>
            </w:r>
          </w:p>
        </w:tc>
        <w:tc>
          <w:tcPr>
            <w:tcW w:w="2952" w:type="dxa"/>
            <w:shd w:val="clear" w:color="auto" w:fill="D9D9D9" w:themeFill="background1" w:themeFillShade="D9"/>
            <w:noWrap/>
            <w:tcMar>
              <w:top w:w="11" w:type="dxa"/>
              <w:left w:w="11" w:type="dxa"/>
              <w:bottom w:w="0" w:type="dxa"/>
              <w:right w:w="11" w:type="dxa"/>
            </w:tcMar>
            <w:vAlign w:val="center"/>
          </w:tcPr>
          <w:p w14:paraId="0CE8118E" w14:textId="77777777" w:rsidR="000D5096" w:rsidRPr="00EE4A94" w:rsidRDefault="000D5096" w:rsidP="00D20A1E">
            <w:pPr>
              <w:widowControl/>
              <w:spacing w:before="60" w:after="60"/>
              <w:jc w:val="center"/>
              <w:rPr>
                <w:rFonts w:eastAsia="Arial Unicode MS" w:cs="Arial"/>
                <w:sz w:val="20"/>
                <w:szCs w:val="20"/>
              </w:rPr>
            </w:pPr>
            <w:r>
              <w:rPr>
                <w:rFonts w:cs="Arial"/>
                <w:sz w:val="20"/>
                <w:szCs w:val="20"/>
              </w:rPr>
              <w:t>n/a</w:t>
            </w:r>
          </w:p>
        </w:tc>
      </w:tr>
    </w:tbl>
    <w:p w14:paraId="28EFCE07" w14:textId="0CE9B920" w:rsidR="000D5096" w:rsidRPr="00E4287E" w:rsidRDefault="000D5096" w:rsidP="00D20A1E">
      <w:pPr>
        <w:widowControl/>
        <w:spacing w:before="20" w:after="20"/>
        <w:rPr>
          <w:sz w:val="18"/>
          <w:szCs w:val="18"/>
          <w:lang w:val="en-US"/>
        </w:rPr>
      </w:pPr>
      <w:r w:rsidRPr="00E4287E">
        <w:rPr>
          <w:sz w:val="18"/>
          <w:szCs w:val="18"/>
        </w:rPr>
        <w:sym w:font="Wingdings 2" w:char="F0BF"/>
      </w:r>
      <w:r w:rsidRPr="00E4287E">
        <w:rPr>
          <w:sz w:val="18"/>
          <w:szCs w:val="18"/>
        </w:rPr>
        <w:tab/>
      </w:r>
      <w:r w:rsidRPr="00E4287E">
        <w:rPr>
          <w:sz w:val="18"/>
          <w:szCs w:val="18"/>
          <w:lang w:val="en-US"/>
        </w:rPr>
        <w:t>1995 AusNNS</w:t>
      </w:r>
    </w:p>
    <w:p w14:paraId="12BFA8AE" w14:textId="77777777" w:rsidR="000D5096" w:rsidRPr="00E4287E" w:rsidRDefault="000D5096" w:rsidP="00D20A1E">
      <w:pPr>
        <w:widowControl/>
        <w:spacing w:before="20" w:after="20"/>
        <w:rPr>
          <w:sz w:val="18"/>
          <w:szCs w:val="18"/>
          <w:lang w:val="en-US"/>
        </w:rPr>
      </w:pPr>
      <w:r w:rsidRPr="00E4287E">
        <w:rPr>
          <w:rFonts w:cs="Arial"/>
          <w:sz w:val="18"/>
          <w:szCs w:val="18"/>
        </w:rPr>
        <w:t>Δ</w:t>
      </w:r>
      <w:r w:rsidRPr="00E4287E">
        <w:rPr>
          <w:rFonts w:cs="Arial"/>
          <w:sz w:val="18"/>
          <w:szCs w:val="18"/>
        </w:rPr>
        <w:tab/>
      </w:r>
      <w:r w:rsidRPr="00E4287E">
        <w:rPr>
          <w:sz w:val="18"/>
          <w:szCs w:val="18"/>
          <w:lang w:val="en-US"/>
        </w:rPr>
        <w:t>1997 NZNNS</w:t>
      </w:r>
    </w:p>
    <w:p w14:paraId="5DB6CF49" w14:textId="38D46FB8" w:rsidR="000D5096" w:rsidRPr="00E4287E" w:rsidRDefault="00A62EBB" w:rsidP="00D20A1E">
      <w:pPr>
        <w:widowControl/>
        <w:spacing w:before="20" w:after="20"/>
        <w:rPr>
          <w:sz w:val="18"/>
          <w:szCs w:val="18"/>
        </w:rPr>
      </w:pPr>
      <w:r w:rsidRPr="00E4287E">
        <w:rPr>
          <w:rFonts w:eastAsia="Arial Unicode MS" w:cs="Arial"/>
          <w:sz w:val="18"/>
          <w:szCs w:val="18"/>
        </w:rPr>
        <w:sym w:font="Webdings" w:char="F0EA"/>
      </w:r>
      <w:r w:rsidR="005126AF" w:rsidRPr="00E4287E">
        <w:rPr>
          <w:sz w:val="18"/>
          <w:szCs w:val="18"/>
        </w:rPr>
        <w:tab/>
      </w:r>
      <w:r w:rsidR="000D5096" w:rsidRPr="00E4287E">
        <w:rPr>
          <w:sz w:val="18"/>
          <w:szCs w:val="18"/>
        </w:rPr>
        <w:t>this figure is to be used as a guide only due to the small consumers in population group (n=12)</w:t>
      </w:r>
    </w:p>
    <w:p w14:paraId="493B0693" w14:textId="1FC8A6DD" w:rsidR="000D5096" w:rsidRPr="00E4287E" w:rsidRDefault="000D5096" w:rsidP="00D20A1E">
      <w:pPr>
        <w:widowControl/>
        <w:spacing w:before="20" w:after="20"/>
        <w:rPr>
          <w:sz w:val="18"/>
          <w:szCs w:val="18"/>
          <w:lang w:val="en-US"/>
        </w:rPr>
      </w:pPr>
      <w:r w:rsidRPr="00E4287E">
        <w:rPr>
          <w:sz w:val="18"/>
          <w:szCs w:val="18"/>
        </w:rPr>
        <w:t>Gr</w:t>
      </w:r>
      <w:r w:rsidR="00733E40">
        <w:rPr>
          <w:sz w:val="18"/>
          <w:szCs w:val="18"/>
        </w:rPr>
        <w:t>e</w:t>
      </w:r>
      <w:r w:rsidRPr="00E4287E">
        <w:rPr>
          <w:sz w:val="18"/>
          <w:szCs w:val="18"/>
        </w:rPr>
        <w:t>y shading indicates that data are not available due to low consumer numbers.</w:t>
      </w:r>
    </w:p>
    <w:p w14:paraId="7878142F" w14:textId="77777777" w:rsidR="000D5096" w:rsidRDefault="000D5096" w:rsidP="00D20A1E">
      <w:pPr>
        <w:widowControl/>
        <w:rPr>
          <w:lang w:val="en-US"/>
        </w:rPr>
      </w:pPr>
    </w:p>
    <w:p w14:paraId="31AB46A9" w14:textId="563F06AF" w:rsidR="000D5096" w:rsidRDefault="00FA3023" w:rsidP="00D20A1E">
      <w:pPr>
        <w:pStyle w:val="FSTableTitle"/>
        <w:keepNext/>
        <w:keepLines/>
        <w:widowControl/>
      </w:pPr>
      <w:bookmarkStart w:id="206" w:name="_Ref420332163"/>
      <w:r>
        <w:t>Table A1.</w:t>
      </w:r>
      <w:fldSimple w:instr=" SEQ Table_A1. \* ARABIC ">
        <w:r w:rsidR="00047581">
          <w:rPr>
            <w:noProof/>
          </w:rPr>
          <w:t>10</w:t>
        </w:r>
      </w:fldSimple>
      <w:bookmarkEnd w:id="206"/>
      <w:r w:rsidR="000D5096">
        <w:t>:</w:t>
      </w:r>
      <w:r w:rsidR="00F6296A">
        <w:t xml:space="preserve"> </w:t>
      </w:r>
      <w:r w:rsidR="000D5096">
        <w:t>Estimated mean protein intakes (g/day)</w:t>
      </w:r>
      <w:r w:rsidR="00463E24">
        <w:t>, excluding supplements,</w:t>
      </w:r>
      <w:r w:rsidR="000D5096">
        <w:t xml:space="preserve"> for general Australian population groups, including more recent survey data</w:t>
      </w:r>
    </w:p>
    <w:p w14:paraId="5566B331" w14:textId="77777777" w:rsidR="0023423F" w:rsidRPr="0023423F" w:rsidRDefault="0023423F" w:rsidP="002342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83"/>
        <w:gridCol w:w="1756"/>
        <w:gridCol w:w="2010"/>
        <w:gridCol w:w="2010"/>
        <w:gridCol w:w="1773"/>
        <w:gridCol w:w="2024"/>
        <w:gridCol w:w="2024"/>
      </w:tblGrid>
      <w:tr w:rsidR="000D5096" w14:paraId="5434D93A" w14:textId="77777777" w:rsidTr="00D10630">
        <w:trPr>
          <w:trHeight w:val="276"/>
        </w:trPr>
        <w:tc>
          <w:tcPr>
            <w:tcW w:w="852" w:type="pct"/>
            <w:vMerge w:val="restart"/>
            <w:tcBorders>
              <w:left w:val="single" w:sz="4" w:space="0" w:color="auto"/>
            </w:tcBorders>
            <w:shd w:val="clear" w:color="auto" w:fill="B8CCE4" w:themeFill="accent1" w:themeFillTint="66"/>
            <w:noWrap/>
            <w:tcMar>
              <w:top w:w="11" w:type="dxa"/>
              <w:left w:w="11" w:type="dxa"/>
              <w:bottom w:w="0" w:type="dxa"/>
              <w:right w:w="11" w:type="dxa"/>
            </w:tcMar>
            <w:vAlign w:val="center"/>
          </w:tcPr>
          <w:p w14:paraId="12C29757" w14:textId="77777777" w:rsidR="000D5096" w:rsidRPr="00F13FF2" w:rsidRDefault="000D5096" w:rsidP="00D20A1E">
            <w:pPr>
              <w:keepNext/>
              <w:keepLines/>
              <w:widowControl/>
              <w:spacing w:before="60" w:after="60"/>
              <w:ind w:left="-11"/>
              <w:jc w:val="center"/>
              <w:rPr>
                <w:rFonts w:eastAsia="Arial Unicode MS"/>
                <w:sz w:val="20"/>
                <w:szCs w:val="20"/>
              </w:rPr>
            </w:pPr>
            <w:r w:rsidRPr="00F13FF2">
              <w:rPr>
                <w:b/>
                <w:bCs/>
                <w:sz w:val="20"/>
                <w:szCs w:val="20"/>
              </w:rPr>
              <w:lastRenderedPageBreak/>
              <w:t>Population Group</w:t>
            </w:r>
          </w:p>
        </w:tc>
        <w:tc>
          <w:tcPr>
            <w:tcW w:w="2066" w:type="pct"/>
            <w:gridSpan w:val="3"/>
            <w:shd w:val="clear" w:color="auto" w:fill="B8CCE4" w:themeFill="accent1" w:themeFillTint="66"/>
            <w:vAlign w:val="center"/>
          </w:tcPr>
          <w:p w14:paraId="4E34A531" w14:textId="77777777" w:rsidR="000D5096" w:rsidRPr="00F13FF2" w:rsidRDefault="000D5096" w:rsidP="00D20A1E">
            <w:pPr>
              <w:keepNext/>
              <w:keepLines/>
              <w:widowControl/>
              <w:spacing w:before="60" w:after="60"/>
              <w:jc w:val="center"/>
              <w:rPr>
                <w:b/>
                <w:bCs/>
                <w:sz w:val="20"/>
                <w:szCs w:val="20"/>
              </w:rPr>
            </w:pPr>
            <w:r w:rsidRPr="00F13FF2">
              <w:rPr>
                <w:b/>
                <w:bCs/>
                <w:sz w:val="20"/>
                <w:szCs w:val="20"/>
              </w:rPr>
              <w:t>Number of survey respondents</w:t>
            </w:r>
          </w:p>
        </w:tc>
        <w:tc>
          <w:tcPr>
            <w:tcW w:w="2082" w:type="pct"/>
            <w:gridSpan w:val="3"/>
            <w:shd w:val="clear" w:color="auto" w:fill="B8CCE4" w:themeFill="accent1" w:themeFillTint="66"/>
            <w:noWrap/>
            <w:tcMar>
              <w:top w:w="11" w:type="dxa"/>
              <w:left w:w="11" w:type="dxa"/>
              <w:bottom w:w="0" w:type="dxa"/>
              <w:right w:w="11" w:type="dxa"/>
            </w:tcMar>
            <w:vAlign w:val="center"/>
          </w:tcPr>
          <w:p w14:paraId="54B238AB" w14:textId="2DF06F7D" w:rsidR="000D5096" w:rsidRPr="00F13FF2" w:rsidRDefault="00AD191F" w:rsidP="00D20A1E">
            <w:pPr>
              <w:keepNext/>
              <w:keepLines/>
              <w:widowControl/>
              <w:spacing w:before="60" w:after="60"/>
              <w:jc w:val="center"/>
              <w:rPr>
                <w:rFonts w:eastAsia="Arial Unicode MS"/>
                <w:b/>
                <w:bCs/>
                <w:sz w:val="20"/>
                <w:szCs w:val="20"/>
              </w:rPr>
            </w:pPr>
            <w:r w:rsidRPr="00F13FF2">
              <w:rPr>
                <w:b/>
                <w:bCs/>
                <w:sz w:val="20"/>
                <w:szCs w:val="20"/>
              </w:rPr>
              <w:t>Estimated m</w:t>
            </w:r>
            <w:r w:rsidR="000D5096" w:rsidRPr="00F13FF2">
              <w:rPr>
                <w:b/>
                <w:bCs/>
                <w:sz w:val="20"/>
                <w:szCs w:val="20"/>
              </w:rPr>
              <w:t xml:space="preserve">ean protein </w:t>
            </w:r>
            <w:r w:rsidRPr="00F13FF2">
              <w:rPr>
                <w:b/>
                <w:bCs/>
                <w:sz w:val="20"/>
                <w:szCs w:val="20"/>
              </w:rPr>
              <w:t>i</w:t>
            </w:r>
            <w:r w:rsidR="000D5096" w:rsidRPr="00F13FF2">
              <w:rPr>
                <w:b/>
                <w:bCs/>
                <w:sz w:val="20"/>
                <w:szCs w:val="20"/>
              </w:rPr>
              <w:t>ntake (g/day)</w:t>
            </w:r>
            <w:r w:rsidR="000D5096" w:rsidRPr="00F13FF2">
              <w:rPr>
                <w:b/>
                <w:bCs/>
                <w:sz w:val="20"/>
                <w:szCs w:val="20"/>
                <w:vertAlign w:val="superscript"/>
              </w:rPr>
              <w:sym w:font="Wingdings 2" w:char="F0D8"/>
            </w:r>
          </w:p>
        </w:tc>
      </w:tr>
      <w:tr w:rsidR="000D5096" w14:paraId="6C9F4D53" w14:textId="77777777" w:rsidTr="00D10630">
        <w:trPr>
          <w:trHeight w:val="540"/>
        </w:trPr>
        <w:tc>
          <w:tcPr>
            <w:tcW w:w="852" w:type="pct"/>
            <w:vMerge/>
            <w:tcBorders>
              <w:left w:val="single" w:sz="4" w:space="0" w:color="auto"/>
            </w:tcBorders>
            <w:shd w:val="clear" w:color="auto" w:fill="B8CCE4" w:themeFill="accent1" w:themeFillTint="66"/>
            <w:tcMar>
              <w:top w:w="11" w:type="dxa"/>
              <w:left w:w="11" w:type="dxa"/>
              <w:bottom w:w="0" w:type="dxa"/>
              <w:right w:w="11" w:type="dxa"/>
            </w:tcMar>
            <w:vAlign w:val="center"/>
          </w:tcPr>
          <w:p w14:paraId="0A7E6F7F" w14:textId="77777777" w:rsidR="000D5096" w:rsidRPr="00F13FF2" w:rsidRDefault="000D5096" w:rsidP="00D20A1E">
            <w:pPr>
              <w:keepNext/>
              <w:keepLines/>
              <w:widowControl/>
              <w:spacing w:before="60" w:after="60"/>
              <w:ind w:left="-11"/>
              <w:jc w:val="center"/>
              <w:rPr>
                <w:rFonts w:eastAsia="Arial Unicode MS"/>
                <w:b/>
                <w:bCs/>
                <w:sz w:val="20"/>
                <w:szCs w:val="20"/>
              </w:rPr>
            </w:pPr>
          </w:p>
        </w:tc>
        <w:tc>
          <w:tcPr>
            <w:tcW w:w="2066" w:type="pct"/>
            <w:gridSpan w:val="3"/>
            <w:shd w:val="clear" w:color="auto" w:fill="B8CCE4" w:themeFill="accent1" w:themeFillTint="66"/>
            <w:vAlign w:val="center"/>
          </w:tcPr>
          <w:p w14:paraId="2F88246B" w14:textId="77777777" w:rsidR="000D5096" w:rsidRPr="00F13FF2" w:rsidRDefault="000D5096" w:rsidP="00D20A1E">
            <w:pPr>
              <w:keepNext/>
              <w:keepLines/>
              <w:widowControl/>
              <w:spacing w:before="60" w:after="60"/>
              <w:jc w:val="center"/>
              <w:rPr>
                <w:b/>
                <w:i/>
                <w:sz w:val="20"/>
                <w:szCs w:val="20"/>
                <w:lang w:val="en-US"/>
              </w:rPr>
            </w:pPr>
            <w:r w:rsidRPr="00F13FF2">
              <w:rPr>
                <w:b/>
                <w:i/>
                <w:sz w:val="20"/>
                <w:szCs w:val="20"/>
                <w:lang w:val="en-US"/>
              </w:rPr>
              <w:t>General population</w:t>
            </w:r>
          </w:p>
        </w:tc>
        <w:tc>
          <w:tcPr>
            <w:tcW w:w="2082" w:type="pct"/>
            <w:gridSpan w:val="3"/>
            <w:shd w:val="clear" w:color="auto" w:fill="B8CCE4" w:themeFill="accent1" w:themeFillTint="66"/>
            <w:tcMar>
              <w:top w:w="11" w:type="dxa"/>
              <w:left w:w="11" w:type="dxa"/>
              <w:bottom w:w="0" w:type="dxa"/>
              <w:right w:w="11" w:type="dxa"/>
            </w:tcMar>
            <w:vAlign w:val="center"/>
          </w:tcPr>
          <w:p w14:paraId="14E9E913" w14:textId="77777777" w:rsidR="000D5096" w:rsidRPr="00F13FF2" w:rsidRDefault="000D5096" w:rsidP="00D20A1E">
            <w:pPr>
              <w:keepNext/>
              <w:keepLines/>
              <w:widowControl/>
              <w:spacing w:before="60" w:after="60"/>
              <w:jc w:val="center"/>
              <w:rPr>
                <w:rFonts w:eastAsia="Arial Unicode MS"/>
                <w:bCs/>
                <w:i/>
                <w:sz w:val="20"/>
                <w:szCs w:val="20"/>
              </w:rPr>
            </w:pPr>
            <w:r w:rsidRPr="00F13FF2">
              <w:rPr>
                <w:b/>
                <w:i/>
                <w:sz w:val="20"/>
                <w:szCs w:val="20"/>
                <w:lang w:val="en-US"/>
              </w:rPr>
              <w:t>General population</w:t>
            </w:r>
          </w:p>
        </w:tc>
      </w:tr>
      <w:tr w:rsidR="000D5096" w14:paraId="73FB3D2B" w14:textId="77777777" w:rsidTr="00D10630">
        <w:trPr>
          <w:trHeight w:val="540"/>
        </w:trPr>
        <w:tc>
          <w:tcPr>
            <w:tcW w:w="852" w:type="pct"/>
            <w:vMerge/>
            <w:tcBorders>
              <w:left w:val="single" w:sz="4" w:space="0" w:color="auto"/>
            </w:tcBorders>
            <w:shd w:val="clear" w:color="auto" w:fill="B8CCE4" w:themeFill="accent1" w:themeFillTint="66"/>
            <w:tcMar>
              <w:top w:w="11" w:type="dxa"/>
              <w:left w:w="11" w:type="dxa"/>
              <w:bottom w:w="0" w:type="dxa"/>
              <w:right w:w="11" w:type="dxa"/>
            </w:tcMar>
            <w:vAlign w:val="center"/>
          </w:tcPr>
          <w:p w14:paraId="366657AC" w14:textId="77777777" w:rsidR="000D5096" w:rsidRPr="00F13FF2" w:rsidRDefault="000D5096" w:rsidP="00D20A1E">
            <w:pPr>
              <w:keepNext/>
              <w:keepLines/>
              <w:widowControl/>
              <w:spacing w:before="60" w:after="60"/>
              <w:ind w:left="-11"/>
              <w:jc w:val="center"/>
              <w:rPr>
                <w:b/>
                <w:bCs/>
                <w:sz w:val="20"/>
                <w:szCs w:val="20"/>
              </w:rPr>
            </w:pPr>
          </w:p>
        </w:tc>
        <w:tc>
          <w:tcPr>
            <w:tcW w:w="628" w:type="pct"/>
            <w:shd w:val="clear" w:color="auto" w:fill="B8CCE4" w:themeFill="accent1" w:themeFillTint="66"/>
            <w:vAlign w:val="center"/>
          </w:tcPr>
          <w:p w14:paraId="0F3E3854" w14:textId="77777777" w:rsidR="000D5096" w:rsidRPr="00F13FF2" w:rsidRDefault="000D5096" w:rsidP="00D20A1E">
            <w:pPr>
              <w:keepNext/>
              <w:keepLines/>
              <w:widowControl/>
              <w:spacing w:before="60" w:after="60"/>
              <w:jc w:val="center"/>
              <w:rPr>
                <w:b/>
                <w:i/>
                <w:sz w:val="20"/>
                <w:szCs w:val="20"/>
                <w:lang w:val="en-US"/>
              </w:rPr>
            </w:pPr>
            <w:r w:rsidRPr="00F13FF2">
              <w:rPr>
                <w:b/>
                <w:i/>
                <w:sz w:val="20"/>
                <w:szCs w:val="20"/>
                <w:lang w:val="en-US"/>
              </w:rPr>
              <w:t>1995 AusNNS</w:t>
            </w:r>
          </w:p>
        </w:tc>
        <w:tc>
          <w:tcPr>
            <w:tcW w:w="719" w:type="pct"/>
            <w:tcBorders>
              <w:bottom w:val="single" w:sz="4" w:space="0" w:color="auto"/>
            </w:tcBorders>
            <w:shd w:val="clear" w:color="auto" w:fill="B8CCE4" w:themeFill="accent1" w:themeFillTint="66"/>
            <w:vAlign w:val="center"/>
          </w:tcPr>
          <w:p w14:paraId="6103B5FF" w14:textId="77777777" w:rsidR="000D5096" w:rsidRPr="00F13FF2" w:rsidRDefault="000D5096" w:rsidP="00D20A1E">
            <w:pPr>
              <w:keepNext/>
              <w:keepLines/>
              <w:widowControl/>
              <w:spacing w:before="60" w:after="60"/>
              <w:jc w:val="center"/>
              <w:rPr>
                <w:b/>
                <w:i/>
                <w:sz w:val="20"/>
                <w:szCs w:val="20"/>
                <w:lang w:val="en-US"/>
              </w:rPr>
            </w:pPr>
            <w:r w:rsidRPr="00F13FF2">
              <w:rPr>
                <w:b/>
                <w:i/>
                <w:sz w:val="20"/>
                <w:szCs w:val="20"/>
                <w:lang w:val="en-US"/>
              </w:rPr>
              <w:t>2007 ANCNPAS</w:t>
            </w:r>
          </w:p>
        </w:tc>
        <w:tc>
          <w:tcPr>
            <w:tcW w:w="719" w:type="pct"/>
            <w:shd w:val="clear" w:color="auto" w:fill="B8CCE4" w:themeFill="accent1" w:themeFillTint="66"/>
            <w:vAlign w:val="center"/>
          </w:tcPr>
          <w:p w14:paraId="6669DC6A" w14:textId="77777777" w:rsidR="000D5096" w:rsidRPr="00F13FF2" w:rsidRDefault="000D5096" w:rsidP="00D20A1E">
            <w:pPr>
              <w:keepNext/>
              <w:keepLines/>
              <w:widowControl/>
              <w:spacing w:before="60" w:after="60"/>
              <w:jc w:val="center"/>
              <w:rPr>
                <w:b/>
                <w:i/>
                <w:sz w:val="20"/>
                <w:szCs w:val="20"/>
                <w:lang w:val="en-US"/>
              </w:rPr>
            </w:pPr>
            <w:r w:rsidRPr="00F13FF2">
              <w:rPr>
                <w:b/>
                <w:i/>
                <w:sz w:val="20"/>
                <w:szCs w:val="20"/>
                <w:lang w:val="en-US"/>
              </w:rPr>
              <w:t>2011-12 NNPAS</w:t>
            </w:r>
          </w:p>
        </w:tc>
        <w:tc>
          <w:tcPr>
            <w:tcW w:w="634" w:type="pct"/>
            <w:shd w:val="clear" w:color="auto" w:fill="B8CCE4" w:themeFill="accent1" w:themeFillTint="66"/>
            <w:tcMar>
              <w:top w:w="11" w:type="dxa"/>
              <w:left w:w="11" w:type="dxa"/>
              <w:bottom w:w="0" w:type="dxa"/>
              <w:right w:w="11" w:type="dxa"/>
            </w:tcMar>
            <w:vAlign w:val="center"/>
          </w:tcPr>
          <w:p w14:paraId="0639B41D" w14:textId="77777777" w:rsidR="000D5096" w:rsidRPr="00F13FF2" w:rsidRDefault="000D5096" w:rsidP="00D20A1E">
            <w:pPr>
              <w:keepNext/>
              <w:keepLines/>
              <w:widowControl/>
              <w:spacing w:before="60" w:after="60"/>
              <w:jc w:val="center"/>
              <w:rPr>
                <w:b/>
                <w:i/>
                <w:sz w:val="20"/>
                <w:szCs w:val="20"/>
                <w:lang w:val="en-US"/>
              </w:rPr>
            </w:pPr>
            <w:r w:rsidRPr="00F13FF2">
              <w:rPr>
                <w:b/>
                <w:i/>
                <w:sz w:val="20"/>
                <w:szCs w:val="20"/>
                <w:lang w:val="en-US"/>
              </w:rPr>
              <w:t>1995 AusNNS</w:t>
            </w:r>
          </w:p>
        </w:tc>
        <w:tc>
          <w:tcPr>
            <w:tcW w:w="724" w:type="pct"/>
            <w:tcBorders>
              <w:bottom w:val="single" w:sz="4" w:space="0" w:color="auto"/>
            </w:tcBorders>
            <w:shd w:val="clear" w:color="auto" w:fill="B8CCE4" w:themeFill="accent1" w:themeFillTint="66"/>
            <w:tcMar>
              <w:top w:w="11" w:type="dxa"/>
              <w:left w:w="11" w:type="dxa"/>
              <w:bottom w:w="0" w:type="dxa"/>
              <w:right w:w="11" w:type="dxa"/>
            </w:tcMar>
            <w:vAlign w:val="center"/>
          </w:tcPr>
          <w:p w14:paraId="6EBF7BB2" w14:textId="77777777" w:rsidR="000D5096" w:rsidRPr="00F13FF2" w:rsidRDefault="000D5096" w:rsidP="00D20A1E">
            <w:pPr>
              <w:keepNext/>
              <w:keepLines/>
              <w:widowControl/>
              <w:spacing w:before="60" w:after="60"/>
              <w:jc w:val="center"/>
              <w:rPr>
                <w:b/>
                <w:i/>
                <w:sz w:val="20"/>
                <w:szCs w:val="20"/>
                <w:lang w:val="en-US"/>
              </w:rPr>
            </w:pPr>
            <w:r w:rsidRPr="00F13FF2">
              <w:rPr>
                <w:b/>
                <w:i/>
                <w:sz w:val="20"/>
                <w:szCs w:val="20"/>
                <w:lang w:val="en-US"/>
              </w:rPr>
              <w:t>2007 ANCNPAS</w:t>
            </w:r>
          </w:p>
        </w:tc>
        <w:tc>
          <w:tcPr>
            <w:tcW w:w="724" w:type="pct"/>
            <w:shd w:val="clear" w:color="auto" w:fill="B8CCE4" w:themeFill="accent1" w:themeFillTint="66"/>
            <w:noWrap/>
            <w:tcMar>
              <w:top w:w="11" w:type="dxa"/>
              <w:left w:w="11" w:type="dxa"/>
              <w:bottom w:w="0" w:type="dxa"/>
              <w:right w:w="11" w:type="dxa"/>
            </w:tcMar>
            <w:vAlign w:val="center"/>
          </w:tcPr>
          <w:p w14:paraId="42F96096" w14:textId="1A679388" w:rsidR="000D5096" w:rsidRPr="00F13FF2" w:rsidRDefault="000D5096" w:rsidP="00D20A1E">
            <w:pPr>
              <w:keepNext/>
              <w:keepLines/>
              <w:widowControl/>
              <w:spacing w:before="60" w:after="60"/>
              <w:jc w:val="center"/>
              <w:rPr>
                <w:b/>
                <w:i/>
                <w:sz w:val="20"/>
                <w:szCs w:val="20"/>
                <w:lang w:val="en-US"/>
              </w:rPr>
            </w:pPr>
            <w:r w:rsidRPr="00F13FF2">
              <w:rPr>
                <w:b/>
                <w:i/>
                <w:sz w:val="20"/>
                <w:szCs w:val="20"/>
                <w:lang w:val="en-US"/>
              </w:rPr>
              <w:t>2011-12 NNPAS</w:t>
            </w:r>
            <w:r w:rsidR="00934B60" w:rsidRPr="00F13FF2">
              <w:rPr>
                <w:rFonts w:cs="Arial"/>
                <w:b/>
                <w:sz w:val="20"/>
                <w:szCs w:val="20"/>
                <w:vertAlign w:val="superscript"/>
              </w:rPr>
              <w:sym w:font="Wingdings" w:char="F07A"/>
            </w:r>
          </w:p>
        </w:tc>
      </w:tr>
      <w:tr w:rsidR="000D5096" w14:paraId="0DD9A23B" w14:textId="77777777" w:rsidTr="000D5096">
        <w:trPr>
          <w:trHeight w:val="264"/>
        </w:trPr>
        <w:tc>
          <w:tcPr>
            <w:tcW w:w="852" w:type="pct"/>
            <w:noWrap/>
            <w:tcMar>
              <w:top w:w="15" w:type="dxa"/>
              <w:left w:w="11" w:type="dxa"/>
              <w:bottom w:w="0" w:type="dxa"/>
              <w:right w:w="11" w:type="dxa"/>
            </w:tcMar>
            <w:vAlign w:val="center"/>
          </w:tcPr>
          <w:p w14:paraId="0866A34B" w14:textId="77777777" w:rsidR="000D5096" w:rsidRPr="00F13FF2" w:rsidRDefault="000D5096" w:rsidP="00D20A1E">
            <w:pPr>
              <w:keepNext/>
              <w:keepLines/>
              <w:widowControl/>
              <w:spacing w:before="60" w:after="60"/>
              <w:rPr>
                <w:rFonts w:eastAsia="Arial Unicode MS"/>
                <w:sz w:val="20"/>
                <w:szCs w:val="20"/>
              </w:rPr>
            </w:pPr>
            <w:r w:rsidRPr="00F13FF2">
              <w:rPr>
                <w:sz w:val="20"/>
                <w:szCs w:val="20"/>
              </w:rPr>
              <w:t>2 years and above</w:t>
            </w:r>
          </w:p>
        </w:tc>
        <w:tc>
          <w:tcPr>
            <w:tcW w:w="628" w:type="pct"/>
          </w:tcPr>
          <w:p w14:paraId="649333B5" w14:textId="77777777" w:rsidR="000D5096" w:rsidRPr="00F13FF2" w:rsidRDefault="000D5096" w:rsidP="00D20A1E">
            <w:pPr>
              <w:keepNext/>
              <w:keepLines/>
              <w:widowControl/>
              <w:tabs>
                <w:tab w:val="decimal" w:pos="1172"/>
              </w:tabs>
              <w:spacing w:before="60" w:after="60"/>
              <w:rPr>
                <w:rFonts w:cs="Arial"/>
                <w:sz w:val="20"/>
                <w:szCs w:val="20"/>
              </w:rPr>
            </w:pPr>
            <w:r w:rsidRPr="00F13FF2">
              <w:rPr>
                <w:rFonts w:cs="Arial"/>
                <w:sz w:val="20"/>
                <w:szCs w:val="20"/>
              </w:rPr>
              <w:t>13,858</w:t>
            </w:r>
          </w:p>
        </w:tc>
        <w:tc>
          <w:tcPr>
            <w:tcW w:w="719" w:type="pct"/>
            <w:shd w:val="clear" w:color="auto" w:fill="D9D9D9" w:themeFill="background1" w:themeFillShade="D9"/>
          </w:tcPr>
          <w:p w14:paraId="7E33A12F" w14:textId="77777777" w:rsidR="000D5096" w:rsidRPr="00F13FF2" w:rsidRDefault="000D5096" w:rsidP="00D20A1E">
            <w:pPr>
              <w:keepNext/>
              <w:keepLines/>
              <w:widowControl/>
              <w:tabs>
                <w:tab w:val="decimal" w:pos="1045"/>
              </w:tabs>
              <w:spacing w:before="60" w:after="60"/>
              <w:rPr>
                <w:rFonts w:cs="Arial"/>
                <w:sz w:val="20"/>
                <w:szCs w:val="20"/>
              </w:rPr>
            </w:pPr>
            <w:r w:rsidRPr="00F13FF2">
              <w:rPr>
                <w:rFonts w:cs="Arial"/>
                <w:sz w:val="20"/>
                <w:szCs w:val="20"/>
              </w:rPr>
              <w:t>n/a</w:t>
            </w:r>
          </w:p>
        </w:tc>
        <w:tc>
          <w:tcPr>
            <w:tcW w:w="719" w:type="pct"/>
            <w:tcBorders>
              <w:bottom w:val="single" w:sz="4" w:space="0" w:color="auto"/>
            </w:tcBorders>
          </w:tcPr>
          <w:p w14:paraId="1DBB80A3" w14:textId="4117463C" w:rsidR="000D5096" w:rsidRPr="00F13FF2" w:rsidRDefault="009B508A" w:rsidP="00D20A1E">
            <w:pPr>
              <w:keepNext/>
              <w:keepLines/>
              <w:widowControl/>
              <w:spacing w:before="60" w:after="60"/>
              <w:jc w:val="center"/>
              <w:rPr>
                <w:rFonts w:cs="Arial"/>
                <w:sz w:val="20"/>
                <w:szCs w:val="20"/>
              </w:rPr>
            </w:pPr>
            <w:r w:rsidRPr="00F13FF2">
              <w:rPr>
                <w:rFonts w:cs="Arial"/>
                <w:sz w:val="20"/>
                <w:szCs w:val="20"/>
              </w:rPr>
              <w:t>12,153</w:t>
            </w:r>
          </w:p>
        </w:tc>
        <w:tc>
          <w:tcPr>
            <w:tcW w:w="634" w:type="pct"/>
            <w:noWrap/>
            <w:tcMar>
              <w:top w:w="15" w:type="dxa"/>
              <w:left w:w="11" w:type="dxa"/>
              <w:bottom w:w="0" w:type="dxa"/>
              <w:right w:w="11" w:type="dxa"/>
            </w:tcMar>
            <w:vAlign w:val="center"/>
          </w:tcPr>
          <w:p w14:paraId="3D42AABB" w14:textId="77777777" w:rsidR="000D5096" w:rsidRPr="00F13FF2" w:rsidRDefault="000D5096" w:rsidP="00D20A1E">
            <w:pPr>
              <w:keepNext/>
              <w:keepLines/>
              <w:widowControl/>
              <w:spacing w:before="60" w:after="60"/>
              <w:jc w:val="center"/>
              <w:rPr>
                <w:rFonts w:eastAsia="Arial Unicode MS" w:cs="Arial"/>
                <w:sz w:val="20"/>
                <w:szCs w:val="20"/>
              </w:rPr>
            </w:pPr>
            <w:r w:rsidRPr="00F13FF2">
              <w:rPr>
                <w:rFonts w:cs="Arial"/>
                <w:sz w:val="20"/>
                <w:szCs w:val="20"/>
              </w:rPr>
              <w:t>86</w:t>
            </w:r>
          </w:p>
        </w:tc>
        <w:tc>
          <w:tcPr>
            <w:tcW w:w="724" w:type="pct"/>
            <w:shd w:val="clear" w:color="auto" w:fill="D9D9D9" w:themeFill="background1" w:themeFillShade="D9"/>
            <w:noWrap/>
            <w:tcMar>
              <w:top w:w="15" w:type="dxa"/>
              <w:left w:w="11" w:type="dxa"/>
              <w:bottom w:w="0" w:type="dxa"/>
              <w:right w:w="11" w:type="dxa"/>
            </w:tcMar>
            <w:vAlign w:val="center"/>
          </w:tcPr>
          <w:p w14:paraId="419CA6A5" w14:textId="77777777" w:rsidR="000D5096" w:rsidRPr="00F13FF2" w:rsidRDefault="000D5096"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n/a</w:t>
            </w:r>
          </w:p>
        </w:tc>
        <w:tc>
          <w:tcPr>
            <w:tcW w:w="724" w:type="pct"/>
            <w:tcBorders>
              <w:bottom w:val="single" w:sz="4" w:space="0" w:color="auto"/>
            </w:tcBorders>
            <w:noWrap/>
            <w:tcMar>
              <w:top w:w="11" w:type="dxa"/>
              <w:left w:w="11" w:type="dxa"/>
              <w:bottom w:w="0" w:type="dxa"/>
              <w:right w:w="11" w:type="dxa"/>
            </w:tcMar>
            <w:vAlign w:val="center"/>
          </w:tcPr>
          <w:p w14:paraId="31B1D232" w14:textId="77777777" w:rsidR="000D5096" w:rsidRPr="00F13FF2" w:rsidRDefault="000D5096" w:rsidP="00D20A1E">
            <w:pPr>
              <w:pStyle w:val="E-mailSignature"/>
              <w:keepNext/>
              <w:keepLines/>
              <w:spacing w:before="60" w:after="60"/>
              <w:jc w:val="center"/>
              <w:rPr>
                <w:rFonts w:eastAsia="Arial Unicode MS" w:cs="Arial"/>
                <w:lang w:val="en-GB" w:bidi="ar-SA"/>
              </w:rPr>
            </w:pPr>
            <w:r w:rsidRPr="00F13FF2">
              <w:rPr>
                <w:rFonts w:eastAsia="Arial Unicode MS" w:cs="Arial"/>
                <w:lang w:val="en-GB" w:bidi="ar-SA"/>
              </w:rPr>
              <w:t>88</w:t>
            </w:r>
          </w:p>
        </w:tc>
      </w:tr>
      <w:tr w:rsidR="000D5096" w14:paraId="6D509A56" w14:textId="77777777" w:rsidTr="000D5096">
        <w:trPr>
          <w:trHeight w:val="264"/>
        </w:trPr>
        <w:tc>
          <w:tcPr>
            <w:tcW w:w="852" w:type="pct"/>
            <w:noWrap/>
            <w:tcMar>
              <w:top w:w="15" w:type="dxa"/>
              <w:left w:w="11" w:type="dxa"/>
              <w:bottom w:w="0" w:type="dxa"/>
              <w:right w:w="11" w:type="dxa"/>
            </w:tcMar>
            <w:vAlign w:val="center"/>
          </w:tcPr>
          <w:p w14:paraId="713171A5" w14:textId="17F5D4E1" w:rsidR="000D5096" w:rsidRPr="00F13FF2" w:rsidRDefault="000D5096" w:rsidP="00D20A1E">
            <w:pPr>
              <w:keepNext/>
              <w:keepLines/>
              <w:widowControl/>
              <w:spacing w:before="60" w:after="60"/>
              <w:rPr>
                <w:rFonts w:eastAsia="Arial Unicode MS"/>
                <w:sz w:val="20"/>
                <w:szCs w:val="20"/>
              </w:rPr>
            </w:pPr>
            <w:r w:rsidRPr="00F13FF2">
              <w:rPr>
                <w:sz w:val="20"/>
                <w:szCs w:val="20"/>
              </w:rPr>
              <w:t>2</w:t>
            </w:r>
            <w:r w:rsidR="00733E40">
              <w:rPr>
                <w:sz w:val="20"/>
                <w:szCs w:val="20"/>
              </w:rPr>
              <w:t>–</w:t>
            </w:r>
            <w:r w:rsidRPr="00F13FF2">
              <w:rPr>
                <w:sz w:val="20"/>
                <w:szCs w:val="20"/>
              </w:rPr>
              <w:t>4 years</w:t>
            </w:r>
          </w:p>
        </w:tc>
        <w:tc>
          <w:tcPr>
            <w:tcW w:w="628" w:type="pct"/>
          </w:tcPr>
          <w:p w14:paraId="10E1BA56" w14:textId="77777777" w:rsidR="000D5096" w:rsidRPr="00F13FF2" w:rsidRDefault="000D5096" w:rsidP="00D20A1E">
            <w:pPr>
              <w:keepNext/>
              <w:keepLines/>
              <w:widowControl/>
              <w:tabs>
                <w:tab w:val="decimal" w:pos="1172"/>
              </w:tabs>
              <w:spacing w:before="60" w:after="60"/>
              <w:rPr>
                <w:rFonts w:cs="Arial"/>
                <w:sz w:val="20"/>
                <w:szCs w:val="20"/>
              </w:rPr>
            </w:pPr>
            <w:r w:rsidRPr="00F13FF2">
              <w:rPr>
                <w:rFonts w:cs="Arial"/>
                <w:sz w:val="20"/>
                <w:szCs w:val="20"/>
              </w:rPr>
              <w:t>583</w:t>
            </w:r>
          </w:p>
        </w:tc>
        <w:tc>
          <w:tcPr>
            <w:tcW w:w="719" w:type="pct"/>
          </w:tcPr>
          <w:p w14:paraId="3EB61E3A" w14:textId="2B6E7AEB" w:rsidR="000D5096" w:rsidRPr="00F13FF2" w:rsidRDefault="009B508A" w:rsidP="00D20A1E">
            <w:pPr>
              <w:keepNext/>
              <w:keepLines/>
              <w:widowControl/>
              <w:tabs>
                <w:tab w:val="decimal" w:pos="1045"/>
              </w:tabs>
              <w:spacing w:before="60" w:after="60"/>
              <w:rPr>
                <w:rFonts w:cs="Arial"/>
                <w:sz w:val="20"/>
                <w:szCs w:val="20"/>
              </w:rPr>
            </w:pPr>
            <w:r w:rsidRPr="00F13FF2">
              <w:rPr>
                <w:rFonts w:cs="Arial"/>
                <w:sz w:val="20"/>
                <w:szCs w:val="20"/>
              </w:rPr>
              <w:t>911</w:t>
            </w:r>
          </w:p>
        </w:tc>
        <w:tc>
          <w:tcPr>
            <w:tcW w:w="719" w:type="pct"/>
            <w:shd w:val="clear" w:color="auto" w:fill="D9D9D9" w:themeFill="background1" w:themeFillShade="D9"/>
          </w:tcPr>
          <w:p w14:paraId="6BB27E9E" w14:textId="77777777" w:rsidR="000D5096" w:rsidRPr="00F13FF2" w:rsidRDefault="000D5096" w:rsidP="00D20A1E">
            <w:pPr>
              <w:keepNext/>
              <w:keepLines/>
              <w:widowControl/>
              <w:spacing w:before="60" w:after="60"/>
              <w:jc w:val="center"/>
              <w:rPr>
                <w:rFonts w:cs="Arial"/>
                <w:sz w:val="20"/>
                <w:szCs w:val="20"/>
              </w:rPr>
            </w:pPr>
            <w:r w:rsidRPr="00F13FF2">
              <w:rPr>
                <w:rFonts w:cs="Arial"/>
                <w:sz w:val="20"/>
                <w:szCs w:val="20"/>
              </w:rPr>
              <w:t>n/a</w:t>
            </w:r>
          </w:p>
        </w:tc>
        <w:tc>
          <w:tcPr>
            <w:tcW w:w="634" w:type="pct"/>
            <w:noWrap/>
            <w:tcMar>
              <w:top w:w="15" w:type="dxa"/>
              <w:left w:w="11" w:type="dxa"/>
              <w:bottom w:w="0" w:type="dxa"/>
              <w:right w:w="11" w:type="dxa"/>
            </w:tcMar>
            <w:vAlign w:val="center"/>
          </w:tcPr>
          <w:p w14:paraId="39B074A7" w14:textId="77777777" w:rsidR="000D5096" w:rsidRPr="00F13FF2" w:rsidRDefault="000D5096" w:rsidP="00D20A1E">
            <w:pPr>
              <w:keepNext/>
              <w:keepLines/>
              <w:widowControl/>
              <w:spacing w:before="60" w:after="60"/>
              <w:jc w:val="center"/>
              <w:rPr>
                <w:rFonts w:eastAsia="Arial Unicode MS" w:cs="Arial"/>
                <w:sz w:val="20"/>
                <w:szCs w:val="20"/>
              </w:rPr>
            </w:pPr>
            <w:r w:rsidRPr="00F13FF2">
              <w:rPr>
                <w:rFonts w:cs="Arial"/>
                <w:sz w:val="20"/>
                <w:szCs w:val="20"/>
              </w:rPr>
              <w:t>54</w:t>
            </w:r>
          </w:p>
        </w:tc>
        <w:tc>
          <w:tcPr>
            <w:tcW w:w="724" w:type="pct"/>
            <w:noWrap/>
            <w:tcMar>
              <w:top w:w="15" w:type="dxa"/>
              <w:left w:w="11" w:type="dxa"/>
              <w:bottom w:w="0" w:type="dxa"/>
              <w:right w:w="11" w:type="dxa"/>
            </w:tcMar>
            <w:vAlign w:val="center"/>
          </w:tcPr>
          <w:p w14:paraId="4177EAE2" w14:textId="77777777" w:rsidR="000D5096" w:rsidRPr="00F13FF2" w:rsidRDefault="000D5096"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62</w:t>
            </w:r>
          </w:p>
        </w:tc>
        <w:tc>
          <w:tcPr>
            <w:tcW w:w="724" w:type="pct"/>
            <w:shd w:val="clear" w:color="auto" w:fill="D9D9D9" w:themeFill="background1" w:themeFillShade="D9"/>
            <w:noWrap/>
            <w:tcMar>
              <w:top w:w="11" w:type="dxa"/>
              <w:left w:w="11" w:type="dxa"/>
              <w:bottom w:w="0" w:type="dxa"/>
              <w:right w:w="11" w:type="dxa"/>
            </w:tcMar>
          </w:tcPr>
          <w:p w14:paraId="307AAD21" w14:textId="77777777" w:rsidR="000D5096" w:rsidRPr="00F13FF2" w:rsidRDefault="000D5096" w:rsidP="00D20A1E">
            <w:pPr>
              <w:keepNext/>
              <w:keepLines/>
              <w:widowControl/>
              <w:spacing w:before="60" w:after="60"/>
              <w:jc w:val="center"/>
              <w:rPr>
                <w:rFonts w:eastAsia="Arial Unicode MS" w:cs="Arial"/>
                <w:sz w:val="20"/>
                <w:szCs w:val="20"/>
              </w:rPr>
            </w:pPr>
            <w:r w:rsidRPr="00F13FF2">
              <w:rPr>
                <w:rFonts w:cs="Arial"/>
                <w:sz w:val="20"/>
                <w:szCs w:val="20"/>
              </w:rPr>
              <w:t>n/a</w:t>
            </w:r>
          </w:p>
        </w:tc>
      </w:tr>
      <w:tr w:rsidR="000D5096" w14:paraId="6307F242" w14:textId="77777777" w:rsidTr="000D5096">
        <w:trPr>
          <w:trHeight w:val="264"/>
        </w:trPr>
        <w:tc>
          <w:tcPr>
            <w:tcW w:w="852" w:type="pct"/>
            <w:noWrap/>
            <w:tcMar>
              <w:top w:w="15" w:type="dxa"/>
              <w:left w:w="11" w:type="dxa"/>
              <w:bottom w:w="0" w:type="dxa"/>
              <w:right w:w="11" w:type="dxa"/>
            </w:tcMar>
            <w:vAlign w:val="center"/>
          </w:tcPr>
          <w:p w14:paraId="483DBCCB" w14:textId="2436F430" w:rsidR="000D5096" w:rsidRPr="00F13FF2" w:rsidRDefault="000D5096" w:rsidP="00D20A1E">
            <w:pPr>
              <w:keepNext/>
              <w:keepLines/>
              <w:widowControl/>
              <w:spacing w:before="60" w:after="60"/>
              <w:rPr>
                <w:rFonts w:eastAsia="Arial Unicode MS"/>
                <w:sz w:val="20"/>
                <w:szCs w:val="20"/>
              </w:rPr>
            </w:pPr>
            <w:r w:rsidRPr="00F13FF2">
              <w:rPr>
                <w:sz w:val="20"/>
                <w:szCs w:val="20"/>
              </w:rPr>
              <w:t>5</w:t>
            </w:r>
            <w:r w:rsidR="00733E40">
              <w:rPr>
                <w:sz w:val="20"/>
                <w:szCs w:val="20"/>
              </w:rPr>
              <w:t>–</w:t>
            </w:r>
            <w:r w:rsidRPr="00F13FF2">
              <w:rPr>
                <w:sz w:val="20"/>
                <w:szCs w:val="20"/>
              </w:rPr>
              <w:t>14 years</w:t>
            </w:r>
          </w:p>
        </w:tc>
        <w:tc>
          <w:tcPr>
            <w:tcW w:w="628" w:type="pct"/>
          </w:tcPr>
          <w:p w14:paraId="038092A3" w14:textId="77777777" w:rsidR="000D5096" w:rsidRPr="00F13FF2" w:rsidRDefault="000D5096" w:rsidP="00D20A1E">
            <w:pPr>
              <w:keepNext/>
              <w:keepLines/>
              <w:widowControl/>
              <w:tabs>
                <w:tab w:val="decimal" w:pos="1172"/>
              </w:tabs>
              <w:spacing w:before="60" w:after="60"/>
              <w:rPr>
                <w:rFonts w:cs="Arial"/>
                <w:sz w:val="20"/>
                <w:szCs w:val="20"/>
              </w:rPr>
            </w:pPr>
            <w:r w:rsidRPr="00F13FF2">
              <w:rPr>
                <w:rFonts w:cs="Arial"/>
                <w:sz w:val="20"/>
                <w:szCs w:val="20"/>
              </w:rPr>
              <w:t>1,844</w:t>
            </w:r>
          </w:p>
        </w:tc>
        <w:tc>
          <w:tcPr>
            <w:tcW w:w="719" w:type="pct"/>
            <w:tcBorders>
              <w:bottom w:val="single" w:sz="4" w:space="0" w:color="auto"/>
            </w:tcBorders>
          </w:tcPr>
          <w:p w14:paraId="7686375A" w14:textId="08E4F7C3" w:rsidR="000D5096" w:rsidRPr="00F13FF2" w:rsidRDefault="009B508A" w:rsidP="00D20A1E">
            <w:pPr>
              <w:keepNext/>
              <w:keepLines/>
              <w:widowControl/>
              <w:tabs>
                <w:tab w:val="decimal" w:pos="1045"/>
              </w:tabs>
              <w:spacing w:before="60" w:after="60"/>
              <w:rPr>
                <w:rFonts w:cs="Arial"/>
                <w:sz w:val="20"/>
                <w:szCs w:val="20"/>
              </w:rPr>
            </w:pPr>
            <w:r w:rsidRPr="00F13FF2">
              <w:rPr>
                <w:rFonts w:cs="Arial"/>
                <w:sz w:val="20"/>
                <w:szCs w:val="20"/>
              </w:rPr>
              <w:t>2,997</w:t>
            </w:r>
          </w:p>
        </w:tc>
        <w:tc>
          <w:tcPr>
            <w:tcW w:w="719" w:type="pct"/>
            <w:shd w:val="clear" w:color="auto" w:fill="D9D9D9" w:themeFill="background1" w:themeFillShade="D9"/>
          </w:tcPr>
          <w:p w14:paraId="1606641F" w14:textId="77777777" w:rsidR="000D5096" w:rsidRPr="00F13FF2" w:rsidRDefault="000D5096" w:rsidP="00D20A1E">
            <w:pPr>
              <w:keepNext/>
              <w:keepLines/>
              <w:widowControl/>
              <w:spacing w:before="60" w:after="60"/>
              <w:jc w:val="center"/>
              <w:rPr>
                <w:rFonts w:cs="Arial"/>
                <w:sz w:val="20"/>
                <w:szCs w:val="20"/>
              </w:rPr>
            </w:pPr>
            <w:r w:rsidRPr="00F13FF2">
              <w:rPr>
                <w:rFonts w:cs="Arial"/>
                <w:sz w:val="20"/>
                <w:szCs w:val="20"/>
              </w:rPr>
              <w:t>n/a</w:t>
            </w:r>
          </w:p>
        </w:tc>
        <w:tc>
          <w:tcPr>
            <w:tcW w:w="634" w:type="pct"/>
            <w:noWrap/>
            <w:tcMar>
              <w:top w:w="15" w:type="dxa"/>
              <w:left w:w="11" w:type="dxa"/>
              <w:bottom w:w="0" w:type="dxa"/>
              <w:right w:w="11" w:type="dxa"/>
            </w:tcMar>
            <w:vAlign w:val="center"/>
          </w:tcPr>
          <w:p w14:paraId="0E3BA672" w14:textId="77777777" w:rsidR="000D5096" w:rsidRPr="00F13FF2" w:rsidRDefault="000D5096" w:rsidP="00D20A1E">
            <w:pPr>
              <w:keepNext/>
              <w:keepLines/>
              <w:widowControl/>
              <w:spacing w:before="60" w:after="60"/>
              <w:jc w:val="center"/>
              <w:rPr>
                <w:rFonts w:eastAsia="Arial Unicode MS" w:cs="Arial"/>
                <w:sz w:val="20"/>
                <w:szCs w:val="20"/>
              </w:rPr>
            </w:pPr>
            <w:r w:rsidRPr="00F13FF2">
              <w:rPr>
                <w:rFonts w:cs="Arial"/>
                <w:sz w:val="20"/>
                <w:szCs w:val="20"/>
              </w:rPr>
              <w:t>73</w:t>
            </w:r>
          </w:p>
        </w:tc>
        <w:tc>
          <w:tcPr>
            <w:tcW w:w="724" w:type="pct"/>
            <w:tcBorders>
              <w:bottom w:val="single" w:sz="4" w:space="0" w:color="auto"/>
            </w:tcBorders>
            <w:noWrap/>
            <w:tcMar>
              <w:top w:w="15" w:type="dxa"/>
              <w:left w:w="11" w:type="dxa"/>
              <w:bottom w:w="0" w:type="dxa"/>
              <w:right w:w="11" w:type="dxa"/>
            </w:tcMar>
            <w:vAlign w:val="center"/>
          </w:tcPr>
          <w:p w14:paraId="216D2B33" w14:textId="77777777" w:rsidR="000D5096" w:rsidRPr="00F13FF2" w:rsidRDefault="000D5096"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82</w:t>
            </w:r>
          </w:p>
        </w:tc>
        <w:tc>
          <w:tcPr>
            <w:tcW w:w="724" w:type="pct"/>
            <w:shd w:val="clear" w:color="auto" w:fill="D9D9D9" w:themeFill="background1" w:themeFillShade="D9"/>
            <w:noWrap/>
            <w:tcMar>
              <w:top w:w="11" w:type="dxa"/>
              <w:left w:w="11" w:type="dxa"/>
              <w:bottom w:w="0" w:type="dxa"/>
              <w:right w:w="11" w:type="dxa"/>
            </w:tcMar>
          </w:tcPr>
          <w:p w14:paraId="741EF773" w14:textId="77777777" w:rsidR="000D5096" w:rsidRPr="00F13FF2" w:rsidRDefault="000D5096" w:rsidP="00D20A1E">
            <w:pPr>
              <w:keepNext/>
              <w:keepLines/>
              <w:widowControl/>
              <w:spacing w:before="60" w:after="60"/>
              <w:jc w:val="center"/>
              <w:rPr>
                <w:rFonts w:eastAsia="Arial Unicode MS" w:cs="Arial"/>
                <w:sz w:val="20"/>
                <w:szCs w:val="20"/>
              </w:rPr>
            </w:pPr>
            <w:r w:rsidRPr="00F13FF2">
              <w:rPr>
                <w:rFonts w:cs="Arial"/>
                <w:sz w:val="20"/>
                <w:szCs w:val="20"/>
              </w:rPr>
              <w:t>n/a</w:t>
            </w:r>
          </w:p>
        </w:tc>
      </w:tr>
      <w:tr w:rsidR="000D5096" w14:paraId="34F63532" w14:textId="77777777" w:rsidTr="000D5096">
        <w:trPr>
          <w:trHeight w:val="264"/>
        </w:trPr>
        <w:tc>
          <w:tcPr>
            <w:tcW w:w="852" w:type="pct"/>
            <w:noWrap/>
            <w:tcMar>
              <w:top w:w="15" w:type="dxa"/>
              <w:left w:w="11" w:type="dxa"/>
              <w:bottom w:w="0" w:type="dxa"/>
              <w:right w:w="11" w:type="dxa"/>
            </w:tcMar>
            <w:vAlign w:val="center"/>
          </w:tcPr>
          <w:p w14:paraId="42E5B501" w14:textId="77777777" w:rsidR="000D5096" w:rsidRPr="00F13FF2" w:rsidRDefault="000D5096" w:rsidP="00D20A1E">
            <w:pPr>
              <w:keepNext/>
              <w:keepLines/>
              <w:widowControl/>
              <w:spacing w:before="60" w:after="60"/>
              <w:rPr>
                <w:rFonts w:eastAsia="Arial Unicode MS"/>
                <w:sz w:val="20"/>
                <w:szCs w:val="20"/>
              </w:rPr>
            </w:pPr>
            <w:r w:rsidRPr="00F13FF2">
              <w:rPr>
                <w:sz w:val="20"/>
                <w:szCs w:val="20"/>
              </w:rPr>
              <w:t>15 years and above</w:t>
            </w:r>
          </w:p>
        </w:tc>
        <w:tc>
          <w:tcPr>
            <w:tcW w:w="628" w:type="pct"/>
          </w:tcPr>
          <w:p w14:paraId="015DB7D7" w14:textId="77777777" w:rsidR="000D5096" w:rsidRPr="00F13FF2" w:rsidRDefault="000D5096" w:rsidP="00D20A1E">
            <w:pPr>
              <w:keepNext/>
              <w:keepLines/>
              <w:widowControl/>
              <w:tabs>
                <w:tab w:val="decimal" w:pos="1172"/>
              </w:tabs>
              <w:spacing w:before="60" w:after="60"/>
              <w:rPr>
                <w:rFonts w:cs="Arial"/>
                <w:sz w:val="20"/>
                <w:szCs w:val="20"/>
              </w:rPr>
            </w:pPr>
            <w:r w:rsidRPr="00F13FF2">
              <w:rPr>
                <w:rFonts w:cs="Arial"/>
                <w:sz w:val="20"/>
                <w:szCs w:val="20"/>
              </w:rPr>
              <w:t>11,431</w:t>
            </w:r>
          </w:p>
        </w:tc>
        <w:tc>
          <w:tcPr>
            <w:tcW w:w="719" w:type="pct"/>
            <w:shd w:val="clear" w:color="auto" w:fill="D9D9D9" w:themeFill="background1" w:themeFillShade="D9"/>
          </w:tcPr>
          <w:p w14:paraId="036269BB" w14:textId="77777777" w:rsidR="000D5096" w:rsidRPr="00F13FF2" w:rsidRDefault="000D5096" w:rsidP="00D20A1E">
            <w:pPr>
              <w:keepNext/>
              <w:keepLines/>
              <w:widowControl/>
              <w:tabs>
                <w:tab w:val="decimal" w:pos="1045"/>
              </w:tabs>
              <w:spacing w:before="60" w:after="60"/>
              <w:rPr>
                <w:rFonts w:cs="Arial"/>
                <w:sz w:val="20"/>
                <w:szCs w:val="20"/>
              </w:rPr>
            </w:pPr>
            <w:r w:rsidRPr="00F13FF2">
              <w:rPr>
                <w:rFonts w:cs="Arial"/>
                <w:sz w:val="20"/>
                <w:szCs w:val="20"/>
              </w:rPr>
              <w:t>n/a</w:t>
            </w:r>
          </w:p>
        </w:tc>
        <w:tc>
          <w:tcPr>
            <w:tcW w:w="719" w:type="pct"/>
            <w:shd w:val="clear" w:color="auto" w:fill="D9D9D9" w:themeFill="background1" w:themeFillShade="D9"/>
          </w:tcPr>
          <w:p w14:paraId="717EEE5E" w14:textId="77777777" w:rsidR="000D5096" w:rsidRPr="00F13FF2" w:rsidRDefault="000D5096" w:rsidP="00D20A1E">
            <w:pPr>
              <w:keepNext/>
              <w:keepLines/>
              <w:widowControl/>
              <w:spacing w:before="60" w:after="60"/>
              <w:jc w:val="center"/>
              <w:rPr>
                <w:rFonts w:cs="Arial"/>
                <w:sz w:val="20"/>
                <w:szCs w:val="20"/>
              </w:rPr>
            </w:pPr>
            <w:r w:rsidRPr="00F13FF2">
              <w:rPr>
                <w:rFonts w:cs="Arial"/>
                <w:sz w:val="20"/>
                <w:szCs w:val="20"/>
              </w:rPr>
              <w:t>n/a</w:t>
            </w:r>
          </w:p>
        </w:tc>
        <w:tc>
          <w:tcPr>
            <w:tcW w:w="634" w:type="pct"/>
            <w:noWrap/>
            <w:tcMar>
              <w:top w:w="15" w:type="dxa"/>
              <w:left w:w="11" w:type="dxa"/>
              <w:bottom w:w="0" w:type="dxa"/>
              <w:right w:w="11" w:type="dxa"/>
            </w:tcMar>
            <w:vAlign w:val="center"/>
          </w:tcPr>
          <w:p w14:paraId="2D8B83C6" w14:textId="77777777" w:rsidR="000D5096" w:rsidRPr="00F13FF2" w:rsidRDefault="000D5096" w:rsidP="00D20A1E">
            <w:pPr>
              <w:keepNext/>
              <w:keepLines/>
              <w:widowControl/>
              <w:spacing w:before="60" w:after="60"/>
              <w:jc w:val="center"/>
              <w:rPr>
                <w:rFonts w:eastAsia="Arial Unicode MS" w:cs="Arial"/>
                <w:sz w:val="20"/>
                <w:szCs w:val="20"/>
              </w:rPr>
            </w:pPr>
            <w:r w:rsidRPr="00F13FF2">
              <w:rPr>
                <w:rFonts w:cs="Arial"/>
                <w:sz w:val="20"/>
                <w:szCs w:val="20"/>
              </w:rPr>
              <w:t>90</w:t>
            </w:r>
          </w:p>
        </w:tc>
        <w:tc>
          <w:tcPr>
            <w:tcW w:w="724" w:type="pct"/>
            <w:shd w:val="clear" w:color="auto" w:fill="D9D9D9" w:themeFill="background1" w:themeFillShade="D9"/>
            <w:noWrap/>
            <w:tcMar>
              <w:top w:w="15" w:type="dxa"/>
              <w:left w:w="11" w:type="dxa"/>
              <w:bottom w:w="0" w:type="dxa"/>
              <w:right w:w="11" w:type="dxa"/>
            </w:tcMar>
            <w:vAlign w:val="center"/>
          </w:tcPr>
          <w:p w14:paraId="5C4B0923" w14:textId="77777777" w:rsidR="000D5096" w:rsidRPr="00F13FF2" w:rsidRDefault="000D5096"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n/a</w:t>
            </w:r>
          </w:p>
        </w:tc>
        <w:tc>
          <w:tcPr>
            <w:tcW w:w="724" w:type="pct"/>
            <w:shd w:val="clear" w:color="auto" w:fill="D9D9D9" w:themeFill="background1" w:themeFillShade="D9"/>
            <w:noWrap/>
            <w:tcMar>
              <w:top w:w="11" w:type="dxa"/>
              <w:left w:w="11" w:type="dxa"/>
              <w:bottom w:w="0" w:type="dxa"/>
              <w:right w:w="11" w:type="dxa"/>
            </w:tcMar>
          </w:tcPr>
          <w:p w14:paraId="45AA651F" w14:textId="77777777" w:rsidR="000D5096" w:rsidRPr="00F13FF2" w:rsidRDefault="000D5096" w:rsidP="00D20A1E">
            <w:pPr>
              <w:keepNext/>
              <w:keepLines/>
              <w:widowControl/>
              <w:spacing w:before="60" w:after="60"/>
              <w:jc w:val="center"/>
              <w:rPr>
                <w:rFonts w:eastAsia="Arial Unicode MS" w:cs="Arial"/>
                <w:sz w:val="20"/>
                <w:szCs w:val="20"/>
              </w:rPr>
            </w:pPr>
            <w:r w:rsidRPr="00F13FF2">
              <w:rPr>
                <w:rFonts w:cs="Arial"/>
                <w:sz w:val="20"/>
                <w:szCs w:val="20"/>
              </w:rPr>
              <w:t>n/a</w:t>
            </w:r>
          </w:p>
        </w:tc>
      </w:tr>
    </w:tbl>
    <w:p w14:paraId="64639E52" w14:textId="77777777" w:rsidR="000D5096" w:rsidRPr="00E4287E" w:rsidRDefault="000D5096" w:rsidP="00D20A1E">
      <w:pPr>
        <w:widowControl/>
        <w:spacing w:before="20" w:after="40"/>
        <w:rPr>
          <w:sz w:val="18"/>
          <w:szCs w:val="18"/>
        </w:rPr>
      </w:pPr>
      <w:r w:rsidRPr="00E4287E">
        <w:rPr>
          <w:bCs/>
          <w:sz w:val="18"/>
          <w:szCs w:val="18"/>
          <w:vertAlign w:val="superscript"/>
        </w:rPr>
        <w:sym w:font="Wingdings 2" w:char="F0D8"/>
      </w:r>
      <w:r w:rsidRPr="00E4287E">
        <w:rPr>
          <w:sz w:val="18"/>
          <w:szCs w:val="18"/>
        </w:rPr>
        <w:tab/>
        <w:t>All protein intakes have been rounded to the nearest whole number</w:t>
      </w:r>
    </w:p>
    <w:p w14:paraId="581E695A" w14:textId="77777777" w:rsidR="005126AF" w:rsidRPr="00E4287E" w:rsidRDefault="00934B60" w:rsidP="00D20A1E">
      <w:pPr>
        <w:widowControl/>
        <w:spacing w:before="20" w:after="40"/>
        <w:rPr>
          <w:rFonts w:cs="Arial"/>
          <w:sz w:val="18"/>
          <w:szCs w:val="18"/>
        </w:rPr>
      </w:pPr>
      <w:r w:rsidRPr="00E4287E">
        <w:rPr>
          <w:rFonts w:ascii="Wingdings" w:hAnsi="Wingdings" w:cs="Arial"/>
          <w:sz w:val="18"/>
          <w:szCs w:val="18"/>
          <w:vertAlign w:val="superscript"/>
        </w:rPr>
        <w:t></w:t>
      </w:r>
      <w:r w:rsidRPr="00E4287E">
        <w:rPr>
          <w:rFonts w:cs="Arial"/>
          <w:sz w:val="18"/>
          <w:szCs w:val="18"/>
        </w:rPr>
        <w:tab/>
      </w:r>
      <w:r w:rsidR="00F6296A" w:rsidRPr="00E4287E">
        <w:rPr>
          <w:rFonts w:cs="Arial"/>
          <w:sz w:val="18"/>
          <w:szCs w:val="18"/>
        </w:rPr>
        <w:t>Source: (</w:t>
      </w:r>
      <w:r w:rsidR="008F0975" w:rsidRPr="00E4287E">
        <w:rPr>
          <w:rFonts w:cs="Arial"/>
          <w:sz w:val="18"/>
          <w:szCs w:val="18"/>
        </w:rPr>
        <w:t>ABS 2014b</w:t>
      </w:r>
      <w:r w:rsidRPr="00E4287E">
        <w:rPr>
          <w:rFonts w:cs="Arial"/>
          <w:sz w:val="18"/>
          <w:szCs w:val="18"/>
        </w:rPr>
        <w:t>)</w:t>
      </w:r>
    </w:p>
    <w:p w14:paraId="5CBDA3DA" w14:textId="44A4BBAA" w:rsidR="000D5096" w:rsidRPr="00E4287E" w:rsidRDefault="000D5096" w:rsidP="00D20A1E">
      <w:pPr>
        <w:widowControl/>
        <w:spacing w:before="20" w:after="40"/>
        <w:rPr>
          <w:sz w:val="18"/>
          <w:szCs w:val="18"/>
          <w:lang w:val="en-US"/>
        </w:rPr>
      </w:pPr>
      <w:r w:rsidRPr="00E4287E">
        <w:rPr>
          <w:sz w:val="18"/>
          <w:szCs w:val="18"/>
        </w:rPr>
        <w:t>Gr</w:t>
      </w:r>
      <w:r w:rsidR="00733E40">
        <w:rPr>
          <w:sz w:val="18"/>
          <w:szCs w:val="18"/>
        </w:rPr>
        <w:t>e</w:t>
      </w:r>
      <w:r w:rsidRPr="00E4287E">
        <w:rPr>
          <w:sz w:val="18"/>
          <w:szCs w:val="18"/>
        </w:rPr>
        <w:t>y shading indicates that data are not available</w:t>
      </w:r>
    </w:p>
    <w:p w14:paraId="7243C9E5" w14:textId="77777777" w:rsidR="000D5096" w:rsidRDefault="000D5096" w:rsidP="00D20A1E">
      <w:pPr>
        <w:pStyle w:val="Table"/>
        <w:keepNext w:val="0"/>
        <w:spacing w:before="0"/>
        <w:outlineLvl w:val="9"/>
        <w:rPr>
          <w:lang w:val="en-US"/>
        </w:rPr>
      </w:pPr>
    </w:p>
    <w:p w14:paraId="2DA53F04" w14:textId="313B3868" w:rsidR="000D5096" w:rsidRDefault="00FA3023" w:rsidP="00D20A1E">
      <w:pPr>
        <w:pStyle w:val="FSTableTitle"/>
        <w:keepNext/>
        <w:keepLines/>
        <w:widowControl/>
      </w:pPr>
      <w:bookmarkStart w:id="207" w:name="_Ref420332193"/>
      <w:r>
        <w:t>Table A1.</w:t>
      </w:r>
      <w:fldSimple w:instr=" SEQ Table_A1. \* ARABIC ">
        <w:r w:rsidR="00047581">
          <w:rPr>
            <w:noProof/>
          </w:rPr>
          <w:t>11</w:t>
        </w:r>
      </w:fldSimple>
      <w:bookmarkEnd w:id="207"/>
      <w:r w:rsidR="000D5096">
        <w:t>:</w:t>
      </w:r>
      <w:r w:rsidR="00F6296A">
        <w:t xml:space="preserve"> </w:t>
      </w:r>
      <w:r w:rsidR="000D5096">
        <w:t>Comparison of estimated mean protein intakes (g/day)</w:t>
      </w:r>
      <w:r w:rsidR="00463E24">
        <w:t>, excluding supplements,</w:t>
      </w:r>
      <w:r w:rsidR="000D5096">
        <w:t xml:space="preserve"> for general New Zealand population groups, for the 1997, 2002 and 2008 nutrition surveys</w:t>
      </w:r>
    </w:p>
    <w:p w14:paraId="0EA77B57" w14:textId="77777777" w:rsidR="0023423F" w:rsidRPr="0023423F" w:rsidRDefault="0023423F" w:rsidP="002342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79"/>
        <w:gridCol w:w="1650"/>
        <w:gridCol w:w="1835"/>
        <w:gridCol w:w="1835"/>
        <w:gridCol w:w="2294"/>
        <w:gridCol w:w="2295"/>
        <w:gridCol w:w="2292"/>
      </w:tblGrid>
      <w:tr w:rsidR="000D5096" w14:paraId="50784F3B" w14:textId="77777777" w:rsidTr="00D10630">
        <w:trPr>
          <w:trHeight w:val="276"/>
        </w:trPr>
        <w:tc>
          <w:tcPr>
            <w:tcW w:w="633" w:type="pct"/>
            <w:vMerge w:val="restart"/>
            <w:tcBorders>
              <w:left w:val="single" w:sz="4" w:space="0" w:color="auto"/>
            </w:tcBorders>
            <w:shd w:val="clear" w:color="auto" w:fill="B8CCE4" w:themeFill="accent1" w:themeFillTint="66"/>
            <w:noWrap/>
            <w:tcMar>
              <w:top w:w="11" w:type="dxa"/>
              <w:left w:w="11" w:type="dxa"/>
              <w:bottom w:w="0" w:type="dxa"/>
              <w:right w:w="11" w:type="dxa"/>
            </w:tcMar>
            <w:vAlign w:val="center"/>
          </w:tcPr>
          <w:p w14:paraId="376F5ACA" w14:textId="77777777" w:rsidR="000D5096" w:rsidRPr="00F13FF2" w:rsidRDefault="000D5096" w:rsidP="00D20A1E">
            <w:pPr>
              <w:keepNext/>
              <w:keepLines/>
              <w:widowControl/>
              <w:spacing w:before="60" w:after="60"/>
              <w:ind w:left="-11"/>
              <w:jc w:val="center"/>
              <w:rPr>
                <w:rFonts w:eastAsia="Arial Unicode MS"/>
                <w:sz w:val="20"/>
                <w:szCs w:val="20"/>
              </w:rPr>
            </w:pPr>
            <w:r w:rsidRPr="00F13FF2">
              <w:rPr>
                <w:b/>
                <w:bCs/>
                <w:sz w:val="20"/>
                <w:szCs w:val="20"/>
              </w:rPr>
              <w:t>Population Group</w:t>
            </w:r>
          </w:p>
        </w:tc>
        <w:tc>
          <w:tcPr>
            <w:tcW w:w="1905" w:type="pct"/>
            <w:gridSpan w:val="3"/>
            <w:shd w:val="clear" w:color="auto" w:fill="B8CCE4" w:themeFill="accent1" w:themeFillTint="66"/>
            <w:vAlign w:val="center"/>
          </w:tcPr>
          <w:p w14:paraId="45FAC529" w14:textId="77777777" w:rsidR="000D5096" w:rsidRPr="00F13FF2" w:rsidRDefault="000D5096" w:rsidP="00D20A1E">
            <w:pPr>
              <w:keepNext/>
              <w:keepLines/>
              <w:widowControl/>
              <w:spacing w:before="60" w:after="60"/>
              <w:jc w:val="center"/>
              <w:rPr>
                <w:b/>
                <w:bCs/>
                <w:sz w:val="20"/>
                <w:szCs w:val="20"/>
              </w:rPr>
            </w:pPr>
            <w:r w:rsidRPr="00F13FF2">
              <w:rPr>
                <w:b/>
                <w:bCs/>
                <w:sz w:val="20"/>
                <w:szCs w:val="20"/>
              </w:rPr>
              <w:t>Number of survey respondents</w:t>
            </w:r>
          </w:p>
        </w:tc>
        <w:tc>
          <w:tcPr>
            <w:tcW w:w="2462" w:type="pct"/>
            <w:gridSpan w:val="3"/>
            <w:shd w:val="clear" w:color="auto" w:fill="B8CCE4" w:themeFill="accent1" w:themeFillTint="66"/>
            <w:noWrap/>
            <w:tcMar>
              <w:top w:w="11" w:type="dxa"/>
              <w:left w:w="11" w:type="dxa"/>
              <w:bottom w:w="0" w:type="dxa"/>
              <w:right w:w="11" w:type="dxa"/>
            </w:tcMar>
            <w:vAlign w:val="center"/>
          </w:tcPr>
          <w:p w14:paraId="406A7E33" w14:textId="39A076FD" w:rsidR="000D5096" w:rsidRPr="00F13FF2" w:rsidRDefault="00AD191F" w:rsidP="00D20A1E">
            <w:pPr>
              <w:keepNext/>
              <w:keepLines/>
              <w:widowControl/>
              <w:spacing w:before="60" w:after="60"/>
              <w:jc w:val="center"/>
              <w:rPr>
                <w:rFonts w:eastAsia="Arial Unicode MS"/>
                <w:b/>
                <w:bCs/>
                <w:sz w:val="20"/>
                <w:szCs w:val="20"/>
              </w:rPr>
            </w:pPr>
            <w:r w:rsidRPr="00F13FF2">
              <w:rPr>
                <w:b/>
                <w:bCs/>
                <w:sz w:val="20"/>
                <w:szCs w:val="20"/>
              </w:rPr>
              <w:t>Estimated m</w:t>
            </w:r>
            <w:r w:rsidR="000D5096" w:rsidRPr="00F13FF2">
              <w:rPr>
                <w:b/>
                <w:bCs/>
                <w:sz w:val="20"/>
                <w:szCs w:val="20"/>
              </w:rPr>
              <w:t xml:space="preserve">ean protein </w:t>
            </w:r>
            <w:r w:rsidRPr="00F13FF2">
              <w:rPr>
                <w:b/>
                <w:bCs/>
                <w:sz w:val="20"/>
                <w:szCs w:val="20"/>
              </w:rPr>
              <w:t>i</w:t>
            </w:r>
            <w:r w:rsidR="000D5096" w:rsidRPr="00F13FF2">
              <w:rPr>
                <w:b/>
                <w:bCs/>
                <w:sz w:val="20"/>
                <w:szCs w:val="20"/>
              </w:rPr>
              <w:t>ntake (g/day)</w:t>
            </w:r>
            <w:r w:rsidR="000D5096" w:rsidRPr="00F13FF2">
              <w:rPr>
                <w:b/>
                <w:bCs/>
                <w:sz w:val="20"/>
                <w:szCs w:val="20"/>
                <w:vertAlign w:val="superscript"/>
              </w:rPr>
              <w:sym w:font="Wingdings 2" w:char="F0D8"/>
            </w:r>
          </w:p>
        </w:tc>
      </w:tr>
      <w:tr w:rsidR="000D5096" w14:paraId="01DFEDF3" w14:textId="77777777" w:rsidTr="00D10630">
        <w:trPr>
          <w:trHeight w:val="540"/>
        </w:trPr>
        <w:tc>
          <w:tcPr>
            <w:tcW w:w="633" w:type="pct"/>
            <w:vMerge/>
            <w:tcBorders>
              <w:left w:val="single" w:sz="4" w:space="0" w:color="auto"/>
            </w:tcBorders>
            <w:shd w:val="clear" w:color="auto" w:fill="B8CCE4" w:themeFill="accent1" w:themeFillTint="66"/>
            <w:tcMar>
              <w:top w:w="11" w:type="dxa"/>
              <w:left w:w="11" w:type="dxa"/>
              <w:bottom w:w="0" w:type="dxa"/>
              <w:right w:w="11" w:type="dxa"/>
            </w:tcMar>
            <w:vAlign w:val="center"/>
          </w:tcPr>
          <w:p w14:paraId="32846912" w14:textId="77777777" w:rsidR="000D5096" w:rsidRPr="00F13FF2" w:rsidRDefault="000D5096" w:rsidP="00D20A1E">
            <w:pPr>
              <w:keepNext/>
              <w:keepLines/>
              <w:widowControl/>
              <w:spacing w:before="60" w:after="60"/>
              <w:ind w:left="-11"/>
              <w:jc w:val="center"/>
              <w:rPr>
                <w:rFonts w:eastAsia="Arial Unicode MS"/>
                <w:b/>
                <w:bCs/>
                <w:sz w:val="20"/>
                <w:szCs w:val="20"/>
              </w:rPr>
            </w:pPr>
          </w:p>
        </w:tc>
        <w:tc>
          <w:tcPr>
            <w:tcW w:w="1905" w:type="pct"/>
            <w:gridSpan w:val="3"/>
            <w:shd w:val="clear" w:color="auto" w:fill="B8CCE4" w:themeFill="accent1" w:themeFillTint="66"/>
            <w:vAlign w:val="center"/>
          </w:tcPr>
          <w:p w14:paraId="1CBF9AD4" w14:textId="77777777" w:rsidR="000D5096" w:rsidRPr="00F13FF2" w:rsidRDefault="000D5096" w:rsidP="00D20A1E">
            <w:pPr>
              <w:keepNext/>
              <w:keepLines/>
              <w:widowControl/>
              <w:spacing w:before="60" w:after="60"/>
              <w:jc w:val="center"/>
              <w:rPr>
                <w:b/>
                <w:i/>
                <w:sz w:val="20"/>
                <w:szCs w:val="20"/>
                <w:lang w:val="en-US"/>
              </w:rPr>
            </w:pPr>
            <w:r w:rsidRPr="00F13FF2">
              <w:rPr>
                <w:b/>
                <w:i/>
                <w:sz w:val="20"/>
                <w:szCs w:val="20"/>
                <w:lang w:val="en-US"/>
              </w:rPr>
              <w:t>General population</w:t>
            </w:r>
          </w:p>
        </w:tc>
        <w:tc>
          <w:tcPr>
            <w:tcW w:w="2462" w:type="pct"/>
            <w:gridSpan w:val="3"/>
            <w:shd w:val="clear" w:color="auto" w:fill="B8CCE4" w:themeFill="accent1" w:themeFillTint="66"/>
            <w:tcMar>
              <w:top w:w="11" w:type="dxa"/>
              <w:left w:w="11" w:type="dxa"/>
              <w:bottom w:w="0" w:type="dxa"/>
              <w:right w:w="11" w:type="dxa"/>
            </w:tcMar>
            <w:vAlign w:val="center"/>
          </w:tcPr>
          <w:p w14:paraId="7DA36ED5" w14:textId="77777777" w:rsidR="000D5096" w:rsidRPr="00F13FF2" w:rsidRDefault="000D5096" w:rsidP="00D20A1E">
            <w:pPr>
              <w:keepNext/>
              <w:keepLines/>
              <w:widowControl/>
              <w:spacing w:before="60" w:after="60"/>
              <w:jc w:val="center"/>
              <w:rPr>
                <w:rFonts w:eastAsia="Arial Unicode MS"/>
                <w:bCs/>
                <w:i/>
                <w:sz w:val="20"/>
                <w:szCs w:val="20"/>
              </w:rPr>
            </w:pPr>
            <w:r w:rsidRPr="00F13FF2">
              <w:rPr>
                <w:b/>
                <w:i/>
                <w:sz w:val="20"/>
                <w:szCs w:val="20"/>
                <w:lang w:val="en-US"/>
              </w:rPr>
              <w:t>General population</w:t>
            </w:r>
          </w:p>
        </w:tc>
      </w:tr>
      <w:tr w:rsidR="000D5096" w14:paraId="34F39AED" w14:textId="77777777" w:rsidTr="00D10630">
        <w:trPr>
          <w:trHeight w:val="540"/>
        </w:trPr>
        <w:tc>
          <w:tcPr>
            <w:tcW w:w="633" w:type="pct"/>
            <w:vMerge/>
            <w:tcBorders>
              <w:left w:val="single" w:sz="4" w:space="0" w:color="auto"/>
            </w:tcBorders>
            <w:shd w:val="clear" w:color="auto" w:fill="B8CCE4" w:themeFill="accent1" w:themeFillTint="66"/>
            <w:tcMar>
              <w:top w:w="11" w:type="dxa"/>
              <w:left w:w="11" w:type="dxa"/>
              <w:bottom w:w="0" w:type="dxa"/>
              <w:right w:w="11" w:type="dxa"/>
            </w:tcMar>
            <w:vAlign w:val="center"/>
          </w:tcPr>
          <w:p w14:paraId="06B82D77" w14:textId="77777777" w:rsidR="000D5096" w:rsidRPr="00F13FF2" w:rsidRDefault="000D5096" w:rsidP="00D20A1E">
            <w:pPr>
              <w:keepNext/>
              <w:keepLines/>
              <w:widowControl/>
              <w:spacing w:before="60" w:after="60"/>
              <w:ind w:left="-11"/>
              <w:jc w:val="center"/>
              <w:rPr>
                <w:b/>
                <w:bCs/>
                <w:sz w:val="20"/>
                <w:szCs w:val="20"/>
              </w:rPr>
            </w:pPr>
          </w:p>
        </w:tc>
        <w:tc>
          <w:tcPr>
            <w:tcW w:w="591" w:type="pct"/>
            <w:shd w:val="clear" w:color="auto" w:fill="B8CCE4" w:themeFill="accent1" w:themeFillTint="66"/>
            <w:vAlign w:val="center"/>
          </w:tcPr>
          <w:p w14:paraId="62B4EBD2" w14:textId="77777777" w:rsidR="000D5096" w:rsidRPr="00F13FF2" w:rsidRDefault="000D5096" w:rsidP="00D20A1E">
            <w:pPr>
              <w:keepNext/>
              <w:keepLines/>
              <w:widowControl/>
              <w:spacing w:before="60" w:after="60"/>
              <w:jc w:val="center"/>
              <w:rPr>
                <w:b/>
                <w:i/>
                <w:sz w:val="20"/>
                <w:szCs w:val="20"/>
                <w:lang w:val="en-US"/>
              </w:rPr>
            </w:pPr>
            <w:r w:rsidRPr="00F13FF2">
              <w:rPr>
                <w:b/>
                <w:i/>
                <w:sz w:val="20"/>
                <w:szCs w:val="20"/>
                <w:lang w:val="en-US"/>
              </w:rPr>
              <w:t>1997 NZNNS</w:t>
            </w:r>
          </w:p>
        </w:tc>
        <w:tc>
          <w:tcPr>
            <w:tcW w:w="657" w:type="pct"/>
            <w:shd w:val="clear" w:color="auto" w:fill="B8CCE4" w:themeFill="accent1" w:themeFillTint="66"/>
            <w:vAlign w:val="center"/>
          </w:tcPr>
          <w:p w14:paraId="51C7D3F6" w14:textId="3252C6FD" w:rsidR="000D5096" w:rsidRPr="00F13FF2" w:rsidRDefault="00064C03" w:rsidP="00D20A1E">
            <w:pPr>
              <w:keepNext/>
              <w:keepLines/>
              <w:widowControl/>
              <w:spacing w:before="60" w:after="60"/>
              <w:jc w:val="center"/>
              <w:rPr>
                <w:b/>
                <w:i/>
                <w:sz w:val="20"/>
                <w:szCs w:val="20"/>
                <w:lang w:val="en-US"/>
              </w:rPr>
            </w:pPr>
            <w:r>
              <w:rPr>
                <w:b/>
                <w:i/>
                <w:sz w:val="20"/>
                <w:szCs w:val="20"/>
                <w:lang w:val="en-US"/>
              </w:rPr>
              <w:t>2002 NZCNS</w:t>
            </w:r>
          </w:p>
        </w:tc>
        <w:tc>
          <w:tcPr>
            <w:tcW w:w="657" w:type="pct"/>
            <w:shd w:val="clear" w:color="auto" w:fill="B8CCE4" w:themeFill="accent1" w:themeFillTint="66"/>
            <w:vAlign w:val="center"/>
          </w:tcPr>
          <w:p w14:paraId="7A1B5882" w14:textId="77777777" w:rsidR="000D5096" w:rsidRPr="00F13FF2" w:rsidRDefault="000D5096" w:rsidP="00D20A1E">
            <w:pPr>
              <w:keepNext/>
              <w:keepLines/>
              <w:widowControl/>
              <w:spacing w:before="60" w:after="60"/>
              <w:jc w:val="center"/>
              <w:rPr>
                <w:b/>
                <w:i/>
                <w:sz w:val="20"/>
                <w:szCs w:val="20"/>
                <w:lang w:val="en-US"/>
              </w:rPr>
            </w:pPr>
            <w:r w:rsidRPr="00F13FF2">
              <w:rPr>
                <w:b/>
                <w:i/>
                <w:sz w:val="20"/>
                <w:szCs w:val="20"/>
                <w:lang w:val="en-US"/>
              </w:rPr>
              <w:t>2008 NZANS</w:t>
            </w:r>
          </w:p>
        </w:tc>
        <w:tc>
          <w:tcPr>
            <w:tcW w:w="821" w:type="pct"/>
            <w:shd w:val="clear" w:color="auto" w:fill="B8CCE4" w:themeFill="accent1" w:themeFillTint="66"/>
            <w:tcMar>
              <w:top w:w="11" w:type="dxa"/>
              <w:left w:w="11" w:type="dxa"/>
              <w:bottom w:w="0" w:type="dxa"/>
              <w:right w:w="11" w:type="dxa"/>
            </w:tcMar>
            <w:vAlign w:val="center"/>
          </w:tcPr>
          <w:p w14:paraId="061F72C2" w14:textId="77777777" w:rsidR="000D5096" w:rsidRPr="00F13FF2" w:rsidRDefault="000D5096" w:rsidP="00D20A1E">
            <w:pPr>
              <w:keepNext/>
              <w:keepLines/>
              <w:widowControl/>
              <w:spacing w:before="60" w:after="60"/>
              <w:jc w:val="center"/>
              <w:rPr>
                <w:b/>
                <w:i/>
                <w:sz w:val="20"/>
                <w:szCs w:val="20"/>
                <w:lang w:val="en-US"/>
              </w:rPr>
            </w:pPr>
            <w:r w:rsidRPr="00F13FF2">
              <w:rPr>
                <w:b/>
                <w:i/>
                <w:sz w:val="20"/>
                <w:szCs w:val="20"/>
                <w:lang w:val="en-US"/>
              </w:rPr>
              <w:t>1997 NZNNS</w:t>
            </w:r>
          </w:p>
        </w:tc>
        <w:tc>
          <w:tcPr>
            <w:tcW w:w="821" w:type="pct"/>
            <w:shd w:val="clear" w:color="auto" w:fill="B8CCE4" w:themeFill="accent1" w:themeFillTint="66"/>
            <w:tcMar>
              <w:top w:w="11" w:type="dxa"/>
              <w:left w:w="11" w:type="dxa"/>
              <w:bottom w:w="0" w:type="dxa"/>
              <w:right w:w="11" w:type="dxa"/>
            </w:tcMar>
            <w:vAlign w:val="center"/>
          </w:tcPr>
          <w:p w14:paraId="7F8235CB" w14:textId="7D540EB1" w:rsidR="000D5096" w:rsidRPr="00F13FF2" w:rsidRDefault="00064C03" w:rsidP="00D20A1E">
            <w:pPr>
              <w:keepNext/>
              <w:keepLines/>
              <w:widowControl/>
              <w:spacing w:before="60" w:after="60"/>
              <w:jc w:val="center"/>
              <w:rPr>
                <w:b/>
                <w:i/>
                <w:sz w:val="20"/>
                <w:szCs w:val="20"/>
                <w:lang w:val="en-US"/>
              </w:rPr>
            </w:pPr>
            <w:r>
              <w:rPr>
                <w:b/>
                <w:i/>
                <w:sz w:val="20"/>
                <w:szCs w:val="20"/>
                <w:lang w:val="en-US"/>
              </w:rPr>
              <w:t>2002 NZCNS</w:t>
            </w:r>
          </w:p>
        </w:tc>
        <w:tc>
          <w:tcPr>
            <w:tcW w:w="821" w:type="pct"/>
            <w:shd w:val="clear" w:color="auto" w:fill="B8CCE4" w:themeFill="accent1" w:themeFillTint="66"/>
            <w:noWrap/>
            <w:tcMar>
              <w:top w:w="11" w:type="dxa"/>
              <w:left w:w="11" w:type="dxa"/>
              <w:bottom w:w="0" w:type="dxa"/>
              <w:right w:w="11" w:type="dxa"/>
            </w:tcMar>
            <w:vAlign w:val="center"/>
          </w:tcPr>
          <w:p w14:paraId="4156AB3A" w14:textId="77777777" w:rsidR="000D5096" w:rsidRPr="00F13FF2" w:rsidRDefault="000D5096" w:rsidP="00D20A1E">
            <w:pPr>
              <w:keepNext/>
              <w:keepLines/>
              <w:widowControl/>
              <w:spacing w:before="60" w:after="60"/>
              <w:jc w:val="center"/>
              <w:rPr>
                <w:b/>
                <w:i/>
                <w:sz w:val="20"/>
                <w:szCs w:val="20"/>
                <w:lang w:val="en-US"/>
              </w:rPr>
            </w:pPr>
            <w:r w:rsidRPr="00F13FF2">
              <w:rPr>
                <w:b/>
                <w:i/>
                <w:sz w:val="20"/>
                <w:szCs w:val="20"/>
                <w:lang w:val="en-US"/>
              </w:rPr>
              <w:t>2008 NZANS</w:t>
            </w:r>
          </w:p>
        </w:tc>
      </w:tr>
      <w:tr w:rsidR="000D5096" w14:paraId="0FD71F2B" w14:textId="77777777" w:rsidTr="000D5096">
        <w:trPr>
          <w:trHeight w:val="276"/>
        </w:trPr>
        <w:tc>
          <w:tcPr>
            <w:tcW w:w="633" w:type="pct"/>
            <w:noWrap/>
            <w:tcMar>
              <w:top w:w="11" w:type="dxa"/>
              <w:left w:w="11" w:type="dxa"/>
              <w:bottom w:w="0" w:type="dxa"/>
              <w:right w:w="11" w:type="dxa"/>
            </w:tcMar>
            <w:vAlign w:val="center"/>
          </w:tcPr>
          <w:p w14:paraId="008B3B30" w14:textId="77777777" w:rsidR="000D5096" w:rsidRPr="00F13FF2" w:rsidRDefault="000D5096" w:rsidP="00D20A1E">
            <w:pPr>
              <w:keepNext/>
              <w:keepLines/>
              <w:widowControl/>
              <w:spacing w:before="60" w:after="60"/>
              <w:rPr>
                <w:rFonts w:eastAsia="Arial Unicode MS"/>
                <w:sz w:val="20"/>
                <w:szCs w:val="20"/>
              </w:rPr>
            </w:pPr>
            <w:r w:rsidRPr="00F13FF2">
              <w:rPr>
                <w:sz w:val="20"/>
                <w:szCs w:val="20"/>
              </w:rPr>
              <w:t>15 years and above</w:t>
            </w:r>
          </w:p>
        </w:tc>
        <w:tc>
          <w:tcPr>
            <w:tcW w:w="591" w:type="pct"/>
            <w:vAlign w:val="center"/>
          </w:tcPr>
          <w:p w14:paraId="786A3FAE" w14:textId="77777777" w:rsidR="000D5096" w:rsidRPr="00F13FF2" w:rsidRDefault="000D5096" w:rsidP="00D20A1E">
            <w:pPr>
              <w:keepNext/>
              <w:keepLines/>
              <w:widowControl/>
              <w:tabs>
                <w:tab w:val="decimal" w:pos="1033"/>
              </w:tabs>
              <w:spacing w:before="60" w:after="60"/>
              <w:rPr>
                <w:rFonts w:cs="Arial"/>
                <w:sz w:val="20"/>
                <w:szCs w:val="20"/>
              </w:rPr>
            </w:pPr>
            <w:r w:rsidRPr="00F13FF2">
              <w:rPr>
                <w:rFonts w:cs="Arial"/>
                <w:sz w:val="20"/>
                <w:szCs w:val="20"/>
              </w:rPr>
              <w:t>4,636</w:t>
            </w:r>
          </w:p>
        </w:tc>
        <w:tc>
          <w:tcPr>
            <w:tcW w:w="657" w:type="pct"/>
            <w:shd w:val="clear" w:color="auto" w:fill="D9D9D9" w:themeFill="background1" w:themeFillShade="D9"/>
            <w:vAlign w:val="center"/>
          </w:tcPr>
          <w:p w14:paraId="1F19EC9A" w14:textId="77777777" w:rsidR="000D5096" w:rsidRPr="00F13FF2" w:rsidRDefault="000D5096" w:rsidP="00D20A1E">
            <w:pPr>
              <w:keepNext/>
              <w:keepLines/>
              <w:widowControl/>
              <w:tabs>
                <w:tab w:val="decimal" w:pos="1045"/>
              </w:tabs>
              <w:spacing w:before="60" w:after="60"/>
              <w:rPr>
                <w:rFonts w:cs="Arial"/>
                <w:sz w:val="20"/>
                <w:szCs w:val="20"/>
              </w:rPr>
            </w:pPr>
            <w:r w:rsidRPr="00F13FF2">
              <w:rPr>
                <w:rFonts w:cs="Arial"/>
                <w:sz w:val="20"/>
                <w:szCs w:val="20"/>
              </w:rPr>
              <w:t>n/a</w:t>
            </w:r>
          </w:p>
        </w:tc>
        <w:tc>
          <w:tcPr>
            <w:tcW w:w="657" w:type="pct"/>
            <w:vAlign w:val="center"/>
          </w:tcPr>
          <w:p w14:paraId="40968EA9" w14:textId="77777777" w:rsidR="000D5096" w:rsidRPr="00F13FF2" w:rsidRDefault="000D5096" w:rsidP="00D20A1E">
            <w:pPr>
              <w:keepNext/>
              <w:keepLines/>
              <w:widowControl/>
              <w:spacing w:before="60" w:after="60"/>
              <w:jc w:val="center"/>
              <w:rPr>
                <w:rFonts w:cs="Arial"/>
                <w:sz w:val="20"/>
                <w:szCs w:val="20"/>
              </w:rPr>
            </w:pPr>
            <w:r w:rsidRPr="00F13FF2">
              <w:rPr>
                <w:rFonts w:cs="Arial"/>
                <w:sz w:val="20"/>
                <w:szCs w:val="20"/>
              </w:rPr>
              <w:t>4,721</w:t>
            </w:r>
          </w:p>
        </w:tc>
        <w:tc>
          <w:tcPr>
            <w:tcW w:w="821" w:type="pct"/>
            <w:noWrap/>
            <w:tcMar>
              <w:top w:w="11" w:type="dxa"/>
              <w:left w:w="11" w:type="dxa"/>
              <w:bottom w:w="0" w:type="dxa"/>
              <w:right w:w="11" w:type="dxa"/>
            </w:tcMar>
            <w:vAlign w:val="center"/>
          </w:tcPr>
          <w:p w14:paraId="6AEBC481" w14:textId="77777777" w:rsidR="000D5096" w:rsidRPr="00F13FF2" w:rsidRDefault="000D5096" w:rsidP="00D20A1E">
            <w:pPr>
              <w:keepNext/>
              <w:keepLines/>
              <w:widowControl/>
              <w:spacing w:before="60" w:after="60"/>
              <w:jc w:val="center"/>
              <w:rPr>
                <w:rFonts w:eastAsia="Arial Unicode MS" w:cs="Arial"/>
                <w:sz w:val="20"/>
                <w:szCs w:val="20"/>
              </w:rPr>
            </w:pPr>
            <w:r w:rsidRPr="00F13FF2">
              <w:rPr>
                <w:rFonts w:cs="Arial"/>
                <w:sz w:val="20"/>
                <w:szCs w:val="20"/>
              </w:rPr>
              <w:t>87</w:t>
            </w:r>
          </w:p>
        </w:tc>
        <w:tc>
          <w:tcPr>
            <w:tcW w:w="821" w:type="pct"/>
            <w:shd w:val="clear" w:color="auto" w:fill="D9D9D9" w:themeFill="background1" w:themeFillShade="D9"/>
            <w:noWrap/>
            <w:tcMar>
              <w:top w:w="11" w:type="dxa"/>
              <w:left w:w="11" w:type="dxa"/>
              <w:bottom w:w="0" w:type="dxa"/>
              <w:right w:w="11" w:type="dxa"/>
            </w:tcMar>
            <w:vAlign w:val="center"/>
          </w:tcPr>
          <w:p w14:paraId="71DE8444" w14:textId="77777777" w:rsidR="000D5096" w:rsidRPr="00F13FF2" w:rsidRDefault="000D5096" w:rsidP="00D20A1E">
            <w:pPr>
              <w:keepNext/>
              <w:keepLines/>
              <w:widowControl/>
              <w:spacing w:before="60" w:after="60"/>
              <w:jc w:val="center"/>
              <w:rPr>
                <w:rFonts w:eastAsia="Arial Unicode MS" w:cs="Arial"/>
                <w:sz w:val="20"/>
                <w:szCs w:val="20"/>
              </w:rPr>
            </w:pPr>
            <w:r w:rsidRPr="00F13FF2">
              <w:rPr>
                <w:rFonts w:cs="Arial"/>
                <w:sz w:val="20"/>
                <w:szCs w:val="20"/>
              </w:rPr>
              <w:t>n/a</w:t>
            </w:r>
          </w:p>
        </w:tc>
        <w:tc>
          <w:tcPr>
            <w:tcW w:w="821" w:type="pct"/>
            <w:noWrap/>
            <w:tcMar>
              <w:top w:w="11" w:type="dxa"/>
              <w:left w:w="11" w:type="dxa"/>
              <w:bottom w:w="0" w:type="dxa"/>
              <w:right w:w="11" w:type="dxa"/>
            </w:tcMar>
            <w:vAlign w:val="center"/>
          </w:tcPr>
          <w:p w14:paraId="00852B34" w14:textId="77777777" w:rsidR="000D5096" w:rsidRPr="00F13FF2" w:rsidRDefault="000D5096"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88</w:t>
            </w:r>
          </w:p>
        </w:tc>
      </w:tr>
      <w:tr w:rsidR="000D5096" w14:paraId="36A370DA" w14:textId="77777777" w:rsidTr="000D5096">
        <w:trPr>
          <w:trHeight w:val="276"/>
        </w:trPr>
        <w:tc>
          <w:tcPr>
            <w:tcW w:w="633" w:type="pct"/>
            <w:noWrap/>
            <w:tcMar>
              <w:top w:w="11" w:type="dxa"/>
              <w:left w:w="11" w:type="dxa"/>
              <w:bottom w:w="0" w:type="dxa"/>
              <w:right w:w="11" w:type="dxa"/>
            </w:tcMar>
            <w:vAlign w:val="center"/>
          </w:tcPr>
          <w:p w14:paraId="4AD36DB8" w14:textId="227E943A" w:rsidR="000D5096" w:rsidRPr="00F13FF2" w:rsidRDefault="000D5096" w:rsidP="00D20A1E">
            <w:pPr>
              <w:keepNext/>
              <w:keepLines/>
              <w:widowControl/>
              <w:spacing w:before="60" w:after="60"/>
              <w:rPr>
                <w:sz w:val="20"/>
                <w:szCs w:val="20"/>
              </w:rPr>
            </w:pPr>
            <w:r w:rsidRPr="00F13FF2">
              <w:rPr>
                <w:sz w:val="20"/>
                <w:szCs w:val="20"/>
              </w:rPr>
              <w:t>5</w:t>
            </w:r>
            <w:r w:rsidR="00733E40">
              <w:rPr>
                <w:sz w:val="20"/>
                <w:szCs w:val="20"/>
              </w:rPr>
              <w:t>–</w:t>
            </w:r>
            <w:r w:rsidRPr="00F13FF2">
              <w:rPr>
                <w:sz w:val="20"/>
                <w:szCs w:val="20"/>
              </w:rPr>
              <w:t>14 years</w:t>
            </w:r>
          </w:p>
        </w:tc>
        <w:tc>
          <w:tcPr>
            <w:tcW w:w="591" w:type="pct"/>
            <w:shd w:val="clear" w:color="auto" w:fill="D9D9D9" w:themeFill="background1" w:themeFillShade="D9"/>
            <w:vAlign w:val="center"/>
          </w:tcPr>
          <w:p w14:paraId="2C24FA8F" w14:textId="77777777" w:rsidR="000D5096" w:rsidRPr="00F13FF2" w:rsidRDefault="000D5096" w:rsidP="00D20A1E">
            <w:pPr>
              <w:keepNext/>
              <w:keepLines/>
              <w:widowControl/>
              <w:tabs>
                <w:tab w:val="decimal" w:pos="1033"/>
              </w:tabs>
              <w:spacing w:before="60" w:after="60"/>
              <w:rPr>
                <w:rFonts w:cs="Arial"/>
                <w:sz w:val="20"/>
                <w:szCs w:val="20"/>
              </w:rPr>
            </w:pPr>
            <w:r w:rsidRPr="00F13FF2">
              <w:rPr>
                <w:rFonts w:cs="Arial"/>
                <w:sz w:val="20"/>
                <w:szCs w:val="20"/>
              </w:rPr>
              <w:t>n/a</w:t>
            </w:r>
          </w:p>
        </w:tc>
        <w:tc>
          <w:tcPr>
            <w:tcW w:w="657" w:type="pct"/>
            <w:vAlign w:val="center"/>
          </w:tcPr>
          <w:p w14:paraId="21ACFF7E" w14:textId="77777777" w:rsidR="000D5096" w:rsidRPr="00F13FF2" w:rsidRDefault="000D5096" w:rsidP="00D20A1E">
            <w:pPr>
              <w:keepNext/>
              <w:keepLines/>
              <w:widowControl/>
              <w:tabs>
                <w:tab w:val="decimal" w:pos="1045"/>
              </w:tabs>
              <w:spacing w:before="60" w:after="60"/>
              <w:rPr>
                <w:rFonts w:cs="Arial"/>
                <w:sz w:val="20"/>
                <w:szCs w:val="20"/>
              </w:rPr>
            </w:pPr>
            <w:r w:rsidRPr="00F13FF2">
              <w:rPr>
                <w:rFonts w:cs="Arial"/>
                <w:sz w:val="20"/>
                <w:szCs w:val="20"/>
              </w:rPr>
              <w:t>3,275</w:t>
            </w:r>
          </w:p>
        </w:tc>
        <w:tc>
          <w:tcPr>
            <w:tcW w:w="657" w:type="pct"/>
            <w:shd w:val="clear" w:color="auto" w:fill="D9D9D9" w:themeFill="background1" w:themeFillShade="D9"/>
            <w:vAlign w:val="center"/>
          </w:tcPr>
          <w:p w14:paraId="04D23974" w14:textId="77777777" w:rsidR="000D5096" w:rsidRPr="00F13FF2" w:rsidRDefault="000D5096" w:rsidP="00D20A1E">
            <w:pPr>
              <w:keepNext/>
              <w:keepLines/>
              <w:widowControl/>
              <w:spacing w:before="60" w:after="60"/>
              <w:jc w:val="center"/>
              <w:rPr>
                <w:rFonts w:cs="Arial"/>
                <w:sz w:val="20"/>
                <w:szCs w:val="20"/>
              </w:rPr>
            </w:pPr>
            <w:r w:rsidRPr="00F13FF2">
              <w:rPr>
                <w:rFonts w:cs="Arial"/>
                <w:sz w:val="20"/>
                <w:szCs w:val="20"/>
              </w:rPr>
              <w:t>n/a</w:t>
            </w:r>
          </w:p>
        </w:tc>
        <w:tc>
          <w:tcPr>
            <w:tcW w:w="821" w:type="pct"/>
            <w:shd w:val="clear" w:color="auto" w:fill="D9D9D9" w:themeFill="background1" w:themeFillShade="D9"/>
            <w:noWrap/>
            <w:tcMar>
              <w:top w:w="11" w:type="dxa"/>
              <w:left w:w="11" w:type="dxa"/>
              <w:bottom w:w="0" w:type="dxa"/>
              <w:right w:w="11" w:type="dxa"/>
            </w:tcMar>
            <w:vAlign w:val="center"/>
          </w:tcPr>
          <w:p w14:paraId="0FF2BEDB" w14:textId="77777777" w:rsidR="000D5096" w:rsidRPr="00F13FF2" w:rsidRDefault="000D5096" w:rsidP="00D20A1E">
            <w:pPr>
              <w:keepNext/>
              <w:keepLines/>
              <w:widowControl/>
              <w:spacing w:before="60" w:after="60"/>
              <w:jc w:val="center"/>
              <w:rPr>
                <w:rFonts w:cs="Arial"/>
                <w:sz w:val="20"/>
                <w:szCs w:val="20"/>
              </w:rPr>
            </w:pPr>
            <w:r w:rsidRPr="00F13FF2">
              <w:rPr>
                <w:rFonts w:cs="Arial"/>
                <w:sz w:val="20"/>
                <w:szCs w:val="20"/>
              </w:rPr>
              <w:t>n/a</w:t>
            </w:r>
          </w:p>
        </w:tc>
        <w:tc>
          <w:tcPr>
            <w:tcW w:w="821" w:type="pct"/>
            <w:noWrap/>
            <w:tcMar>
              <w:top w:w="11" w:type="dxa"/>
              <w:left w:w="11" w:type="dxa"/>
              <w:bottom w:w="0" w:type="dxa"/>
              <w:right w:w="11" w:type="dxa"/>
            </w:tcMar>
            <w:vAlign w:val="center"/>
          </w:tcPr>
          <w:p w14:paraId="6E90955F" w14:textId="77777777" w:rsidR="000D5096" w:rsidRPr="00F13FF2" w:rsidRDefault="000D5096"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71</w:t>
            </w:r>
          </w:p>
        </w:tc>
        <w:tc>
          <w:tcPr>
            <w:tcW w:w="821" w:type="pct"/>
            <w:shd w:val="clear" w:color="auto" w:fill="D9D9D9" w:themeFill="background1" w:themeFillShade="D9"/>
            <w:noWrap/>
            <w:tcMar>
              <w:top w:w="11" w:type="dxa"/>
              <w:left w:w="11" w:type="dxa"/>
              <w:bottom w:w="0" w:type="dxa"/>
              <w:right w:w="11" w:type="dxa"/>
            </w:tcMar>
            <w:vAlign w:val="center"/>
          </w:tcPr>
          <w:p w14:paraId="3BBF5818" w14:textId="77777777" w:rsidR="000D5096" w:rsidRPr="00F13FF2" w:rsidRDefault="000D5096" w:rsidP="00D20A1E">
            <w:pPr>
              <w:keepNext/>
              <w:keepLines/>
              <w:widowControl/>
              <w:spacing w:before="60" w:after="60"/>
              <w:jc w:val="center"/>
              <w:rPr>
                <w:rFonts w:eastAsia="Arial Unicode MS" w:cs="Arial"/>
                <w:sz w:val="20"/>
                <w:szCs w:val="20"/>
              </w:rPr>
            </w:pPr>
            <w:r w:rsidRPr="00F13FF2">
              <w:rPr>
                <w:rFonts w:cs="Arial"/>
                <w:sz w:val="20"/>
                <w:szCs w:val="20"/>
              </w:rPr>
              <w:t>n/a</w:t>
            </w:r>
          </w:p>
        </w:tc>
      </w:tr>
    </w:tbl>
    <w:p w14:paraId="372D36C2" w14:textId="77777777" w:rsidR="000D5096" w:rsidRPr="00F13FF2" w:rsidRDefault="000D5096" w:rsidP="00D20A1E">
      <w:pPr>
        <w:widowControl/>
        <w:spacing w:before="20" w:after="40"/>
        <w:rPr>
          <w:sz w:val="18"/>
          <w:szCs w:val="18"/>
        </w:rPr>
      </w:pPr>
      <w:r w:rsidRPr="00F13FF2">
        <w:rPr>
          <w:bCs/>
          <w:sz w:val="18"/>
          <w:szCs w:val="18"/>
          <w:vertAlign w:val="superscript"/>
        </w:rPr>
        <w:sym w:font="Wingdings 2" w:char="F0D8"/>
      </w:r>
      <w:r w:rsidRPr="00F13FF2">
        <w:rPr>
          <w:sz w:val="18"/>
          <w:szCs w:val="18"/>
        </w:rPr>
        <w:tab/>
        <w:t>All protein intakes have been rounded to the nearest whole number</w:t>
      </w:r>
    </w:p>
    <w:p w14:paraId="5C9A88F7" w14:textId="16E8618D" w:rsidR="000D5096" w:rsidRPr="00780B89" w:rsidRDefault="000D5096" w:rsidP="00D20A1E">
      <w:pPr>
        <w:widowControl/>
        <w:spacing w:before="20" w:after="40"/>
        <w:rPr>
          <w:sz w:val="18"/>
          <w:szCs w:val="18"/>
          <w:lang w:val="en-US"/>
        </w:rPr>
      </w:pPr>
      <w:r w:rsidRPr="00780B89">
        <w:rPr>
          <w:sz w:val="18"/>
          <w:szCs w:val="18"/>
        </w:rPr>
        <w:t>Gr</w:t>
      </w:r>
      <w:r w:rsidR="00733E40">
        <w:rPr>
          <w:sz w:val="18"/>
          <w:szCs w:val="18"/>
        </w:rPr>
        <w:t>e</w:t>
      </w:r>
      <w:r w:rsidRPr="00780B89">
        <w:rPr>
          <w:sz w:val="18"/>
          <w:szCs w:val="18"/>
        </w:rPr>
        <w:t>y shading indicates that data are not available</w:t>
      </w:r>
    </w:p>
    <w:p w14:paraId="46899923" w14:textId="525281C3" w:rsidR="00AD191F" w:rsidRDefault="00AD191F" w:rsidP="00D20A1E">
      <w:pPr>
        <w:widowControl/>
        <w:rPr>
          <w:lang w:val="en-US"/>
        </w:rPr>
      </w:pPr>
    </w:p>
    <w:p w14:paraId="2327DB15" w14:textId="5EB41C33" w:rsidR="00414FC1" w:rsidRDefault="00414FC1" w:rsidP="00D20A1E">
      <w:pPr>
        <w:pStyle w:val="FSTableTitle"/>
        <w:keepNext/>
        <w:keepLines/>
        <w:widowControl/>
      </w:pPr>
      <w:bookmarkStart w:id="208" w:name="_Ref420483356"/>
      <w:r>
        <w:t>Table A1.</w:t>
      </w:r>
      <w:fldSimple w:instr=" SEQ Table_A1. \* ARABIC ">
        <w:r w:rsidR="00047581">
          <w:rPr>
            <w:noProof/>
          </w:rPr>
          <w:t>12</w:t>
        </w:r>
      </w:fldSimple>
      <w:bookmarkEnd w:id="208"/>
      <w:r>
        <w:t>:</w:t>
      </w:r>
      <w:r w:rsidR="00F6296A">
        <w:t xml:space="preserve"> </w:t>
      </w:r>
      <w:r>
        <w:t>Estimated mean fat intakes (g/day) for Australian and New Zealand population groups, based on cereal beverage assessment (A500)</w:t>
      </w:r>
    </w:p>
    <w:p w14:paraId="1DEF25C0" w14:textId="77777777" w:rsidR="0023423F" w:rsidRPr="0023423F" w:rsidRDefault="0023423F" w:rsidP="002342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1589"/>
        <w:gridCol w:w="1484"/>
        <w:gridCol w:w="1648"/>
        <w:gridCol w:w="1650"/>
        <w:gridCol w:w="1497"/>
        <w:gridCol w:w="1731"/>
        <w:gridCol w:w="2952"/>
      </w:tblGrid>
      <w:tr w:rsidR="00414FC1" w14:paraId="47316ECA" w14:textId="77777777" w:rsidTr="009B508A">
        <w:trPr>
          <w:trHeight w:val="276"/>
        </w:trPr>
        <w:tc>
          <w:tcPr>
            <w:tcW w:w="1429" w:type="dxa"/>
            <w:vMerge w:val="restart"/>
            <w:tcBorders>
              <w:top w:val="single" w:sz="4" w:space="0" w:color="auto"/>
              <w:left w:val="single" w:sz="4" w:space="0" w:color="auto"/>
              <w:right w:val="single" w:sz="4" w:space="0" w:color="auto"/>
            </w:tcBorders>
            <w:shd w:val="clear" w:color="auto" w:fill="B8CCE4" w:themeFill="accent1" w:themeFillTint="66"/>
            <w:noWrap/>
            <w:tcMar>
              <w:top w:w="11" w:type="dxa"/>
              <w:left w:w="11" w:type="dxa"/>
              <w:bottom w:w="0" w:type="dxa"/>
              <w:right w:w="11" w:type="dxa"/>
            </w:tcMar>
            <w:vAlign w:val="center"/>
          </w:tcPr>
          <w:p w14:paraId="4B0C6781" w14:textId="77777777" w:rsidR="00414FC1" w:rsidRPr="00EE4A94" w:rsidRDefault="00414FC1" w:rsidP="00D20A1E">
            <w:pPr>
              <w:keepNext/>
              <w:keepLines/>
              <w:widowControl/>
              <w:spacing w:before="60" w:after="60"/>
              <w:rPr>
                <w:rFonts w:eastAsia="Arial Unicode MS"/>
                <w:sz w:val="20"/>
                <w:szCs w:val="20"/>
              </w:rPr>
            </w:pPr>
            <w:r w:rsidRPr="00EE4A94">
              <w:rPr>
                <w:b/>
                <w:bCs/>
                <w:sz w:val="20"/>
                <w:szCs w:val="20"/>
              </w:rPr>
              <w:lastRenderedPageBreak/>
              <w:t>Country</w:t>
            </w:r>
          </w:p>
        </w:tc>
        <w:tc>
          <w:tcPr>
            <w:tcW w:w="1589" w:type="dxa"/>
            <w:vMerge w:val="restart"/>
            <w:tcBorders>
              <w:left w:val="single" w:sz="4" w:space="0" w:color="auto"/>
            </w:tcBorders>
            <w:shd w:val="clear" w:color="auto" w:fill="B8CCE4" w:themeFill="accent1" w:themeFillTint="66"/>
            <w:noWrap/>
            <w:tcMar>
              <w:top w:w="11" w:type="dxa"/>
              <w:left w:w="11" w:type="dxa"/>
              <w:bottom w:w="0" w:type="dxa"/>
              <w:right w:w="11" w:type="dxa"/>
            </w:tcMar>
            <w:vAlign w:val="center"/>
          </w:tcPr>
          <w:p w14:paraId="35EBA684" w14:textId="77777777" w:rsidR="00414FC1" w:rsidRPr="00EE4A94" w:rsidRDefault="00414FC1" w:rsidP="00D20A1E">
            <w:pPr>
              <w:keepNext/>
              <w:keepLines/>
              <w:widowControl/>
              <w:spacing w:before="60" w:after="60"/>
              <w:ind w:left="-11"/>
              <w:jc w:val="center"/>
              <w:rPr>
                <w:rFonts w:eastAsia="Arial Unicode MS"/>
                <w:sz w:val="20"/>
                <w:szCs w:val="20"/>
              </w:rPr>
            </w:pPr>
            <w:r w:rsidRPr="00EE4A94">
              <w:rPr>
                <w:b/>
                <w:bCs/>
                <w:sz w:val="20"/>
                <w:szCs w:val="20"/>
              </w:rPr>
              <w:t>Population Group^</w:t>
            </w:r>
          </w:p>
        </w:tc>
        <w:tc>
          <w:tcPr>
            <w:tcW w:w="4782" w:type="dxa"/>
            <w:gridSpan w:val="3"/>
            <w:shd w:val="clear" w:color="auto" w:fill="B8CCE4" w:themeFill="accent1" w:themeFillTint="66"/>
            <w:vAlign w:val="center"/>
          </w:tcPr>
          <w:p w14:paraId="2C5FE9F3" w14:textId="77777777" w:rsidR="00414FC1" w:rsidRPr="00EE4A94" w:rsidRDefault="00414FC1" w:rsidP="00D20A1E">
            <w:pPr>
              <w:keepNext/>
              <w:keepLines/>
              <w:widowControl/>
              <w:spacing w:before="60" w:after="60"/>
              <w:jc w:val="center"/>
              <w:rPr>
                <w:b/>
                <w:bCs/>
                <w:sz w:val="20"/>
                <w:szCs w:val="20"/>
              </w:rPr>
            </w:pPr>
            <w:r>
              <w:rPr>
                <w:b/>
                <w:bCs/>
                <w:sz w:val="20"/>
                <w:szCs w:val="20"/>
              </w:rPr>
              <w:t>Number of survey respondents</w:t>
            </w:r>
          </w:p>
        </w:tc>
        <w:tc>
          <w:tcPr>
            <w:tcW w:w="6180" w:type="dxa"/>
            <w:gridSpan w:val="3"/>
            <w:shd w:val="clear" w:color="auto" w:fill="B8CCE4" w:themeFill="accent1" w:themeFillTint="66"/>
            <w:noWrap/>
            <w:tcMar>
              <w:top w:w="11" w:type="dxa"/>
              <w:left w:w="11" w:type="dxa"/>
              <w:bottom w:w="0" w:type="dxa"/>
              <w:right w:w="11" w:type="dxa"/>
            </w:tcMar>
            <w:vAlign w:val="center"/>
          </w:tcPr>
          <w:p w14:paraId="769EDA81" w14:textId="6ADEE1D8" w:rsidR="00414FC1" w:rsidRPr="00EE4A94" w:rsidRDefault="00414FC1" w:rsidP="00D20A1E">
            <w:pPr>
              <w:keepNext/>
              <w:keepLines/>
              <w:widowControl/>
              <w:spacing w:before="60" w:after="60"/>
              <w:jc w:val="center"/>
              <w:rPr>
                <w:rFonts w:eastAsia="Arial Unicode MS"/>
                <w:b/>
                <w:bCs/>
                <w:sz w:val="20"/>
                <w:szCs w:val="20"/>
              </w:rPr>
            </w:pPr>
            <w:r>
              <w:rPr>
                <w:b/>
                <w:bCs/>
                <w:sz w:val="20"/>
                <w:szCs w:val="20"/>
              </w:rPr>
              <w:t xml:space="preserve">Estimated mean </w:t>
            </w:r>
            <w:r w:rsidR="009B508A">
              <w:rPr>
                <w:b/>
                <w:bCs/>
                <w:sz w:val="20"/>
                <w:szCs w:val="20"/>
              </w:rPr>
              <w:t>fat</w:t>
            </w:r>
            <w:r w:rsidR="009B508A" w:rsidRPr="00EE4A94">
              <w:rPr>
                <w:b/>
                <w:bCs/>
                <w:sz w:val="20"/>
                <w:szCs w:val="20"/>
              </w:rPr>
              <w:t xml:space="preserve"> </w:t>
            </w:r>
            <w:r>
              <w:rPr>
                <w:b/>
                <w:bCs/>
                <w:sz w:val="20"/>
                <w:szCs w:val="20"/>
              </w:rPr>
              <w:t>i</w:t>
            </w:r>
            <w:r w:rsidRPr="00EE4A94">
              <w:rPr>
                <w:b/>
                <w:bCs/>
                <w:sz w:val="20"/>
                <w:szCs w:val="20"/>
              </w:rPr>
              <w:t>ntake (g/day)</w:t>
            </w:r>
          </w:p>
        </w:tc>
      </w:tr>
      <w:tr w:rsidR="00414FC1" w14:paraId="366C65DF" w14:textId="77777777" w:rsidTr="009B508A">
        <w:trPr>
          <w:trHeight w:val="540"/>
        </w:trPr>
        <w:tc>
          <w:tcPr>
            <w:tcW w:w="1429" w:type="dxa"/>
            <w:vMerge/>
            <w:tcBorders>
              <w:left w:val="single" w:sz="4" w:space="0" w:color="auto"/>
              <w:right w:val="single" w:sz="4" w:space="0" w:color="auto"/>
            </w:tcBorders>
            <w:shd w:val="clear" w:color="auto" w:fill="B8CCE4" w:themeFill="accent1" w:themeFillTint="66"/>
            <w:tcMar>
              <w:top w:w="11" w:type="dxa"/>
              <w:left w:w="11" w:type="dxa"/>
              <w:bottom w:w="0" w:type="dxa"/>
              <w:right w:w="11" w:type="dxa"/>
            </w:tcMar>
            <w:vAlign w:val="center"/>
          </w:tcPr>
          <w:p w14:paraId="4E7412D3" w14:textId="77777777" w:rsidR="00414FC1" w:rsidRPr="00EE4A94" w:rsidRDefault="00414FC1" w:rsidP="00D20A1E">
            <w:pPr>
              <w:keepNext/>
              <w:keepLines/>
              <w:widowControl/>
              <w:spacing w:before="60" w:after="60"/>
              <w:rPr>
                <w:rFonts w:eastAsia="Arial Unicode MS"/>
                <w:b/>
                <w:bCs/>
                <w:sz w:val="20"/>
                <w:szCs w:val="20"/>
              </w:rPr>
            </w:pPr>
          </w:p>
        </w:tc>
        <w:tc>
          <w:tcPr>
            <w:tcW w:w="1589" w:type="dxa"/>
            <w:vMerge/>
            <w:tcBorders>
              <w:left w:val="single" w:sz="4" w:space="0" w:color="auto"/>
            </w:tcBorders>
            <w:shd w:val="clear" w:color="auto" w:fill="B8CCE4" w:themeFill="accent1" w:themeFillTint="66"/>
            <w:tcMar>
              <w:top w:w="11" w:type="dxa"/>
              <w:left w:w="11" w:type="dxa"/>
              <w:bottom w:w="0" w:type="dxa"/>
              <w:right w:w="11" w:type="dxa"/>
            </w:tcMar>
            <w:vAlign w:val="center"/>
          </w:tcPr>
          <w:p w14:paraId="56030184" w14:textId="77777777" w:rsidR="00414FC1" w:rsidRPr="00EE4A94" w:rsidRDefault="00414FC1" w:rsidP="00D20A1E">
            <w:pPr>
              <w:keepNext/>
              <w:keepLines/>
              <w:widowControl/>
              <w:spacing w:before="60" w:after="60"/>
              <w:ind w:left="-11"/>
              <w:jc w:val="center"/>
              <w:rPr>
                <w:rFonts w:eastAsia="Arial Unicode MS"/>
                <w:b/>
                <w:bCs/>
                <w:sz w:val="20"/>
                <w:szCs w:val="20"/>
              </w:rPr>
            </w:pPr>
          </w:p>
        </w:tc>
        <w:tc>
          <w:tcPr>
            <w:tcW w:w="1484" w:type="dxa"/>
            <w:shd w:val="clear" w:color="auto" w:fill="B8CCE4" w:themeFill="accent1" w:themeFillTint="66"/>
            <w:vAlign w:val="center"/>
          </w:tcPr>
          <w:p w14:paraId="4C5E0F20" w14:textId="77777777" w:rsidR="00414FC1" w:rsidRPr="006C356A" w:rsidRDefault="00414FC1" w:rsidP="00D20A1E">
            <w:pPr>
              <w:keepNext/>
              <w:keepLines/>
              <w:widowControl/>
              <w:spacing w:before="60" w:after="60"/>
              <w:jc w:val="center"/>
              <w:rPr>
                <w:b/>
                <w:i/>
                <w:sz w:val="20"/>
                <w:szCs w:val="20"/>
                <w:lang w:val="en-US"/>
              </w:rPr>
            </w:pPr>
            <w:r w:rsidRPr="006C356A">
              <w:rPr>
                <w:b/>
                <w:i/>
                <w:sz w:val="20"/>
                <w:szCs w:val="20"/>
                <w:lang w:val="en-US"/>
              </w:rPr>
              <w:t>General population</w:t>
            </w:r>
          </w:p>
        </w:tc>
        <w:tc>
          <w:tcPr>
            <w:tcW w:w="3298" w:type="dxa"/>
            <w:gridSpan w:val="2"/>
            <w:shd w:val="clear" w:color="auto" w:fill="B8CCE4" w:themeFill="accent1" w:themeFillTint="66"/>
            <w:vAlign w:val="center"/>
          </w:tcPr>
          <w:p w14:paraId="4F772739" w14:textId="77777777" w:rsidR="00414FC1" w:rsidRPr="006C356A" w:rsidRDefault="00414FC1" w:rsidP="00D20A1E">
            <w:pPr>
              <w:keepNext/>
              <w:keepLines/>
              <w:widowControl/>
              <w:spacing w:before="60" w:after="60"/>
              <w:jc w:val="center"/>
              <w:rPr>
                <w:b/>
                <w:i/>
                <w:sz w:val="20"/>
                <w:szCs w:val="20"/>
                <w:lang w:val="en-US"/>
              </w:rPr>
            </w:pPr>
            <w:r w:rsidRPr="006C356A">
              <w:rPr>
                <w:b/>
                <w:i/>
                <w:sz w:val="20"/>
                <w:szCs w:val="20"/>
                <w:lang w:val="en-US"/>
              </w:rPr>
              <w:t xml:space="preserve">Non-dairy consumers </w:t>
            </w:r>
          </w:p>
        </w:tc>
        <w:tc>
          <w:tcPr>
            <w:tcW w:w="1497" w:type="dxa"/>
            <w:shd w:val="clear" w:color="auto" w:fill="B8CCE4" w:themeFill="accent1" w:themeFillTint="66"/>
            <w:tcMar>
              <w:top w:w="11" w:type="dxa"/>
              <w:left w:w="11" w:type="dxa"/>
              <w:bottom w:w="0" w:type="dxa"/>
              <w:right w:w="11" w:type="dxa"/>
            </w:tcMar>
            <w:vAlign w:val="center"/>
          </w:tcPr>
          <w:p w14:paraId="2928A56D" w14:textId="77777777" w:rsidR="00414FC1" w:rsidRPr="006C356A" w:rsidRDefault="00414FC1" w:rsidP="00D20A1E">
            <w:pPr>
              <w:keepNext/>
              <w:keepLines/>
              <w:widowControl/>
              <w:spacing w:before="60" w:after="60"/>
              <w:jc w:val="center"/>
              <w:rPr>
                <w:rFonts w:eastAsia="Arial Unicode MS"/>
                <w:b/>
                <w:bCs/>
                <w:i/>
                <w:sz w:val="20"/>
                <w:szCs w:val="20"/>
              </w:rPr>
            </w:pPr>
            <w:r w:rsidRPr="006C356A">
              <w:rPr>
                <w:b/>
                <w:i/>
                <w:sz w:val="20"/>
                <w:szCs w:val="20"/>
                <w:lang w:val="en-US"/>
              </w:rPr>
              <w:t>General population</w:t>
            </w:r>
          </w:p>
        </w:tc>
        <w:tc>
          <w:tcPr>
            <w:tcW w:w="4683" w:type="dxa"/>
            <w:gridSpan w:val="2"/>
            <w:shd w:val="clear" w:color="auto" w:fill="B8CCE4" w:themeFill="accent1" w:themeFillTint="66"/>
            <w:tcMar>
              <w:top w:w="11" w:type="dxa"/>
              <w:left w:w="11" w:type="dxa"/>
              <w:bottom w:w="0" w:type="dxa"/>
              <w:right w:w="11" w:type="dxa"/>
            </w:tcMar>
            <w:vAlign w:val="center"/>
          </w:tcPr>
          <w:p w14:paraId="175F19C5" w14:textId="77777777" w:rsidR="00414FC1" w:rsidRPr="006C356A" w:rsidRDefault="00414FC1" w:rsidP="00D20A1E">
            <w:pPr>
              <w:keepNext/>
              <w:keepLines/>
              <w:widowControl/>
              <w:spacing w:before="60" w:after="60"/>
              <w:jc w:val="center"/>
              <w:rPr>
                <w:rFonts w:eastAsia="Arial Unicode MS"/>
                <w:bCs/>
                <w:i/>
                <w:sz w:val="20"/>
                <w:szCs w:val="20"/>
              </w:rPr>
            </w:pPr>
            <w:r w:rsidRPr="006C356A">
              <w:rPr>
                <w:b/>
                <w:i/>
                <w:sz w:val="20"/>
                <w:szCs w:val="20"/>
                <w:lang w:val="en-US"/>
              </w:rPr>
              <w:t xml:space="preserve">Non-dairy consumers </w:t>
            </w:r>
          </w:p>
        </w:tc>
      </w:tr>
      <w:tr w:rsidR="00414FC1" w14:paraId="3A33D1A8" w14:textId="77777777" w:rsidTr="00F13FF2">
        <w:trPr>
          <w:trHeight w:val="540"/>
        </w:trPr>
        <w:tc>
          <w:tcPr>
            <w:tcW w:w="1429" w:type="dxa"/>
            <w:vMerge/>
            <w:tcBorders>
              <w:left w:val="single" w:sz="4" w:space="0" w:color="auto"/>
              <w:bottom w:val="single" w:sz="4" w:space="0" w:color="auto"/>
              <w:right w:val="single" w:sz="4" w:space="0" w:color="auto"/>
            </w:tcBorders>
            <w:shd w:val="clear" w:color="auto" w:fill="B8CCE4" w:themeFill="accent1" w:themeFillTint="66"/>
            <w:tcMar>
              <w:top w:w="11" w:type="dxa"/>
              <w:left w:w="11" w:type="dxa"/>
              <w:bottom w:w="0" w:type="dxa"/>
              <w:right w:w="11" w:type="dxa"/>
            </w:tcMar>
            <w:vAlign w:val="center"/>
          </w:tcPr>
          <w:p w14:paraId="778CE48A" w14:textId="77777777" w:rsidR="00414FC1" w:rsidRPr="00EE4A94" w:rsidRDefault="00414FC1" w:rsidP="00D20A1E">
            <w:pPr>
              <w:keepNext/>
              <w:keepLines/>
              <w:widowControl/>
              <w:spacing w:before="60" w:after="60"/>
              <w:rPr>
                <w:b/>
                <w:bCs/>
                <w:sz w:val="20"/>
                <w:szCs w:val="20"/>
              </w:rPr>
            </w:pPr>
          </w:p>
        </w:tc>
        <w:tc>
          <w:tcPr>
            <w:tcW w:w="1589" w:type="dxa"/>
            <w:vMerge/>
            <w:tcBorders>
              <w:left w:val="single" w:sz="4" w:space="0" w:color="auto"/>
            </w:tcBorders>
            <w:shd w:val="clear" w:color="auto" w:fill="B8CCE4" w:themeFill="accent1" w:themeFillTint="66"/>
            <w:tcMar>
              <w:top w:w="11" w:type="dxa"/>
              <w:left w:w="11" w:type="dxa"/>
              <w:bottom w:w="0" w:type="dxa"/>
              <w:right w:w="11" w:type="dxa"/>
            </w:tcMar>
            <w:vAlign w:val="center"/>
          </w:tcPr>
          <w:p w14:paraId="73287BBD" w14:textId="77777777" w:rsidR="00414FC1" w:rsidRPr="00EE4A94" w:rsidRDefault="00414FC1" w:rsidP="00D20A1E">
            <w:pPr>
              <w:keepNext/>
              <w:keepLines/>
              <w:widowControl/>
              <w:spacing w:before="60" w:after="60"/>
              <w:ind w:left="-11"/>
              <w:jc w:val="center"/>
              <w:rPr>
                <w:b/>
                <w:bCs/>
                <w:sz w:val="20"/>
                <w:szCs w:val="20"/>
              </w:rPr>
            </w:pPr>
          </w:p>
        </w:tc>
        <w:tc>
          <w:tcPr>
            <w:tcW w:w="1484" w:type="dxa"/>
            <w:shd w:val="clear" w:color="auto" w:fill="B8CCE4" w:themeFill="accent1" w:themeFillTint="66"/>
            <w:vAlign w:val="center"/>
          </w:tcPr>
          <w:p w14:paraId="731FFA5E" w14:textId="77777777" w:rsidR="00414FC1" w:rsidRPr="006C356A" w:rsidRDefault="00414FC1" w:rsidP="00D20A1E">
            <w:pPr>
              <w:keepNext/>
              <w:keepLines/>
              <w:widowControl/>
              <w:spacing w:before="60" w:after="60"/>
              <w:jc w:val="center"/>
              <w:rPr>
                <w:b/>
                <w:i/>
                <w:sz w:val="20"/>
                <w:szCs w:val="20"/>
                <w:lang w:val="en-US"/>
              </w:rPr>
            </w:pPr>
            <w:r w:rsidRPr="006C356A">
              <w:rPr>
                <w:b/>
                <w:i/>
                <w:sz w:val="20"/>
                <w:szCs w:val="20"/>
                <w:lang w:val="en-US"/>
              </w:rPr>
              <w:t>Includes dairy</w:t>
            </w:r>
            <w:r>
              <w:rPr>
                <w:b/>
                <w:i/>
                <w:sz w:val="20"/>
                <w:szCs w:val="20"/>
                <w:lang w:val="en-US"/>
              </w:rPr>
              <w:t xml:space="preserve"> and non-dairy</w:t>
            </w:r>
            <w:r w:rsidRPr="006C356A">
              <w:rPr>
                <w:b/>
                <w:i/>
                <w:sz w:val="20"/>
                <w:szCs w:val="20"/>
                <w:lang w:val="en-US"/>
              </w:rPr>
              <w:t xml:space="preserve"> consumers</w:t>
            </w:r>
          </w:p>
        </w:tc>
        <w:tc>
          <w:tcPr>
            <w:tcW w:w="1648" w:type="dxa"/>
            <w:shd w:val="clear" w:color="auto" w:fill="B8CCE4" w:themeFill="accent1" w:themeFillTint="66"/>
            <w:vAlign w:val="center"/>
          </w:tcPr>
          <w:p w14:paraId="2CD4D9F7" w14:textId="677A636B" w:rsidR="00414FC1" w:rsidRPr="006C356A" w:rsidRDefault="00414FC1" w:rsidP="00D20A1E">
            <w:pPr>
              <w:keepNext/>
              <w:keepLines/>
              <w:widowControl/>
              <w:spacing w:before="60" w:after="60"/>
              <w:jc w:val="center"/>
              <w:rPr>
                <w:b/>
                <w:i/>
                <w:sz w:val="20"/>
                <w:szCs w:val="20"/>
                <w:lang w:val="en-US"/>
              </w:rPr>
            </w:pPr>
            <w:r>
              <w:rPr>
                <w:b/>
                <w:i/>
                <w:sz w:val="20"/>
                <w:szCs w:val="20"/>
                <w:lang w:val="en-US"/>
              </w:rPr>
              <w:t>With or without</w:t>
            </w:r>
            <w:r w:rsidRPr="006C356A">
              <w:rPr>
                <w:b/>
                <w:i/>
                <w:sz w:val="20"/>
                <w:szCs w:val="20"/>
                <w:lang w:val="en-US"/>
              </w:rPr>
              <w:t xml:space="preserve"> </w:t>
            </w:r>
            <w:r w:rsidR="003D608F">
              <w:rPr>
                <w:b/>
                <w:i/>
                <w:sz w:val="20"/>
                <w:szCs w:val="20"/>
                <w:lang w:val="en-US"/>
              </w:rPr>
              <w:t>plant-based milk substitute</w:t>
            </w:r>
            <w:r w:rsidRPr="006C356A">
              <w:rPr>
                <w:b/>
                <w:i/>
                <w:sz w:val="20"/>
                <w:szCs w:val="20"/>
                <w:lang w:val="en-US"/>
              </w:rPr>
              <w:t>s</w:t>
            </w:r>
          </w:p>
        </w:tc>
        <w:tc>
          <w:tcPr>
            <w:tcW w:w="1650" w:type="dxa"/>
            <w:shd w:val="clear" w:color="auto" w:fill="B8CCE4" w:themeFill="accent1" w:themeFillTint="66"/>
            <w:vAlign w:val="center"/>
          </w:tcPr>
          <w:p w14:paraId="7CBAAF45" w14:textId="6A3203AC" w:rsidR="00414FC1" w:rsidRPr="006C356A" w:rsidRDefault="00414FC1" w:rsidP="00D20A1E">
            <w:pPr>
              <w:keepNext/>
              <w:keepLines/>
              <w:widowControl/>
              <w:spacing w:before="60" w:after="60"/>
              <w:jc w:val="center"/>
              <w:rPr>
                <w:b/>
                <w:i/>
                <w:sz w:val="20"/>
                <w:szCs w:val="20"/>
                <w:lang w:val="en-US"/>
              </w:rPr>
            </w:pPr>
            <w:r>
              <w:rPr>
                <w:b/>
                <w:i/>
                <w:sz w:val="20"/>
                <w:szCs w:val="20"/>
                <w:lang w:val="en-US"/>
              </w:rPr>
              <w:t>With</w:t>
            </w:r>
            <w:r w:rsidRPr="006C356A">
              <w:rPr>
                <w:b/>
                <w:i/>
                <w:sz w:val="20"/>
                <w:szCs w:val="20"/>
                <w:lang w:val="en-US"/>
              </w:rPr>
              <w:t xml:space="preserve"> </w:t>
            </w:r>
            <w:r w:rsidR="003D608F">
              <w:rPr>
                <w:b/>
                <w:i/>
                <w:sz w:val="20"/>
                <w:szCs w:val="20"/>
                <w:lang w:val="en-US"/>
              </w:rPr>
              <w:t>plant-based milk substitute</w:t>
            </w:r>
            <w:r w:rsidRPr="006C356A">
              <w:rPr>
                <w:b/>
                <w:i/>
                <w:sz w:val="20"/>
                <w:szCs w:val="20"/>
                <w:lang w:val="en-US"/>
              </w:rPr>
              <w:t>s</w:t>
            </w:r>
          </w:p>
        </w:tc>
        <w:tc>
          <w:tcPr>
            <w:tcW w:w="1497" w:type="dxa"/>
            <w:tcBorders>
              <w:bottom w:val="single" w:sz="4" w:space="0" w:color="auto"/>
            </w:tcBorders>
            <w:shd w:val="clear" w:color="auto" w:fill="B8CCE4" w:themeFill="accent1" w:themeFillTint="66"/>
            <w:tcMar>
              <w:top w:w="11" w:type="dxa"/>
              <w:left w:w="11" w:type="dxa"/>
              <w:bottom w:w="0" w:type="dxa"/>
              <w:right w:w="11" w:type="dxa"/>
            </w:tcMar>
            <w:vAlign w:val="center"/>
          </w:tcPr>
          <w:p w14:paraId="20E2E267" w14:textId="77777777" w:rsidR="00414FC1" w:rsidRPr="006C356A" w:rsidRDefault="00414FC1" w:rsidP="00D20A1E">
            <w:pPr>
              <w:keepNext/>
              <w:keepLines/>
              <w:widowControl/>
              <w:spacing w:before="60" w:after="60"/>
              <w:jc w:val="center"/>
              <w:rPr>
                <w:b/>
                <w:i/>
                <w:sz w:val="20"/>
                <w:szCs w:val="20"/>
                <w:lang w:val="en-US"/>
              </w:rPr>
            </w:pPr>
            <w:r w:rsidRPr="006C356A">
              <w:rPr>
                <w:b/>
                <w:i/>
                <w:sz w:val="20"/>
                <w:szCs w:val="20"/>
                <w:lang w:val="en-US"/>
              </w:rPr>
              <w:t>Includes dairy</w:t>
            </w:r>
            <w:r>
              <w:rPr>
                <w:b/>
                <w:i/>
                <w:sz w:val="20"/>
                <w:szCs w:val="20"/>
                <w:lang w:val="en-US"/>
              </w:rPr>
              <w:t xml:space="preserve"> and non-dairy</w:t>
            </w:r>
            <w:r w:rsidRPr="006C356A">
              <w:rPr>
                <w:b/>
                <w:i/>
                <w:sz w:val="20"/>
                <w:szCs w:val="20"/>
                <w:lang w:val="en-US"/>
              </w:rPr>
              <w:t xml:space="preserve"> consumers</w:t>
            </w:r>
          </w:p>
        </w:tc>
        <w:tc>
          <w:tcPr>
            <w:tcW w:w="1731" w:type="dxa"/>
            <w:shd w:val="clear" w:color="auto" w:fill="B8CCE4" w:themeFill="accent1" w:themeFillTint="66"/>
            <w:tcMar>
              <w:top w:w="11" w:type="dxa"/>
              <w:left w:w="11" w:type="dxa"/>
              <w:bottom w:w="0" w:type="dxa"/>
              <w:right w:w="11" w:type="dxa"/>
            </w:tcMar>
            <w:vAlign w:val="center"/>
          </w:tcPr>
          <w:p w14:paraId="3B145851" w14:textId="43DF8E6A" w:rsidR="00414FC1" w:rsidRPr="006C356A" w:rsidRDefault="00414FC1" w:rsidP="00D20A1E">
            <w:pPr>
              <w:keepNext/>
              <w:keepLines/>
              <w:widowControl/>
              <w:spacing w:before="60" w:after="60"/>
              <w:jc w:val="center"/>
              <w:rPr>
                <w:b/>
                <w:i/>
                <w:sz w:val="20"/>
                <w:szCs w:val="20"/>
                <w:lang w:val="en-US"/>
              </w:rPr>
            </w:pPr>
            <w:r>
              <w:rPr>
                <w:b/>
                <w:i/>
                <w:sz w:val="20"/>
                <w:szCs w:val="20"/>
                <w:lang w:val="en-US"/>
              </w:rPr>
              <w:t>With or without</w:t>
            </w:r>
            <w:r w:rsidRPr="006C356A">
              <w:rPr>
                <w:b/>
                <w:i/>
                <w:sz w:val="20"/>
                <w:szCs w:val="20"/>
                <w:lang w:val="en-US"/>
              </w:rPr>
              <w:t xml:space="preserve"> </w:t>
            </w:r>
            <w:r w:rsidR="003D608F">
              <w:rPr>
                <w:b/>
                <w:i/>
                <w:sz w:val="20"/>
                <w:szCs w:val="20"/>
                <w:lang w:val="en-US"/>
              </w:rPr>
              <w:t>plant-based milk substitute</w:t>
            </w:r>
            <w:r w:rsidRPr="006C356A">
              <w:rPr>
                <w:b/>
                <w:i/>
                <w:sz w:val="20"/>
                <w:szCs w:val="20"/>
                <w:lang w:val="en-US"/>
              </w:rPr>
              <w:t>s</w:t>
            </w:r>
          </w:p>
        </w:tc>
        <w:tc>
          <w:tcPr>
            <w:tcW w:w="2952" w:type="dxa"/>
            <w:shd w:val="clear" w:color="auto" w:fill="B8CCE4" w:themeFill="accent1" w:themeFillTint="66"/>
            <w:noWrap/>
            <w:tcMar>
              <w:top w:w="11" w:type="dxa"/>
              <w:left w:w="11" w:type="dxa"/>
              <w:bottom w:w="0" w:type="dxa"/>
              <w:right w:w="11" w:type="dxa"/>
            </w:tcMar>
            <w:vAlign w:val="center"/>
          </w:tcPr>
          <w:p w14:paraId="168CFF88" w14:textId="41ED4576" w:rsidR="00414FC1" w:rsidRPr="006C356A" w:rsidRDefault="00414FC1" w:rsidP="00D20A1E">
            <w:pPr>
              <w:keepNext/>
              <w:keepLines/>
              <w:widowControl/>
              <w:spacing w:before="60" w:after="60"/>
              <w:jc w:val="center"/>
              <w:rPr>
                <w:b/>
                <w:i/>
                <w:sz w:val="20"/>
                <w:szCs w:val="20"/>
                <w:lang w:val="en-US"/>
              </w:rPr>
            </w:pPr>
            <w:r>
              <w:rPr>
                <w:b/>
                <w:i/>
                <w:sz w:val="20"/>
                <w:szCs w:val="20"/>
                <w:lang w:val="en-US"/>
              </w:rPr>
              <w:t>With</w:t>
            </w:r>
            <w:r w:rsidRPr="006C356A">
              <w:rPr>
                <w:b/>
                <w:i/>
                <w:sz w:val="20"/>
                <w:szCs w:val="20"/>
                <w:lang w:val="en-US"/>
              </w:rPr>
              <w:t xml:space="preserve"> </w:t>
            </w:r>
            <w:r w:rsidR="003D608F">
              <w:rPr>
                <w:b/>
                <w:i/>
                <w:sz w:val="20"/>
                <w:szCs w:val="20"/>
                <w:lang w:val="en-US"/>
              </w:rPr>
              <w:t>plant-based milk substitute</w:t>
            </w:r>
            <w:r w:rsidRPr="006C356A">
              <w:rPr>
                <w:b/>
                <w:i/>
                <w:sz w:val="20"/>
                <w:szCs w:val="20"/>
                <w:lang w:val="en-US"/>
              </w:rPr>
              <w:t>s</w:t>
            </w:r>
          </w:p>
        </w:tc>
      </w:tr>
      <w:tr w:rsidR="00414FC1" w14:paraId="1B40B0D4" w14:textId="77777777" w:rsidTr="00F13FF2">
        <w:trPr>
          <w:trHeight w:val="264"/>
        </w:trPr>
        <w:tc>
          <w:tcPr>
            <w:tcW w:w="1429" w:type="dxa"/>
            <w:tcBorders>
              <w:top w:val="single" w:sz="4" w:space="0" w:color="auto"/>
              <w:bottom w:val="nil"/>
            </w:tcBorders>
            <w:noWrap/>
            <w:tcMar>
              <w:top w:w="15" w:type="dxa"/>
              <w:left w:w="11" w:type="dxa"/>
              <w:bottom w:w="0" w:type="dxa"/>
              <w:right w:w="11" w:type="dxa"/>
            </w:tcMar>
            <w:vAlign w:val="center"/>
          </w:tcPr>
          <w:p w14:paraId="70FEFE48" w14:textId="77777777" w:rsidR="00414FC1" w:rsidRPr="00FC41C1" w:rsidRDefault="00414FC1" w:rsidP="00D20A1E">
            <w:pPr>
              <w:keepNext/>
              <w:keepLines/>
              <w:widowControl/>
              <w:spacing w:before="60" w:after="60"/>
              <w:rPr>
                <w:rFonts w:eastAsia="Arial Unicode MS"/>
                <w:sz w:val="20"/>
                <w:szCs w:val="20"/>
              </w:rPr>
            </w:pPr>
            <w:r w:rsidRPr="00FC41C1">
              <w:rPr>
                <w:sz w:val="20"/>
                <w:szCs w:val="20"/>
              </w:rPr>
              <w:t>Australia</w:t>
            </w:r>
            <w:r w:rsidRPr="00FC41C1">
              <w:rPr>
                <w:sz w:val="20"/>
                <w:szCs w:val="20"/>
                <w:vertAlign w:val="superscript"/>
              </w:rPr>
              <w:sym w:font="Wingdings 2" w:char="F0BF"/>
            </w:r>
          </w:p>
        </w:tc>
        <w:tc>
          <w:tcPr>
            <w:tcW w:w="1589" w:type="dxa"/>
            <w:noWrap/>
            <w:tcMar>
              <w:top w:w="15" w:type="dxa"/>
              <w:left w:w="11" w:type="dxa"/>
              <w:bottom w:w="0" w:type="dxa"/>
              <w:right w:w="11" w:type="dxa"/>
            </w:tcMar>
            <w:vAlign w:val="center"/>
          </w:tcPr>
          <w:p w14:paraId="016E11B6" w14:textId="77777777" w:rsidR="00414FC1" w:rsidRPr="00EE4A94" w:rsidRDefault="00414FC1" w:rsidP="00D20A1E">
            <w:pPr>
              <w:keepNext/>
              <w:keepLines/>
              <w:widowControl/>
              <w:spacing w:before="60" w:after="60"/>
              <w:rPr>
                <w:rFonts w:eastAsia="Arial Unicode MS"/>
                <w:sz w:val="20"/>
                <w:szCs w:val="20"/>
              </w:rPr>
            </w:pPr>
            <w:r w:rsidRPr="00EE4A94">
              <w:rPr>
                <w:sz w:val="20"/>
                <w:szCs w:val="20"/>
              </w:rPr>
              <w:t>2 years and above</w:t>
            </w:r>
          </w:p>
        </w:tc>
        <w:tc>
          <w:tcPr>
            <w:tcW w:w="1484" w:type="dxa"/>
            <w:vAlign w:val="center"/>
          </w:tcPr>
          <w:p w14:paraId="76AA28D6" w14:textId="77777777" w:rsidR="00414FC1" w:rsidRPr="00EE4A94" w:rsidRDefault="00414FC1" w:rsidP="00D20A1E">
            <w:pPr>
              <w:keepNext/>
              <w:keepLines/>
              <w:widowControl/>
              <w:tabs>
                <w:tab w:val="decimal" w:pos="961"/>
              </w:tabs>
              <w:spacing w:before="60" w:after="60"/>
              <w:rPr>
                <w:rFonts w:cs="Arial"/>
                <w:sz w:val="20"/>
                <w:szCs w:val="20"/>
              </w:rPr>
            </w:pPr>
            <w:r>
              <w:rPr>
                <w:rFonts w:cs="Arial"/>
                <w:sz w:val="20"/>
                <w:szCs w:val="20"/>
              </w:rPr>
              <w:t>13,858</w:t>
            </w:r>
          </w:p>
        </w:tc>
        <w:tc>
          <w:tcPr>
            <w:tcW w:w="1648" w:type="dxa"/>
            <w:vAlign w:val="center"/>
          </w:tcPr>
          <w:p w14:paraId="78EDA302" w14:textId="77777777" w:rsidR="00414FC1" w:rsidRPr="00EE4A94" w:rsidRDefault="00414FC1" w:rsidP="00D20A1E">
            <w:pPr>
              <w:keepNext/>
              <w:keepLines/>
              <w:widowControl/>
              <w:tabs>
                <w:tab w:val="decimal" w:pos="1045"/>
              </w:tabs>
              <w:spacing w:before="60" w:after="60"/>
              <w:rPr>
                <w:rFonts w:cs="Arial"/>
                <w:sz w:val="20"/>
                <w:szCs w:val="20"/>
              </w:rPr>
            </w:pPr>
            <w:r>
              <w:rPr>
                <w:rFonts w:cs="Arial"/>
                <w:sz w:val="20"/>
                <w:szCs w:val="20"/>
              </w:rPr>
              <w:t>734</w:t>
            </w:r>
          </w:p>
        </w:tc>
        <w:tc>
          <w:tcPr>
            <w:tcW w:w="1650" w:type="dxa"/>
            <w:tcBorders>
              <w:bottom w:val="single" w:sz="4" w:space="0" w:color="auto"/>
            </w:tcBorders>
            <w:vAlign w:val="center"/>
          </w:tcPr>
          <w:p w14:paraId="4F93867A" w14:textId="77777777" w:rsidR="00414FC1" w:rsidRPr="00EE4A94" w:rsidRDefault="00414FC1" w:rsidP="00D20A1E">
            <w:pPr>
              <w:keepNext/>
              <w:keepLines/>
              <w:widowControl/>
              <w:spacing w:before="60" w:after="60"/>
              <w:jc w:val="center"/>
              <w:rPr>
                <w:rFonts w:cs="Arial"/>
                <w:sz w:val="20"/>
                <w:szCs w:val="20"/>
              </w:rPr>
            </w:pPr>
            <w:r>
              <w:rPr>
                <w:rFonts w:cs="Arial"/>
                <w:sz w:val="20"/>
                <w:szCs w:val="20"/>
              </w:rPr>
              <w:t>60</w:t>
            </w:r>
          </w:p>
        </w:tc>
        <w:tc>
          <w:tcPr>
            <w:tcW w:w="1497" w:type="dxa"/>
            <w:shd w:val="clear" w:color="auto" w:fill="auto"/>
            <w:noWrap/>
            <w:tcMar>
              <w:top w:w="15" w:type="dxa"/>
              <w:left w:w="11" w:type="dxa"/>
              <w:bottom w:w="0" w:type="dxa"/>
              <w:right w:w="11" w:type="dxa"/>
            </w:tcMar>
            <w:vAlign w:val="center"/>
          </w:tcPr>
          <w:p w14:paraId="699ACECF" w14:textId="09E14BFE" w:rsidR="00414FC1" w:rsidRPr="00EE4A94" w:rsidRDefault="00D466D8" w:rsidP="00D20A1E">
            <w:pPr>
              <w:keepNext/>
              <w:keepLines/>
              <w:widowControl/>
              <w:spacing w:before="60" w:after="60"/>
              <w:jc w:val="center"/>
              <w:rPr>
                <w:rFonts w:eastAsia="Arial Unicode MS" w:cs="Arial"/>
                <w:sz w:val="20"/>
                <w:szCs w:val="20"/>
              </w:rPr>
            </w:pPr>
            <w:r>
              <w:rPr>
                <w:rFonts w:eastAsia="Arial Unicode MS" w:cs="Arial"/>
                <w:sz w:val="20"/>
                <w:szCs w:val="20"/>
              </w:rPr>
              <w:t>81</w:t>
            </w:r>
          </w:p>
        </w:tc>
        <w:tc>
          <w:tcPr>
            <w:tcW w:w="1731" w:type="dxa"/>
            <w:noWrap/>
            <w:tcMar>
              <w:top w:w="15" w:type="dxa"/>
              <w:left w:w="11" w:type="dxa"/>
              <w:bottom w:w="0" w:type="dxa"/>
              <w:right w:w="11" w:type="dxa"/>
            </w:tcMar>
            <w:vAlign w:val="center"/>
          </w:tcPr>
          <w:p w14:paraId="72FCC8E4" w14:textId="77777777" w:rsidR="00414FC1" w:rsidRPr="00EE4A94" w:rsidRDefault="00414FC1" w:rsidP="00D20A1E">
            <w:pPr>
              <w:keepNext/>
              <w:keepLines/>
              <w:widowControl/>
              <w:tabs>
                <w:tab w:val="decimal" w:pos="1051"/>
              </w:tabs>
              <w:spacing w:before="60" w:after="60"/>
              <w:rPr>
                <w:rFonts w:eastAsia="Arial Unicode MS" w:cs="Arial"/>
                <w:sz w:val="20"/>
                <w:szCs w:val="20"/>
              </w:rPr>
            </w:pPr>
            <w:r>
              <w:rPr>
                <w:rFonts w:eastAsia="Arial Unicode MS" w:cs="Arial"/>
                <w:sz w:val="20"/>
                <w:szCs w:val="20"/>
              </w:rPr>
              <w:t>64</w:t>
            </w:r>
          </w:p>
        </w:tc>
        <w:tc>
          <w:tcPr>
            <w:tcW w:w="2952" w:type="dxa"/>
            <w:tcBorders>
              <w:bottom w:val="single" w:sz="4" w:space="0" w:color="auto"/>
            </w:tcBorders>
            <w:noWrap/>
            <w:tcMar>
              <w:top w:w="11" w:type="dxa"/>
              <w:left w:w="11" w:type="dxa"/>
              <w:bottom w:w="0" w:type="dxa"/>
              <w:right w:w="11" w:type="dxa"/>
            </w:tcMar>
            <w:vAlign w:val="center"/>
          </w:tcPr>
          <w:p w14:paraId="66B3D008" w14:textId="77777777" w:rsidR="00414FC1" w:rsidRPr="00EE4A94" w:rsidRDefault="00414FC1" w:rsidP="00D20A1E">
            <w:pPr>
              <w:pStyle w:val="E-mailSignature"/>
              <w:keepNext/>
              <w:keepLines/>
              <w:spacing w:before="60" w:after="60"/>
              <w:jc w:val="center"/>
              <w:rPr>
                <w:rFonts w:eastAsia="Arial Unicode MS" w:cs="Arial"/>
                <w:lang w:val="en-GB" w:bidi="ar-SA"/>
              </w:rPr>
            </w:pPr>
            <w:r>
              <w:rPr>
                <w:rFonts w:eastAsia="Arial Unicode MS" w:cs="Arial"/>
                <w:lang w:val="en-GB" w:bidi="ar-SA"/>
              </w:rPr>
              <w:t>n/a</w:t>
            </w:r>
          </w:p>
        </w:tc>
      </w:tr>
      <w:tr w:rsidR="00414FC1" w14:paraId="3CEC2CB8" w14:textId="77777777" w:rsidTr="00F13FF2">
        <w:trPr>
          <w:trHeight w:val="264"/>
        </w:trPr>
        <w:tc>
          <w:tcPr>
            <w:tcW w:w="1429" w:type="dxa"/>
            <w:tcBorders>
              <w:top w:val="nil"/>
              <w:bottom w:val="nil"/>
            </w:tcBorders>
            <w:noWrap/>
            <w:tcMar>
              <w:top w:w="15" w:type="dxa"/>
              <w:left w:w="11" w:type="dxa"/>
              <w:bottom w:w="0" w:type="dxa"/>
              <w:right w:w="11" w:type="dxa"/>
            </w:tcMar>
            <w:vAlign w:val="center"/>
          </w:tcPr>
          <w:p w14:paraId="1BCC7A67" w14:textId="77777777" w:rsidR="00414FC1" w:rsidRPr="00FC41C1" w:rsidRDefault="00414FC1" w:rsidP="00D20A1E">
            <w:pPr>
              <w:widowControl/>
              <w:spacing w:before="60" w:after="60"/>
              <w:rPr>
                <w:rFonts w:eastAsia="Arial Unicode MS"/>
                <w:sz w:val="20"/>
                <w:szCs w:val="20"/>
              </w:rPr>
            </w:pPr>
          </w:p>
        </w:tc>
        <w:tc>
          <w:tcPr>
            <w:tcW w:w="1589" w:type="dxa"/>
            <w:noWrap/>
            <w:tcMar>
              <w:top w:w="15" w:type="dxa"/>
              <w:left w:w="11" w:type="dxa"/>
              <w:bottom w:w="0" w:type="dxa"/>
              <w:right w:w="11" w:type="dxa"/>
            </w:tcMar>
            <w:vAlign w:val="center"/>
          </w:tcPr>
          <w:p w14:paraId="0E807C8A" w14:textId="2DA28CDC" w:rsidR="00414FC1" w:rsidRPr="00EE4A94" w:rsidRDefault="00414FC1" w:rsidP="00D20A1E">
            <w:pPr>
              <w:widowControl/>
              <w:spacing w:before="60" w:after="60"/>
              <w:rPr>
                <w:rFonts w:eastAsia="Arial Unicode MS"/>
                <w:sz w:val="20"/>
                <w:szCs w:val="20"/>
              </w:rPr>
            </w:pPr>
            <w:r w:rsidRPr="00EE4A94">
              <w:rPr>
                <w:sz w:val="20"/>
                <w:szCs w:val="20"/>
              </w:rPr>
              <w:t>2</w:t>
            </w:r>
            <w:r w:rsidR="00733E40">
              <w:rPr>
                <w:sz w:val="20"/>
                <w:szCs w:val="20"/>
              </w:rPr>
              <w:t>–</w:t>
            </w:r>
            <w:r w:rsidRPr="00EE4A94">
              <w:rPr>
                <w:sz w:val="20"/>
                <w:szCs w:val="20"/>
              </w:rPr>
              <w:t>4 years</w:t>
            </w:r>
          </w:p>
        </w:tc>
        <w:tc>
          <w:tcPr>
            <w:tcW w:w="1484" w:type="dxa"/>
            <w:vAlign w:val="center"/>
          </w:tcPr>
          <w:p w14:paraId="723679AB" w14:textId="77777777" w:rsidR="00414FC1" w:rsidRPr="00EE4A94" w:rsidRDefault="00414FC1" w:rsidP="00D20A1E">
            <w:pPr>
              <w:widowControl/>
              <w:tabs>
                <w:tab w:val="decimal" w:pos="961"/>
              </w:tabs>
              <w:spacing w:before="60" w:after="60"/>
              <w:rPr>
                <w:rFonts w:cs="Arial"/>
                <w:sz w:val="20"/>
                <w:szCs w:val="20"/>
              </w:rPr>
            </w:pPr>
            <w:r>
              <w:rPr>
                <w:rFonts w:cs="Arial"/>
                <w:sz w:val="20"/>
                <w:szCs w:val="20"/>
              </w:rPr>
              <w:t>583</w:t>
            </w:r>
          </w:p>
        </w:tc>
        <w:tc>
          <w:tcPr>
            <w:tcW w:w="1648" w:type="dxa"/>
            <w:vAlign w:val="center"/>
          </w:tcPr>
          <w:p w14:paraId="2EE69686" w14:textId="77777777" w:rsidR="00414FC1" w:rsidRPr="00EE4A94" w:rsidRDefault="00414FC1" w:rsidP="00D20A1E">
            <w:pPr>
              <w:widowControl/>
              <w:tabs>
                <w:tab w:val="decimal" w:pos="1045"/>
              </w:tabs>
              <w:spacing w:before="60" w:after="60"/>
              <w:rPr>
                <w:rFonts w:cs="Arial"/>
                <w:sz w:val="20"/>
                <w:szCs w:val="20"/>
              </w:rPr>
            </w:pPr>
            <w:r>
              <w:rPr>
                <w:rFonts w:cs="Arial"/>
                <w:sz w:val="20"/>
                <w:szCs w:val="20"/>
              </w:rPr>
              <w:t>12</w:t>
            </w:r>
          </w:p>
        </w:tc>
        <w:tc>
          <w:tcPr>
            <w:tcW w:w="1650" w:type="dxa"/>
            <w:shd w:val="clear" w:color="auto" w:fill="D9D9D9" w:themeFill="background1" w:themeFillShade="D9"/>
            <w:vAlign w:val="center"/>
          </w:tcPr>
          <w:p w14:paraId="5F2960D4" w14:textId="77777777" w:rsidR="00414FC1" w:rsidRPr="00EE4A94" w:rsidRDefault="00414FC1" w:rsidP="00D20A1E">
            <w:pPr>
              <w:widowControl/>
              <w:spacing w:before="60" w:after="60"/>
              <w:jc w:val="center"/>
              <w:rPr>
                <w:rFonts w:cs="Arial"/>
                <w:sz w:val="20"/>
                <w:szCs w:val="20"/>
              </w:rPr>
            </w:pPr>
          </w:p>
        </w:tc>
        <w:tc>
          <w:tcPr>
            <w:tcW w:w="1497" w:type="dxa"/>
            <w:shd w:val="clear" w:color="auto" w:fill="auto"/>
            <w:noWrap/>
            <w:tcMar>
              <w:top w:w="15" w:type="dxa"/>
              <w:left w:w="11" w:type="dxa"/>
              <w:bottom w:w="0" w:type="dxa"/>
              <w:right w:w="11" w:type="dxa"/>
            </w:tcMar>
            <w:vAlign w:val="center"/>
          </w:tcPr>
          <w:p w14:paraId="5174902A" w14:textId="3A2BDCDA" w:rsidR="00414FC1" w:rsidRPr="00EE4A94" w:rsidRDefault="00D466D8" w:rsidP="00D20A1E">
            <w:pPr>
              <w:widowControl/>
              <w:spacing w:before="60" w:after="60"/>
              <w:jc w:val="center"/>
              <w:rPr>
                <w:rFonts w:eastAsia="Arial Unicode MS" w:cs="Arial"/>
                <w:sz w:val="20"/>
                <w:szCs w:val="20"/>
              </w:rPr>
            </w:pPr>
            <w:r>
              <w:rPr>
                <w:rFonts w:eastAsia="Arial Unicode MS" w:cs="Arial"/>
                <w:sz w:val="20"/>
                <w:szCs w:val="20"/>
              </w:rPr>
              <w:t>58</w:t>
            </w:r>
          </w:p>
        </w:tc>
        <w:tc>
          <w:tcPr>
            <w:tcW w:w="1731" w:type="dxa"/>
            <w:noWrap/>
            <w:tcMar>
              <w:top w:w="15" w:type="dxa"/>
              <w:left w:w="11" w:type="dxa"/>
              <w:bottom w:w="0" w:type="dxa"/>
              <w:right w:w="11" w:type="dxa"/>
            </w:tcMar>
            <w:vAlign w:val="center"/>
          </w:tcPr>
          <w:p w14:paraId="7FCB6B5A" w14:textId="505F14B1" w:rsidR="00414FC1" w:rsidRPr="00EE4A94" w:rsidRDefault="00414FC1" w:rsidP="00D20A1E">
            <w:pPr>
              <w:widowControl/>
              <w:tabs>
                <w:tab w:val="decimal" w:pos="1051"/>
              </w:tabs>
              <w:spacing w:before="60" w:after="60"/>
              <w:rPr>
                <w:rFonts w:eastAsia="Arial Unicode MS" w:cs="Arial"/>
                <w:sz w:val="20"/>
                <w:szCs w:val="20"/>
              </w:rPr>
            </w:pPr>
            <w:r>
              <w:rPr>
                <w:rFonts w:eastAsia="Arial Unicode MS" w:cs="Arial"/>
                <w:sz w:val="20"/>
                <w:szCs w:val="20"/>
              </w:rPr>
              <w:t>44</w:t>
            </w:r>
            <w:r w:rsidR="00A62EBB" w:rsidRPr="00A62EBB">
              <w:rPr>
                <w:rFonts w:eastAsia="Arial Unicode MS" w:cs="Arial"/>
                <w:sz w:val="20"/>
                <w:szCs w:val="20"/>
                <w:vertAlign w:val="superscript"/>
              </w:rPr>
              <w:sym w:font="Webdings" w:char="F0EA"/>
            </w:r>
          </w:p>
        </w:tc>
        <w:tc>
          <w:tcPr>
            <w:tcW w:w="2952" w:type="dxa"/>
            <w:shd w:val="clear" w:color="auto" w:fill="D9D9D9" w:themeFill="background1" w:themeFillShade="D9"/>
            <w:noWrap/>
            <w:tcMar>
              <w:top w:w="11" w:type="dxa"/>
              <w:left w:w="11" w:type="dxa"/>
              <w:bottom w:w="0" w:type="dxa"/>
              <w:right w:w="11" w:type="dxa"/>
            </w:tcMar>
            <w:vAlign w:val="center"/>
          </w:tcPr>
          <w:p w14:paraId="39E26291" w14:textId="77777777" w:rsidR="00414FC1" w:rsidRPr="00EE4A94" w:rsidRDefault="00414FC1" w:rsidP="00D20A1E">
            <w:pPr>
              <w:widowControl/>
              <w:spacing w:before="60" w:after="60"/>
              <w:jc w:val="center"/>
              <w:rPr>
                <w:rFonts w:eastAsia="Arial Unicode MS" w:cs="Arial"/>
                <w:sz w:val="20"/>
                <w:szCs w:val="20"/>
              </w:rPr>
            </w:pPr>
            <w:r>
              <w:rPr>
                <w:rFonts w:cs="Arial"/>
                <w:sz w:val="20"/>
                <w:szCs w:val="20"/>
              </w:rPr>
              <w:t>n/a</w:t>
            </w:r>
          </w:p>
        </w:tc>
      </w:tr>
      <w:tr w:rsidR="00414FC1" w14:paraId="13203FB9" w14:textId="77777777" w:rsidTr="00F13FF2">
        <w:trPr>
          <w:trHeight w:val="264"/>
        </w:trPr>
        <w:tc>
          <w:tcPr>
            <w:tcW w:w="1429" w:type="dxa"/>
            <w:tcBorders>
              <w:top w:val="nil"/>
              <w:bottom w:val="nil"/>
            </w:tcBorders>
            <w:noWrap/>
            <w:tcMar>
              <w:top w:w="15" w:type="dxa"/>
              <w:left w:w="11" w:type="dxa"/>
              <w:bottom w:w="0" w:type="dxa"/>
              <w:right w:w="11" w:type="dxa"/>
            </w:tcMar>
            <w:vAlign w:val="center"/>
          </w:tcPr>
          <w:p w14:paraId="4B7C52BA" w14:textId="77777777" w:rsidR="00414FC1" w:rsidRPr="00FC41C1" w:rsidRDefault="00414FC1" w:rsidP="00D20A1E">
            <w:pPr>
              <w:widowControl/>
              <w:spacing w:before="60" w:after="60"/>
              <w:rPr>
                <w:rFonts w:eastAsia="Arial Unicode MS"/>
                <w:sz w:val="20"/>
                <w:szCs w:val="20"/>
              </w:rPr>
            </w:pPr>
          </w:p>
        </w:tc>
        <w:tc>
          <w:tcPr>
            <w:tcW w:w="1589" w:type="dxa"/>
            <w:noWrap/>
            <w:tcMar>
              <w:top w:w="15" w:type="dxa"/>
              <w:left w:w="11" w:type="dxa"/>
              <w:bottom w:w="0" w:type="dxa"/>
              <w:right w:w="11" w:type="dxa"/>
            </w:tcMar>
            <w:vAlign w:val="center"/>
          </w:tcPr>
          <w:p w14:paraId="7B7E9923" w14:textId="184C188B" w:rsidR="00414FC1" w:rsidRPr="00EE4A94" w:rsidRDefault="00414FC1" w:rsidP="00D20A1E">
            <w:pPr>
              <w:widowControl/>
              <w:spacing w:before="60" w:after="60"/>
              <w:rPr>
                <w:rFonts w:eastAsia="Arial Unicode MS"/>
                <w:sz w:val="20"/>
                <w:szCs w:val="20"/>
              </w:rPr>
            </w:pPr>
            <w:r w:rsidRPr="00EE4A94">
              <w:rPr>
                <w:sz w:val="20"/>
                <w:szCs w:val="20"/>
              </w:rPr>
              <w:t>5</w:t>
            </w:r>
            <w:r w:rsidR="00733E40">
              <w:rPr>
                <w:sz w:val="20"/>
                <w:szCs w:val="20"/>
              </w:rPr>
              <w:t>–</w:t>
            </w:r>
            <w:r w:rsidRPr="00EE4A94">
              <w:rPr>
                <w:sz w:val="20"/>
                <w:szCs w:val="20"/>
              </w:rPr>
              <w:t>14 years</w:t>
            </w:r>
          </w:p>
        </w:tc>
        <w:tc>
          <w:tcPr>
            <w:tcW w:w="1484" w:type="dxa"/>
            <w:vAlign w:val="center"/>
          </w:tcPr>
          <w:p w14:paraId="42C5BF50" w14:textId="77777777" w:rsidR="00414FC1" w:rsidRPr="00EE4A94" w:rsidRDefault="00414FC1" w:rsidP="00D20A1E">
            <w:pPr>
              <w:widowControl/>
              <w:tabs>
                <w:tab w:val="decimal" w:pos="961"/>
              </w:tabs>
              <w:spacing w:before="60" w:after="60"/>
              <w:rPr>
                <w:rFonts w:cs="Arial"/>
                <w:sz w:val="20"/>
                <w:szCs w:val="20"/>
              </w:rPr>
            </w:pPr>
            <w:r>
              <w:rPr>
                <w:rFonts w:cs="Arial"/>
                <w:sz w:val="20"/>
                <w:szCs w:val="20"/>
              </w:rPr>
              <w:t>1,844</w:t>
            </w:r>
          </w:p>
        </w:tc>
        <w:tc>
          <w:tcPr>
            <w:tcW w:w="1648" w:type="dxa"/>
            <w:vAlign w:val="center"/>
          </w:tcPr>
          <w:p w14:paraId="3749339C" w14:textId="77777777" w:rsidR="00414FC1" w:rsidRPr="00EE4A94" w:rsidRDefault="00414FC1" w:rsidP="00D20A1E">
            <w:pPr>
              <w:widowControl/>
              <w:tabs>
                <w:tab w:val="decimal" w:pos="1045"/>
              </w:tabs>
              <w:spacing w:before="60" w:after="60"/>
              <w:rPr>
                <w:rFonts w:cs="Arial"/>
                <w:sz w:val="20"/>
                <w:szCs w:val="20"/>
              </w:rPr>
            </w:pPr>
            <w:r>
              <w:rPr>
                <w:rFonts w:cs="Arial"/>
                <w:sz w:val="20"/>
                <w:szCs w:val="20"/>
              </w:rPr>
              <w:t>99</w:t>
            </w:r>
          </w:p>
        </w:tc>
        <w:tc>
          <w:tcPr>
            <w:tcW w:w="1650" w:type="dxa"/>
            <w:shd w:val="clear" w:color="auto" w:fill="D9D9D9" w:themeFill="background1" w:themeFillShade="D9"/>
            <w:vAlign w:val="center"/>
          </w:tcPr>
          <w:p w14:paraId="0E4DAF75" w14:textId="77777777" w:rsidR="00414FC1" w:rsidRPr="00EE4A94" w:rsidRDefault="00414FC1" w:rsidP="00D20A1E">
            <w:pPr>
              <w:widowControl/>
              <w:spacing w:before="60" w:after="60"/>
              <w:jc w:val="center"/>
              <w:rPr>
                <w:rFonts w:cs="Arial"/>
                <w:sz w:val="20"/>
                <w:szCs w:val="20"/>
              </w:rPr>
            </w:pPr>
          </w:p>
        </w:tc>
        <w:tc>
          <w:tcPr>
            <w:tcW w:w="1497" w:type="dxa"/>
            <w:shd w:val="clear" w:color="auto" w:fill="auto"/>
            <w:noWrap/>
            <w:tcMar>
              <w:top w:w="15" w:type="dxa"/>
              <w:left w:w="11" w:type="dxa"/>
              <w:bottom w:w="0" w:type="dxa"/>
              <w:right w:w="11" w:type="dxa"/>
            </w:tcMar>
            <w:vAlign w:val="center"/>
          </w:tcPr>
          <w:p w14:paraId="5550CF6E" w14:textId="3A0839B3" w:rsidR="00414FC1" w:rsidRPr="00EE4A94" w:rsidRDefault="00D466D8" w:rsidP="00D20A1E">
            <w:pPr>
              <w:widowControl/>
              <w:spacing w:before="60" w:after="60"/>
              <w:jc w:val="center"/>
              <w:rPr>
                <w:rFonts w:eastAsia="Arial Unicode MS" w:cs="Arial"/>
                <w:sz w:val="20"/>
                <w:szCs w:val="20"/>
              </w:rPr>
            </w:pPr>
            <w:r>
              <w:rPr>
                <w:rFonts w:eastAsia="Arial Unicode MS" w:cs="Arial"/>
                <w:sz w:val="20"/>
                <w:szCs w:val="20"/>
              </w:rPr>
              <w:t>79</w:t>
            </w:r>
          </w:p>
        </w:tc>
        <w:tc>
          <w:tcPr>
            <w:tcW w:w="1731" w:type="dxa"/>
            <w:noWrap/>
            <w:tcMar>
              <w:top w:w="15" w:type="dxa"/>
              <w:left w:w="11" w:type="dxa"/>
              <w:bottom w:w="0" w:type="dxa"/>
              <w:right w:w="11" w:type="dxa"/>
            </w:tcMar>
            <w:vAlign w:val="center"/>
          </w:tcPr>
          <w:p w14:paraId="18328415" w14:textId="77777777" w:rsidR="00414FC1" w:rsidRPr="00EE4A94" w:rsidRDefault="00414FC1" w:rsidP="00D20A1E">
            <w:pPr>
              <w:widowControl/>
              <w:tabs>
                <w:tab w:val="decimal" w:pos="1051"/>
              </w:tabs>
              <w:spacing w:before="60" w:after="60"/>
              <w:rPr>
                <w:rFonts w:eastAsia="Arial Unicode MS" w:cs="Arial"/>
                <w:sz w:val="20"/>
                <w:szCs w:val="20"/>
              </w:rPr>
            </w:pPr>
            <w:r>
              <w:rPr>
                <w:rFonts w:eastAsia="Arial Unicode MS" w:cs="Arial"/>
                <w:sz w:val="20"/>
                <w:szCs w:val="20"/>
              </w:rPr>
              <w:t>59</w:t>
            </w:r>
          </w:p>
        </w:tc>
        <w:tc>
          <w:tcPr>
            <w:tcW w:w="2952" w:type="dxa"/>
            <w:shd w:val="clear" w:color="auto" w:fill="D9D9D9" w:themeFill="background1" w:themeFillShade="D9"/>
            <w:noWrap/>
            <w:tcMar>
              <w:top w:w="11" w:type="dxa"/>
              <w:left w:w="11" w:type="dxa"/>
              <w:bottom w:w="0" w:type="dxa"/>
              <w:right w:w="11" w:type="dxa"/>
            </w:tcMar>
            <w:vAlign w:val="center"/>
          </w:tcPr>
          <w:p w14:paraId="6501DA4A" w14:textId="77777777" w:rsidR="00414FC1" w:rsidRPr="00EE4A94" w:rsidRDefault="00414FC1" w:rsidP="00D20A1E">
            <w:pPr>
              <w:widowControl/>
              <w:spacing w:before="60" w:after="60"/>
              <w:jc w:val="center"/>
              <w:rPr>
                <w:rFonts w:eastAsia="Arial Unicode MS" w:cs="Arial"/>
                <w:sz w:val="20"/>
                <w:szCs w:val="20"/>
              </w:rPr>
            </w:pPr>
            <w:r>
              <w:rPr>
                <w:rFonts w:cs="Arial"/>
                <w:sz w:val="20"/>
                <w:szCs w:val="20"/>
              </w:rPr>
              <w:t>n/a</w:t>
            </w:r>
          </w:p>
        </w:tc>
      </w:tr>
      <w:tr w:rsidR="00414FC1" w14:paraId="08663CFF" w14:textId="77777777" w:rsidTr="00F13FF2">
        <w:trPr>
          <w:trHeight w:val="264"/>
        </w:trPr>
        <w:tc>
          <w:tcPr>
            <w:tcW w:w="1429" w:type="dxa"/>
            <w:tcBorders>
              <w:top w:val="nil"/>
            </w:tcBorders>
            <w:noWrap/>
            <w:tcMar>
              <w:top w:w="15" w:type="dxa"/>
              <w:left w:w="11" w:type="dxa"/>
              <w:bottom w:w="0" w:type="dxa"/>
              <w:right w:w="11" w:type="dxa"/>
            </w:tcMar>
            <w:vAlign w:val="center"/>
          </w:tcPr>
          <w:p w14:paraId="573952D4" w14:textId="77777777" w:rsidR="00414FC1" w:rsidRPr="00FC41C1" w:rsidRDefault="00414FC1" w:rsidP="00D20A1E">
            <w:pPr>
              <w:widowControl/>
              <w:spacing w:before="60" w:after="60"/>
              <w:rPr>
                <w:rFonts w:eastAsia="Arial Unicode MS"/>
                <w:sz w:val="20"/>
                <w:szCs w:val="20"/>
              </w:rPr>
            </w:pPr>
          </w:p>
        </w:tc>
        <w:tc>
          <w:tcPr>
            <w:tcW w:w="1589" w:type="dxa"/>
            <w:noWrap/>
            <w:tcMar>
              <w:top w:w="15" w:type="dxa"/>
              <w:left w:w="11" w:type="dxa"/>
              <w:bottom w:w="0" w:type="dxa"/>
              <w:right w:w="11" w:type="dxa"/>
            </w:tcMar>
            <w:vAlign w:val="center"/>
          </w:tcPr>
          <w:p w14:paraId="4D2B78D0" w14:textId="77777777" w:rsidR="00414FC1" w:rsidRPr="00EE4A94" w:rsidRDefault="00414FC1" w:rsidP="00D20A1E">
            <w:pPr>
              <w:widowControl/>
              <w:spacing w:before="60" w:after="60"/>
              <w:rPr>
                <w:rFonts w:eastAsia="Arial Unicode MS"/>
                <w:sz w:val="20"/>
                <w:szCs w:val="20"/>
              </w:rPr>
            </w:pPr>
            <w:r w:rsidRPr="00EE4A94">
              <w:rPr>
                <w:sz w:val="20"/>
                <w:szCs w:val="20"/>
              </w:rPr>
              <w:t>15 years and above</w:t>
            </w:r>
          </w:p>
        </w:tc>
        <w:tc>
          <w:tcPr>
            <w:tcW w:w="1484" w:type="dxa"/>
            <w:vAlign w:val="center"/>
          </w:tcPr>
          <w:p w14:paraId="17C6AFB0" w14:textId="77777777" w:rsidR="00414FC1" w:rsidRPr="00EE4A94" w:rsidRDefault="00414FC1" w:rsidP="00D20A1E">
            <w:pPr>
              <w:widowControl/>
              <w:tabs>
                <w:tab w:val="decimal" w:pos="961"/>
              </w:tabs>
              <w:spacing w:before="60" w:after="60"/>
              <w:rPr>
                <w:rFonts w:cs="Arial"/>
                <w:sz w:val="20"/>
                <w:szCs w:val="20"/>
              </w:rPr>
            </w:pPr>
            <w:r>
              <w:rPr>
                <w:rFonts w:cs="Arial"/>
                <w:sz w:val="20"/>
                <w:szCs w:val="20"/>
              </w:rPr>
              <w:t>11,431</w:t>
            </w:r>
          </w:p>
        </w:tc>
        <w:tc>
          <w:tcPr>
            <w:tcW w:w="1648" w:type="dxa"/>
            <w:vAlign w:val="center"/>
          </w:tcPr>
          <w:p w14:paraId="3C4EAA89" w14:textId="77777777" w:rsidR="00414FC1" w:rsidRPr="00EE4A94" w:rsidRDefault="00414FC1" w:rsidP="00D20A1E">
            <w:pPr>
              <w:widowControl/>
              <w:tabs>
                <w:tab w:val="decimal" w:pos="1045"/>
              </w:tabs>
              <w:spacing w:before="60" w:after="60"/>
              <w:rPr>
                <w:rFonts w:cs="Arial"/>
                <w:sz w:val="20"/>
                <w:szCs w:val="20"/>
              </w:rPr>
            </w:pPr>
            <w:r>
              <w:rPr>
                <w:rFonts w:cs="Arial"/>
                <w:sz w:val="20"/>
                <w:szCs w:val="20"/>
              </w:rPr>
              <w:t>623</w:t>
            </w:r>
          </w:p>
        </w:tc>
        <w:tc>
          <w:tcPr>
            <w:tcW w:w="1650" w:type="dxa"/>
            <w:shd w:val="clear" w:color="auto" w:fill="D9D9D9" w:themeFill="background1" w:themeFillShade="D9"/>
            <w:vAlign w:val="center"/>
          </w:tcPr>
          <w:p w14:paraId="30F11B11" w14:textId="77777777" w:rsidR="00414FC1" w:rsidRPr="00EE4A94" w:rsidRDefault="00414FC1" w:rsidP="00D20A1E">
            <w:pPr>
              <w:widowControl/>
              <w:spacing w:before="60" w:after="60"/>
              <w:jc w:val="center"/>
              <w:rPr>
                <w:rFonts w:cs="Arial"/>
                <w:sz w:val="20"/>
                <w:szCs w:val="20"/>
              </w:rPr>
            </w:pPr>
          </w:p>
        </w:tc>
        <w:tc>
          <w:tcPr>
            <w:tcW w:w="1497" w:type="dxa"/>
            <w:shd w:val="clear" w:color="auto" w:fill="auto"/>
            <w:noWrap/>
            <w:tcMar>
              <w:top w:w="15" w:type="dxa"/>
              <w:left w:w="11" w:type="dxa"/>
              <w:bottom w:w="0" w:type="dxa"/>
              <w:right w:w="11" w:type="dxa"/>
            </w:tcMar>
            <w:vAlign w:val="center"/>
          </w:tcPr>
          <w:p w14:paraId="2CA83817" w14:textId="2FFB7F0F" w:rsidR="00414FC1" w:rsidRPr="00EE4A94" w:rsidRDefault="00D466D8" w:rsidP="00D20A1E">
            <w:pPr>
              <w:widowControl/>
              <w:spacing w:before="60" w:after="60"/>
              <w:jc w:val="center"/>
              <w:rPr>
                <w:rFonts w:eastAsia="Arial Unicode MS" w:cs="Arial"/>
                <w:sz w:val="20"/>
                <w:szCs w:val="20"/>
              </w:rPr>
            </w:pPr>
            <w:r>
              <w:rPr>
                <w:rFonts w:eastAsia="Arial Unicode MS" w:cs="Arial"/>
                <w:sz w:val="20"/>
                <w:szCs w:val="20"/>
              </w:rPr>
              <w:t>82</w:t>
            </w:r>
          </w:p>
        </w:tc>
        <w:tc>
          <w:tcPr>
            <w:tcW w:w="1731" w:type="dxa"/>
            <w:noWrap/>
            <w:tcMar>
              <w:top w:w="15" w:type="dxa"/>
              <w:left w:w="11" w:type="dxa"/>
              <w:bottom w:w="0" w:type="dxa"/>
              <w:right w:w="11" w:type="dxa"/>
            </w:tcMar>
            <w:vAlign w:val="center"/>
          </w:tcPr>
          <w:p w14:paraId="4C7C86D2" w14:textId="77777777" w:rsidR="00414FC1" w:rsidRPr="00EE4A94" w:rsidRDefault="00414FC1" w:rsidP="00D20A1E">
            <w:pPr>
              <w:widowControl/>
              <w:tabs>
                <w:tab w:val="decimal" w:pos="1051"/>
              </w:tabs>
              <w:spacing w:before="60" w:after="60"/>
              <w:rPr>
                <w:rFonts w:eastAsia="Arial Unicode MS" w:cs="Arial"/>
                <w:sz w:val="20"/>
                <w:szCs w:val="20"/>
              </w:rPr>
            </w:pPr>
            <w:r>
              <w:rPr>
                <w:rFonts w:eastAsia="Arial Unicode MS" w:cs="Arial"/>
                <w:sz w:val="20"/>
                <w:szCs w:val="20"/>
              </w:rPr>
              <w:t>65</w:t>
            </w:r>
          </w:p>
        </w:tc>
        <w:tc>
          <w:tcPr>
            <w:tcW w:w="2952" w:type="dxa"/>
            <w:shd w:val="clear" w:color="auto" w:fill="D9D9D9" w:themeFill="background1" w:themeFillShade="D9"/>
            <w:noWrap/>
            <w:tcMar>
              <w:top w:w="11" w:type="dxa"/>
              <w:left w:w="11" w:type="dxa"/>
              <w:bottom w:w="0" w:type="dxa"/>
              <w:right w:w="11" w:type="dxa"/>
            </w:tcMar>
            <w:vAlign w:val="center"/>
          </w:tcPr>
          <w:p w14:paraId="604D1688" w14:textId="77777777" w:rsidR="00414FC1" w:rsidRPr="00EE4A94" w:rsidRDefault="00414FC1" w:rsidP="00D20A1E">
            <w:pPr>
              <w:widowControl/>
              <w:spacing w:before="60" w:after="60"/>
              <w:jc w:val="center"/>
              <w:rPr>
                <w:rFonts w:eastAsia="Arial Unicode MS" w:cs="Arial"/>
                <w:sz w:val="20"/>
                <w:szCs w:val="20"/>
              </w:rPr>
            </w:pPr>
            <w:r>
              <w:rPr>
                <w:rFonts w:cs="Arial"/>
                <w:sz w:val="20"/>
                <w:szCs w:val="20"/>
              </w:rPr>
              <w:t>n/a</w:t>
            </w:r>
          </w:p>
        </w:tc>
      </w:tr>
      <w:tr w:rsidR="00414FC1" w14:paraId="66E8A048" w14:textId="77777777" w:rsidTr="00050B1C">
        <w:trPr>
          <w:trHeight w:val="276"/>
        </w:trPr>
        <w:tc>
          <w:tcPr>
            <w:tcW w:w="1429" w:type="dxa"/>
            <w:noWrap/>
            <w:tcMar>
              <w:top w:w="11" w:type="dxa"/>
              <w:left w:w="11" w:type="dxa"/>
              <w:bottom w:w="0" w:type="dxa"/>
              <w:right w:w="11" w:type="dxa"/>
            </w:tcMar>
            <w:vAlign w:val="center"/>
          </w:tcPr>
          <w:p w14:paraId="553EB117" w14:textId="77777777" w:rsidR="00414FC1" w:rsidRPr="00FC41C1" w:rsidRDefault="00414FC1" w:rsidP="00D20A1E">
            <w:pPr>
              <w:widowControl/>
              <w:spacing w:before="60" w:after="60"/>
              <w:rPr>
                <w:rFonts w:eastAsia="Arial Unicode MS"/>
                <w:sz w:val="20"/>
                <w:szCs w:val="20"/>
              </w:rPr>
            </w:pPr>
            <w:r w:rsidRPr="00FC41C1">
              <w:rPr>
                <w:sz w:val="20"/>
                <w:szCs w:val="20"/>
              </w:rPr>
              <w:t>New Zealand</w:t>
            </w:r>
            <w:r w:rsidRPr="00FC41C1">
              <w:rPr>
                <w:rFonts w:cs="Arial"/>
                <w:sz w:val="20"/>
                <w:szCs w:val="20"/>
                <w:vertAlign w:val="superscript"/>
              </w:rPr>
              <w:t>Δ</w:t>
            </w:r>
          </w:p>
        </w:tc>
        <w:tc>
          <w:tcPr>
            <w:tcW w:w="1589" w:type="dxa"/>
            <w:noWrap/>
            <w:tcMar>
              <w:top w:w="11" w:type="dxa"/>
              <w:left w:w="11" w:type="dxa"/>
              <w:bottom w:w="0" w:type="dxa"/>
              <w:right w:w="11" w:type="dxa"/>
            </w:tcMar>
            <w:vAlign w:val="center"/>
          </w:tcPr>
          <w:p w14:paraId="611CB0DF" w14:textId="77777777" w:rsidR="00414FC1" w:rsidRPr="00EE4A94" w:rsidRDefault="00414FC1" w:rsidP="00D20A1E">
            <w:pPr>
              <w:widowControl/>
              <w:spacing w:before="60" w:after="60"/>
              <w:rPr>
                <w:rFonts w:eastAsia="Arial Unicode MS"/>
                <w:sz w:val="20"/>
                <w:szCs w:val="20"/>
              </w:rPr>
            </w:pPr>
            <w:r w:rsidRPr="00EE4A94">
              <w:rPr>
                <w:sz w:val="20"/>
                <w:szCs w:val="20"/>
              </w:rPr>
              <w:t>15 years and above</w:t>
            </w:r>
          </w:p>
        </w:tc>
        <w:tc>
          <w:tcPr>
            <w:tcW w:w="1484" w:type="dxa"/>
            <w:vAlign w:val="center"/>
          </w:tcPr>
          <w:p w14:paraId="24BA3BF9" w14:textId="77777777" w:rsidR="00414FC1" w:rsidRPr="00EE4A94" w:rsidRDefault="00414FC1" w:rsidP="00D20A1E">
            <w:pPr>
              <w:widowControl/>
              <w:tabs>
                <w:tab w:val="decimal" w:pos="961"/>
              </w:tabs>
              <w:spacing w:before="60" w:after="60"/>
              <w:rPr>
                <w:rFonts w:cs="Arial"/>
                <w:sz w:val="20"/>
                <w:szCs w:val="20"/>
              </w:rPr>
            </w:pPr>
            <w:r>
              <w:rPr>
                <w:rFonts w:cs="Arial"/>
                <w:sz w:val="20"/>
                <w:szCs w:val="20"/>
              </w:rPr>
              <w:t>4,636</w:t>
            </w:r>
          </w:p>
        </w:tc>
        <w:tc>
          <w:tcPr>
            <w:tcW w:w="1648" w:type="dxa"/>
            <w:vAlign w:val="center"/>
          </w:tcPr>
          <w:p w14:paraId="179B7496" w14:textId="77777777" w:rsidR="00414FC1" w:rsidRPr="00EE4A94" w:rsidRDefault="00414FC1" w:rsidP="00D20A1E">
            <w:pPr>
              <w:widowControl/>
              <w:tabs>
                <w:tab w:val="decimal" w:pos="1045"/>
              </w:tabs>
              <w:spacing w:before="60" w:after="60"/>
              <w:rPr>
                <w:rFonts w:cs="Arial"/>
                <w:sz w:val="20"/>
                <w:szCs w:val="20"/>
              </w:rPr>
            </w:pPr>
            <w:r>
              <w:rPr>
                <w:rFonts w:cs="Arial"/>
                <w:sz w:val="20"/>
                <w:szCs w:val="20"/>
              </w:rPr>
              <w:t>205</w:t>
            </w:r>
          </w:p>
        </w:tc>
        <w:tc>
          <w:tcPr>
            <w:tcW w:w="1650" w:type="dxa"/>
            <w:shd w:val="clear" w:color="auto" w:fill="D9D9D9" w:themeFill="background1" w:themeFillShade="D9"/>
            <w:vAlign w:val="center"/>
          </w:tcPr>
          <w:p w14:paraId="41D449A7" w14:textId="77777777" w:rsidR="00414FC1" w:rsidRPr="00EE4A94" w:rsidRDefault="00414FC1" w:rsidP="00D20A1E">
            <w:pPr>
              <w:widowControl/>
              <w:spacing w:before="60" w:after="60"/>
              <w:jc w:val="center"/>
              <w:rPr>
                <w:rFonts w:cs="Arial"/>
                <w:sz w:val="20"/>
                <w:szCs w:val="20"/>
              </w:rPr>
            </w:pPr>
          </w:p>
        </w:tc>
        <w:tc>
          <w:tcPr>
            <w:tcW w:w="1497" w:type="dxa"/>
            <w:shd w:val="clear" w:color="auto" w:fill="auto"/>
            <w:noWrap/>
            <w:tcMar>
              <w:top w:w="11" w:type="dxa"/>
              <w:left w:w="11" w:type="dxa"/>
              <w:bottom w:w="0" w:type="dxa"/>
              <w:right w:w="11" w:type="dxa"/>
            </w:tcMar>
            <w:vAlign w:val="center"/>
          </w:tcPr>
          <w:p w14:paraId="081A5720" w14:textId="21F05D30" w:rsidR="00414FC1" w:rsidRPr="00EE4A94" w:rsidRDefault="00D466D8" w:rsidP="00D20A1E">
            <w:pPr>
              <w:widowControl/>
              <w:spacing w:before="60" w:after="60"/>
              <w:jc w:val="center"/>
              <w:rPr>
                <w:rFonts w:eastAsia="Arial Unicode MS" w:cs="Arial"/>
                <w:sz w:val="20"/>
                <w:szCs w:val="20"/>
              </w:rPr>
            </w:pPr>
            <w:r>
              <w:rPr>
                <w:rFonts w:eastAsia="Arial Unicode MS" w:cs="Arial"/>
                <w:sz w:val="20"/>
                <w:szCs w:val="20"/>
              </w:rPr>
              <w:t>89</w:t>
            </w:r>
          </w:p>
        </w:tc>
        <w:tc>
          <w:tcPr>
            <w:tcW w:w="1731" w:type="dxa"/>
            <w:noWrap/>
            <w:tcMar>
              <w:top w:w="11" w:type="dxa"/>
              <w:left w:w="11" w:type="dxa"/>
              <w:bottom w:w="0" w:type="dxa"/>
              <w:right w:w="11" w:type="dxa"/>
            </w:tcMar>
            <w:vAlign w:val="center"/>
          </w:tcPr>
          <w:p w14:paraId="758D16BA" w14:textId="77777777" w:rsidR="00414FC1" w:rsidRPr="00EE4A94" w:rsidRDefault="00414FC1" w:rsidP="00D20A1E">
            <w:pPr>
              <w:widowControl/>
              <w:tabs>
                <w:tab w:val="decimal" w:pos="1051"/>
              </w:tabs>
              <w:spacing w:before="60" w:after="60"/>
              <w:rPr>
                <w:rFonts w:eastAsia="Arial Unicode MS" w:cs="Arial"/>
                <w:sz w:val="20"/>
                <w:szCs w:val="20"/>
              </w:rPr>
            </w:pPr>
            <w:r>
              <w:rPr>
                <w:rFonts w:eastAsia="Arial Unicode MS" w:cs="Arial"/>
                <w:sz w:val="20"/>
                <w:szCs w:val="20"/>
              </w:rPr>
              <w:t>70</w:t>
            </w:r>
          </w:p>
        </w:tc>
        <w:tc>
          <w:tcPr>
            <w:tcW w:w="2952" w:type="dxa"/>
            <w:shd w:val="clear" w:color="auto" w:fill="D9D9D9" w:themeFill="background1" w:themeFillShade="D9"/>
            <w:noWrap/>
            <w:tcMar>
              <w:top w:w="11" w:type="dxa"/>
              <w:left w:w="11" w:type="dxa"/>
              <w:bottom w:w="0" w:type="dxa"/>
              <w:right w:w="11" w:type="dxa"/>
            </w:tcMar>
            <w:vAlign w:val="center"/>
          </w:tcPr>
          <w:p w14:paraId="40ADCEF0" w14:textId="77777777" w:rsidR="00414FC1" w:rsidRPr="00EE4A94" w:rsidRDefault="00414FC1" w:rsidP="00D20A1E">
            <w:pPr>
              <w:widowControl/>
              <w:spacing w:before="60" w:after="60"/>
              <w:jc w:val="center"/>
              <w:rPr>
                <w:rFonts w:eastAsia="Arial Unicode MS" w:cs="Arial"/>
                <w:sz w:val="20"/>
                <w:szCs w:val="20"/>
              </w:rPr>
            </w:pPr>
            <w:r>
              <w:rPr>
                <w:rFonts w:cs="Arial"/>
                <w:sz w:val="20"/>
                <w:szCs w:val="20"/>
              </w:rPr>
              <w:t>n/a</w:t>
            </w:r>
          </w:p>
        </w:tc>
      </w:tr>
    </w:tbl>
    <w:p w14:paraId="0559D4DC" w14:textId="77777777" w:rsidR="00414FC1" w:rsidRPr="00E4287E" w:rsidRDefault="00414FC1" w:rsidP="00D20A1E">
      <w:pPr>
        <w:widowControl/>
        <w:spacing w:before="20" w:after="20"/>
        <w:rPr>
          <w:sz w:val="18"/>
          <w:szCs w:val="18"/>
          <w:lang w:val="en-US"/>
        </w:rPr>
      </w:pPr>
      <w:r w:rsidRPr="00E4287E">
        <w:rPr>
          <w:sz w:val="18"/>
          <w:szCs w:val="18"/>
        </w:rPr>
        <w:sym w:font="Wingdings 2" w:char="F0BF"/>
      </w:r>
      <w:r w:rsidRPr="00E4287E">
        <w:rPr>
          <w:sz w:val="18"/>
          <w:szCs w:val="18"/>
        </w:rPr>
        <w:tab/>
      </w:r>
      <w:r w:rsidRPr="00E4287E">
        <w:rPr>
          <w:sz w:val="18"/>
          <w:szCs w:val="18"/>
          <w:lang w:val="en-US"/>
        </w:rPr>
        <w:t>1995 AusNNS</w:t>
      </w:r>
    </w:p>
    <w:p w14:paraId="6247A235" w14:textId="77777777" w:rsidR="00414FC1" w:rsidRPr="00E4287E" w:rsidRDefault="00414FC1" w:rsidP="00D20A1E">
      <w:pPr>
        <w:widowControl/>
        <w:spacing w:before="20" w:after="20"/>
        <w:rPr>
          <w:sz w:val="18"/>
          <w:szCs w:val="18"/>
          <w:lang w:val="en-US"/>
        </w:rPr>
      </w:pPr>
      <w:r w:rsidRPr="00E4287E">
        <w:rPr>
          <w:rFonts w:cs="Arial"/>
          <w:sz w:val="18"/>
          <w:szCs w:val="18"/>
        </w:rPr>
        <w:t>Δ</w:t>
      </w:r>
      <w:r w:rsidRPr="00E4287E">
        <w:rPr>
          <w:rFonts w:cs="Arial"/>
          <w:sz w:val="18"/>
          <w:szCs w:val="18"/>
        </w:rPr>
        <w:tab/>
      </w:r>
      <w:r w:rsidRPr="00E4287E">
        <w:rPr>
          <w:sz w:val="18"/>
          <w:szCs w:val="18"/>
          <w:lang w:val="en-US"/>
        </w:rPr>
        <w:t>1997 NZNNS</w:t>
      </w:r>
    </w:p>
    <w:p w14:paraId="7126C47C" w14:textId="48CEA768" w:rsidR="00414FC1" w:rsidRPr="00E4287E" w:rsidRDefault="00A62EBB" w:rsidP="00D20A1E">
      <w:pPr>
        <w:widowControl/>
        <w:spacing w:before="20" w:after="20"/>
        <w:rPr>
          <w:sz w:val="18"/>
          <w:szCs w:val="18"/>
        </w:rPr>
      </w:pPr>
      <w:r w:rsidRPr="00E4287E">
        <w:rPr>
          <w:rFonts w:eastAsia="Arial Unicode MS" w:cs="Arial"/>
          <w:sz w:val="18"/>
          <w:szCs w:val="18"/>
        </w:rPr>
        <w:sym w:font="Webdings" w:char="F0EA"/>
      </w:r>
      <w:r w:rsidR="005126AF" w:rsidRPr="00E4287E">
        <w:rPr>
          <w:sz w:val="18"/>
          <w:szCs w:val="18"/>
        </w:rPr>
        <w:tab/>
      </w:r>
      <w:r w:rsidR="00414FC1" w:rsidRPr="00E4287E">
        <w:rPr>
          <w:sz w:val="18"/>
          <w:szCs w:val="18"/>
        </w:rPr>
        <w:t>Note: this figure is to be used as a guide only due to the small consumers in population group (n=12)</w:t>
      </w:r>
    </w:p>
    <w:p w14:paraId="774CC533" w14:textId="5B8E24CC" w:rsidR="00414FC1" w:rsidRPr="00E4287E" w:rsidRDefault="00414FC1" w:rsidP="00D20A1E">
      <w:pPr>
        <w:widowControl/>
        <w:spacing w:before="20" w:after="20"/>
        <w:rPr>
          <w:sz w:val="18"/>
          <w:szCs w:val="18"/>
          <w:lang w:val="en-US"/>
        </w:rPr>
      </w:pPr>
      <w:r w:rsidRPr="00E4287E">
        <w:rPr>
          <w:sz w:val="18"/>
          <w:szCs w:val="18"/>
        </w:rPr>
        <w:t>Gr</w:t>
      </w:r>
      <w:r w:rsidR="00733E40">
        <w:rPr>
          <w:sz w:val="18"/>
          <w:szCs w:val="18"/>
        </w:rPr>
        <w:t>e</w:t>
      </w:r>
      <w:r w:rsidRPr="00E4287E">
        <w:rPr>
          <w:sz w:val="18"/>
          <w:szCs w:val="18"/>
        </w:rPr>
        <w:t>y shading indicates that data are not available due to low consumer numbers.</w:t>
      </w:r>
    </w:p>
    <w:p w14:paraId="573634FB" w14:textId="77777777" w:rsidR="00414FC1" w:rsidRDefault="00414FC1" w:rsidP="00D20A1E">
      <w:pPr>
        <w:widowControl/>
        <w:rPr>
          <w:lang w:val="en-US"/>
        </w:rPr>
      </w:pPr>
    </w:p>
    <w:p w14:paraId="27C49CEC" w14:textId="7D913B9E" w:rsidR="00AD191F" w:rsidRDefault="00AD191F" w:rsidP="00D20A1E">
      <w:pPr>
        <w:pStyle w:val="FSTableTitle"/>
        <w:keepNext/>
        <w:keepLines/>
        <w:widowControl/>
      </w:pPr>
      <w:bookmarkStart w:id="209" w:name="_Ref420483546"/>
      <w:r>
        <w:t>Table A1.</w:t>
      </w:r>
      <w:fldSimple w:instr=" SEQ Table_A1. \* ARABIC ">
        <w:r w:rsidR="00047581">
          <w:rPr>
            <w:noProof/>
          </w:rPr>
          <w:t>13</w:t>
        </w:r>
      </w:fldSimple>
      <w:bookmarkEnd w:id="209"/>
      <w:r>
        <w:t>:</w:t>
      </w:r>
      <w:r w:rsidR="00F6296A">
        <w:t xml:space="preserve"> </w:t>
      </w:r>
      <w:r>
        <w:t>Estimated mean fat intakes (g/day)</w:t>
      </w:r>
      <w:r w:rsidR="00463E24">
        <w:t>, excluding supplements,</w:t>
      </w:r>
      <w:r>
        <w:t xml:space="preserve"> for general Australian population groups, including more recent survey data</w:t>
      </w:r>
    </w:p>
    <w:p w14:paraId="2618E253" w14:textId="77777777" w:rsidR="0023423F" w:rsidRPr="0023423F" w:rsidRDefault="0023423F" w:rsidP="002342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83"/>
        <w:gridCol w:w="1756"/>
        <w:gridCol w:w="2010"/>
        <w:gridCol w:w="2010"/>
        <w:gridCol w:w="1773"/>
        <w:gridCol w:w="2024"/>
        <w:gridCol w:w="2024"/>
      </w:tblGrid>
      <w:tr w:rsidR="00AD191F" w14:paraId="42FF5DB6" w14:textId="77777777" w:rsidTr="004644F5">
        <w:trPr>
          <w:trHeight w:val="276"/>
        </w:trPr>
        <w:tc>
          <w:tcPr>
            <w:tcW w:w="852" w:type="pct"/>
            <w:vMerge w:val="restart"/>
            <w:tcBorders>
              <w:left w:val="single" w:sz="4" w:space="0" w:color="auto"/>
            </w:tcBorders>
            <w:shd w:val="clear" w:color="auto" w:fill="B8CCE4" w:themeFill="accent1" w:themeFillTint="66"/>
            <w:noWrap/>
            <w:tcMar>
              <w:top w:w="11" w:type="dxa"/>
              <w:left w:w="11" w:type="dxa"/>
              <w:bottom w:w="0" w:type="dxa"/>
              <w:right w:w="11" w:type="dxa"/>
            </w:tcMar>
            <w:vAlign w:val="center"/>
          </w:tcPr>
          <w:p w14:paraId="3CC4CEF8" w14:textId="77777777" w:rsidR="00AD191F" w:rsidRPr="00F13FF2" w:rsidRDefault="00AD191F" w:rsidP="00D20A1E">
            <w:pPr>
              <w:keepNext/>
              <w:keepLines/>
              <w:widowControl/>
              <w:spacing w:before="60" w:after="60"/>
              <w:ind w:left="-11"/>
              <w:jc w:val="center"/>
              <w:rPr>
                <w:rFonts w:eastAsia="Arial Unicode MS"/>
                <w:sz w:val="20"/>
                <w:szCs w:val="20"/>
              </w:rPr>
            </w:pPr>
            <w:r w:rsidRPr="00F13FF2">
              <w:rPr>
                <w:b/>
                <w:bCs/>
                <w:sz w:val="20"/>
                <w:szCs w:val="20"/>
              </w:rPr>
              <w:lastRenderedPageBreak/>
              <w:t>Population Group</w:t>
            </w:r>
          </w:p>
        </w:tc>
        <w:tc>
          <w:tcPr>
            <w:tcW w:w="2066" w:type="pct"/>
            <w:gridSpan w:val="3"/>
            <w:shd w:val="clear" w:color="auto" w:fill="B8CCE4" w:themeFill="accent1" w:themeFillTint="66"/>
            <w:vAlign w:val="center"/>
          </w:tcPr>
          <w:p w14:paraId="6544D3A3" w14:textId="77777777" w:rsidR="00AD191F" w:rsidRPr="00F13FF2" w:rsidRDefault="00AD191F" w:rsidP="00D20A1E">
            <w:pPr>
              <w:keepNext/>
              <w:keepLines/>
              <w:widowControl/>
              <w:spacing w:before="60" w:after="60"/>
              <w:jc w:val="center"/>
              <w:rPr>
                <w:b/>
                <w:bCs/>
                <w:sz w:val="20"/>
                <w:szCs w:val="20"/>
              </w:rPr>
            </w:pPr>
            <w:r w:rsidRPr="00F13FF2">
              <w:rPr>
                <w:b/>
                <w:bCs/>
                <w:sz w:val="20"/>
                <w:szCs w:val="20"/>
              </w:rPr>
              <w:t>Number of survey respondents</w:t>
            </w:r>
          </w:p>
        </w:tc>
        <w:tc>
          <w:tcPr>
            <w:tcW w:w="2082" w:type="pct"/>
            <w:gridSpan w:val="3"/>
            <w:shd w:val="clear" w:color="auto" w:fill="B8CCE4" w:themeFill="accent1" w:themeFillTint="66"/>
            <w:noWrap/>
            <w:tcMar>
              <w:top w:w="11" w:type="dxa"/>
              <w:left w:w="11" w:type="dxa"/>
              <w:bottom w:w="0" w:type="dxa"/>
              <w:right w:w="11" w:type="dxa"/>
            </w:tcMar>
            <w:vAlign w:val="center"/>
          </w:tcPr>
          <w:p w14:paraId="1C78025D" w14:textId="0582F2D0" w:rsidR="00AD191F" w:rsidRPr="00F13FF2" w:rsidRDefault="00AD191F" w:rsidP="00D20A1E">
            <w:pPr>
              <w:keepNext/>
              <w:keepLines/>
              <w:widowControl/>
              <w:spacing w:before="60" w:after="60"/>
              <w:jc w:val="center"/>
              <w:rPr>
                <w:rFonts w:eastAsia="Arial Unicode MS"/>
                <w:b/>
                <w:bCs/>
                <w:sz w:val="20"/>
                <w:szCs w:val="20"/>
              </w:rPr>
            </w:pPr>
            <w:r w:rsidRPr="00F13FF2">
              <w:rPr>
                <w:b/>
                <w:bCs/>
                <w:sz w:val="20"/>
                <w:szCs w:val="20"/>
              </w:rPr>
              <w:t>Estimated mean fat intake (g/day)</w:t>
            </w:r>
            <w:r w:rsidRPr="00F13FF2">
              <w:rPr>
                <w:b/>
                <w:bCs/>
                <w:sz w:val="20"/>
                <w:szCs w:val="20"/>
                <w:vertAlign w:val="superscript"/>
              </w:rPr>
              <w:sym w:font="Wingdings 2" w:char="F0D8"/>
            </w:r>
          </w:p>
        </w:tc>
      </w:tr>
      <w:tr w:rsidR="00AD191F" w14:paraId="4AFA739C" w14:textId="77777777" w:rsidTr="004644F5">
        <w:trPr>
          <w:trHeight w:val="540"/>
        </w:trPr>
        <w:tc>
          <w:tcPr>
            <w:tcW w:w="852" w:type="pct"/>
            <w:vMerge/>
            <w:tcBorders>
              <w:left w:val="single" w:sz="4" w:space="0" w:color="auto"/>
            </w:tcBorders>
            <w:shd w:val="clear" w:color="auto" w:fill="B8CCE4" w:themeFill="accent1" w:themeFillTint="66"/>
            <w:tcMar>
              <w:top w:w="11" w:type="dxa"/>
              <w:left w:w="11" w:type="dxa"/>
              <w:bottom w:w="0" w:type="dxa"/>
              <w:right w:w="11" w:type="dxa"/>
            </w:tcMar>
            <w:vAlign w:val="center"/>
          </w:tcPr>
          <w:p w14:paraId="59BAE43C" w14:textId="77777777" w:rsidR="00AD191F" w:rsidRPr="00F13FF2" w:rsidRDefault="00AD191F" w:rsidP="00D20A1E">
            <w:pPr>
              <w:keepNext/>
              <w:keepLines/>
              <w:widowControl/>
              <w:spacing w:before="60" w:after="60"/>
              <w:ind w:left="-11"/>
              <w:jc w:val="center"/>
              <w:rPr>
                <w:rFonts w:eastAsia="Arial Unicode MS"/>
                <w:b/>
                <w:bCs/>
                <w:sz w:val="20"/>
                <w:szCs w:val="20"/>
              </w:rPr>
            </w:pPr>
          </w:p>
        </w:tc>
        <w:tc>
          <w:tcPr>
            <w:tcW w:w="2066" w:type="pct"/>
            <w:gridSpan w:val="3"/>
            <w:shd w:val="clear" w:color="auto" w:fill="B8CCE4" w:themeFill="accent1" w:themeFillTint="66"/>
            <w:vAlign w:val="center"/>
          </w:tcPr>
          <w:p w14:paraId="71D2B8D2"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General population</w:t>
            </w:r>
          </w:p>
        </w:tc>
        <w:tc>
          <w:tcPr>
            <w:tcW w:w="2082" w:type="pct"/>
            <w:gridSpan w:val="3"/>
            <w:shd w:val="clear" w:color="auto" w:fill="B8CCE4" w:themeFill="accent1" w:themeFillTint="66"/>
            <w:tcMar>
              <w:top w:w="11" w:type="dxa"/>
              <w:left w:w="11" w:type="dxa"/>
              <w:bottom w:w="0" w:type="dxa"/>
              <w:right w:w="11" w:type="dxa"/>
            </w:tcMar>
            <w:vAlign w:val="center"/>
          </w:tcPr>
          <w:p w14:paraId="3C094720" w14:textId="77777777" w:rsidR="00AD191F" w:rsidRPr="00F13FF2" w:rsidRDefault="00AD191F" w:rsidP="00D20A1E">
            <w:pPr>
              <w:keepNext/>
              <w:keepLines/>
              <w:widowControl/>
              <w:spacing w:before="60" w:after="60"/>
              <w:jc w:val="center"/>
              <w:rPr>
                <w:rFonts w:eastAsia="Arial Unicode MS"/>
                <w:bCs/>
                <w:i/>
                <w:sz w:val="20"/>
                <w:szCs w:val="20"/>
              </w:rPr>
            </w:pPr>
            <w:r w:rsidRPr="00F13FF2">
              <w:rPr>
                <w:b/>
                <w:i/>
                <w:sz w:val="20"/>
                <w:szCs w:val="20"/>
                <w:lang w:val="en-US"/>
              </w:rPr>
              <w:t>General population</w:t>
            </w:r>
          </w:p>
        </w:tc>
      </w:tr>
      <w:tr w:rsidR="00AD191F" w14:paraId="660C9AC5" w14:textId="77777777" w:rsidTr="00050B1C">
        <w:trPr>
          <w:trHeight w:val="540"/>
        </w:trPr>
        <w:tc>
          <w:tcPr>
            <w:tcW w:w="852" w:type="pct"/>
            <w:vMerge/>
            <w:tcBorders>
              <w:left w:val="single" w:sz="4" w:space="0" w:color="auto"/>
            </w:tcBorders>
            <w:shd w:val="clear" w:color="auto" w:fill="B8CCE4" w:themeFill="accent1" w:themeFillTint="66"/>
            <w:tcMar>
              <w:top w:w="11" w:type="dxa"/>
              <w:left w:w="11" w:type="dxa"/>
              <w:bottom w:w="0" w:type="dxa"/>
              <w:right w:w="11" w:type="dxa"/>
            </w:tcMar>
            <w:vAlign w:val="center"/>
          </w:tcPr>
          <w:p w14:paraId="05321179" w14:textId="77777777" w:rsidR="00AD191F" w:rsidRPr="00F13FF2" w:rsidRDefault="00AD191F" w:rsidP="00D20A1E">
            <w:pPr>
              <w:keepNext/>
              <w:keepLines/>
              <w:widowControl/>
              <w:spacing w:before="60" w:after="60"/>
              <w:ind w:left="-11"/>
              <w:jc w:val="center"/>
              <w:rPr>
                <w:b/>
                <w:bCs/>
                <w:sz w:val="20"/>
                <w:szCs w:val="20"/>
              </w:rPr>
            </w:pPr>
          </w:p>
        </w:tc>
        <w:tc>
          <w:tcPr>
            <w:tcW w:w="628" w:type="pct"/>
            <w:shd w:val="clear" w:color="auto" w:fill="B8CCE4" w:themeFill="accent1" w:themeFillTint="66"/>
            <w:vAlign w:val="center"/>
          </w:tcPr>
          <w:p w14:paraId="6CD514B6"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1995 AusNNS</w:t>
            </w:r>
          </w:p>
        </w:tc>
        <w:tc>
          <w:tcPr>
            <w:tcW w:w="719" w:type="pct"/>
            <w:tcBorders>
              <w:bottom w:val="single" w:sz="4" w:space="0" w:color="auto"/>
            </w:tcBorders>
            <w:shd w:val="clear" w:color="auto" w:fill="B8CCE4" w:themeFill="accent1" w:themeFillTint="66"/>
            <w:vAlign w:val="center"/>
          </w:tcPr>
          <w:p w14:paraId="45888E71"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2007 ANCNPAS</w:t>
            </w:r>
          </w:p>
        </w:tc>
        <w:tc>
          <w:tcPr>
            <w:tcW w:w="719" w:type="pct"/>
            <w:shd w:val="clear" w:color="auto" w:fill="B8CCE4" w:themeFill="accent1" w:themeFillTint="66"/>
            <w:vAlign w:val="center"/>
          </w:tcPr>
          <w:p w14:paraId="22CD565A"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2011-12 NNPAS</w:t>
            </w:r>
          </w:p>
        </w:tc>
        <w:tc>
          <w:tcPr>
            <w:tcW w:w="634" w:type="pct"/>
            <w:tcBorders>
              <w:bottom w:val="single" w:sz="4" w:space="0" w:color="auto"/>
            </w:tcBorders>
            <w:shd w:val="clear" w:color="auto" w:fill="B8CCE4" w:themeFill="accent1" w:themeFillTint="66"/>
            <w:tcMar>
              <w:top w:w="11" w:type="dxa"/>
              <w:left w:w="11" w:type="dxa"/>
              <w:bottom w:w="0" w:type="dxa"/>
              <w:right w:w="11" w:type="dxa"/>
            </w:tcMar>
            <w:vAlign w:val="center"/>
          </w:tcPr>
          <w:p w14:paraId="3A76713E"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1995 AusNNS</w:t>
            </w:r>
          </w:p>
        </w:tc>
        <w:tc>
          <w:tcPr>
            <w:tcW w:w="724" w:type="pct"/>
            <w:tcBorders>
              <w:bottom w:val="single" w:sz="4" w:space="0" w:color="auto"/>
            </w:tcBorders>
            <w:shd w:val="clear" w:color="auto" w:fill="B8CCE4" w:themeFill="accent1" w:themeFillTint="66"/>
            <w:tcMar>
              <w:top w:w="11" w:type="dxa"/>
              <w:left w:w="11" w:type="dxa"/>
              <w:bottom w:w="0" w:type="dxa"/>
              <w:right w:w="11" w:type="dxa"/>
            </w:tcMar>
            <w:vAlign w:val="center"/>
          </w:tcPr>
          <w:p w14:paraId="6CE33A5A"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2007 ANCNPAS</w:t>
            </w:r>
          </w:p>
        </w:tc>
        <w:tc>
          <w:tcPr>
            <w:tcW w:w="724" w:type="pct"/>
            <w:shd w:val="clear" w:color="auto" w:fill="B8CCE4" w:themeFill="accent1" w:themeFillTint="66"/>
            <w:noWrap/>
            <w:tcMar>
              <w:top w:w="11" w:type="dxa"/>
              <w:left w:w="11" w:type="dxa"/>
              <w:bottom w:w="0" w:type="dxa"/>
              <w:right w:w="11" w:type="dxa"/>
            </w:tcMar>
            <w:vAlign w:val="center"/>
          </w:tcPr>
          <w:p w14:paraId="64427EF0" w14:textId="66AE765B"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2011-12 NNPAS</w:t>
            </w:r>
            <w:r w:rsidR="007B078B" w:rsidRPr="00F13FF2">
              <w:rPr>
                <w:rFonts w:ascii="Wingdings" w:hAnsi="Wingdings" w:cs="Arial"/>
                <w:b/>
                <w:sz w:val="20"/>
                <w:szCs w:val="20"/>
                <w:vertAlign w:val="superscript"/>
              </w:rPr>
              <w:t></w:t>
            </w:r>
          </w:p>
        </w:tc>
      </w:tr>
      <w:tr w:rsidR="00D466D8" w14:paraId="57F789B8" w14:textId="77777777" w:rsidTr="00050B1C">
        <w:trPr>
          <w:trHeight w:val="264"/>
        </w:trPr>
        <w:tc>
          <w:tcPr>
            <w:tcW w:w="852" w:type="pct"/>
            <w:noWrap/>
            <w:tcMar>
              <w:top w:w="15" w:type="dxa"/>
              <w:left w:w="11" w:type="dxa"/>
              <w:bottom w:w="0" w:type="dxa"/>
              <w:right w:w="11" w:type="dxa"/>
            </w:tcMar>
            <w:vAlign w:val="center"/>
          </w:tcPr>
          <w:p w14:paraId="0C9A72C1" w14:textId="77777777" w:rsidR="00D466D8" w:rsidRPr="00F13FF2" w:rsidRDefault="00D466D8" w:rsidP="00D20A1E">
            <w:pPr>
              <w:keepNext/>
              <w:keepLines/>
              <w:widowControl/>
              <w:spacing w:before="60" w:after="60"/>
              <w:rPr>
                <w:rFonts w:eastAsia="Arial Unicode MS"/>
                <w:sz w:val="20"/>
                <w:szCs w:val="20"/>
              </w:rPr>
            </w:pPr>
            <w:r w:rsidRPr="00F13FF2">
              <w:rPr>
                <w:sz w:val="20"/>
                <w:szCs w:val="20"/>
              </w:rPr>
              <w:t>2 years and above</w:t>
            </w:r>
          </w:p>
        </w:tc>
        <w:tc>
          <w:tcPr>
            <w:tcW w:w="628" w:type="pct"/>
          </w:tcPr>
          <w:p w14:paraId="1C30FAE8" w14:textId="77777777" w:rsidR="00D466D8" w:rsidRPr="00F13FF2" w:rsidRDefault="00D466D8" w:rsidP="00D20A1E">
            <w:pPr>
              <w:keepNext/>
              <w:keepLines/>
              <w:widowControl/>
              <w:tabs>
                <w:tab w:val="decimal" w:pos="1172"/>
              </w:tabs>
              <w:spacing w:before="60" w:after="60"/>
              <w:rPr>
                <w:rFonts w:cs="Arial"/>
                <w:sz w:val="20"/>
                <w:szCs w:val="20"/>
              </w:rPr>
            </w:pPr>
            <w:r w:rsidRPr="00F13FF2">
              <w:rPr>
                <w:rFonts w:cs="Arial"/>
                <w:sz w:val="20"/>
                <w:szCs w:val="20"/>
              </w:rPr>
              <w:t>13,858</w:t>
            </w:r>
          </w:p>
        </w:tc>
        <w:tc>
          <w:tcPr>
            <w:tcW w:w="719" w:type="pct"/>
            <w:shd w:val="clear" w:color="auto" w:fill="D9D9D9" w:themeFill="background1" w:themeFillShade="D9"/>
          </w:tcPr>
          <w:p w14:paraId="1E1650E1" w14:textId="77777777" w:rsidR="00D466D8" w:rsidRPr="00F13FF2" w:rsidRDefault="00D466D8" w:rsidP="00D20A1E">
            <w:pPr>
              <w:keepNext/>
              <w:keepLines/>
              <w:widowControl/>
              <w:tabs>
                <w:tab w:val="decimal" w:pos="1045"/>
              </w:tabs>
              <w:spacing w:before="60" w:after="60"/>
              <w:rPr>
                <w:rFonts w:cs="Arial"/>
                <w:sz w:val="20"/>
                <w:szCs w:val="20"/>
              </w:rPr>
            </w:pPr>
            <w:r w:rsidRPr="00F13FF2">
              <w:rPr>
                <w:rFonts w:cs="Arial"/>
                <w:sz w:val="20"/>
                <w:szCs w:val="20"/>
              </w:rPr>
              <w:t>n/a</w:t>
            </w:r>
          </w:p>
        </w:tc>
        <w:tc>
          <w:tcPr>
            <w:tcW w:w="719" w:type="pct"/>
            <w:tcBorders>
              <w:bottom w:val="single" w:sz="4" w:space="0" w:color="auto"/>
            </w:tcBorders>
          </w:tcPr>
          <w:p w14:paraId="59297CDC" w14:textId="322C2452" w:rsidR="00D466D8" w:rsidRPr="00F13FF2" w:rsidRDefault="00D466D8" w:rsidP="00D20A1E">
            <w:pPr>
              <w:keepNext/>
              <w:keepLines/>
              <w:widowControl/>
              <w:spacing w:before="60" w:after="60"/>
              <w:jc w:val="center"/>
              <w:rPr>
                <w:rFonts w:cs="Arial"/>
                <w:sz w:val="20"/>
                <w:szCs w:val="20"/>
              </w:rPr>
            </w:pPr>
            <w:r w:rsidRPr="00F13FF2">
              <w:rPr>
                <w:rFonts w:cs="Arial"/>
                <w:sz w:val="20"/>
                <w:szCs w:val="20"/>
              </w:rPr>
              <w:t>12,153</w:t>
            </w:r>
          </w:p>
        </w:tc>
        <w:tc>
          <w:tcPr>
            <w:tcW w:w="634" w:type="pct"/>
            <w:shd w:val="clear" w:color="auto" w:fill="auto"/>
            <w:noWrap/>
            <w:tcMar>
              <w:top w:w="15" w:type="dxa"/>
              <w:left w:w="11" w:type="dxa"/>
              <w:bottom w:w="0" w:type="dxa"/>
              <w:right w:w="11" w:type="dxa"/>
            </w:tcMar>
            <w:vAlign w:val="center"/>
          </w:tcPr>
          <w:p w14:paraId="27A7FBCF" w14:textId="2B93DEF1" w:rsidR="00D466D8" w:rsidRPr="00F13FF2" w:rsidRDefault="00D466D8"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81</w:t>
            </w:r>
          </w:p>
        </w:tc>
        <w:tc>
          <w:tcPr>
            <w:tcW w:w="724" w:type="pct"/>
            <w:shd w:val="clear" w:color="auto" w:fill="D9D9D9" w:themeFill="background1" w:themeFillShade="D9"/>
            <w:noWrap/>
            <w:tcMar>
              <w:top w:w="15" w:type="dxa"/>
              <w:left w:w="11" w:type="dxa"/>
              <w:bottom w:w="0" w:type="dxa"/>
              <w:right w:w="11" w:type="dxa"/>
            </w:tcMar>
            <w:vAlign w:val="center"/>
          </w:tcPr>
          <w:p w14:paraId="7273FFA6" w14:textId="0DE55B8A" w:rsidR="00D466D8" w:rsidRPr="00F13FF2" w:rsidRDefault="00D466D8" w:rsidP="00D20A1E">
            <w:pPr>
              <w:keepNext/>
              <w:keepLines/>
              <w:widowControl/>
              <w:spacing w:before="60" w:after="60"/>
              <w:jc w:val="center"/>
              <w:rPr>
                <w:rFonts w:eastAsia="Arial Unicode MS" w:cs="Arial"/>
                <w:sz w:val="20"/>
                <w:szCs w:val="20"/>
              </w:rPr>
            </w:pPr>
          </w:p>
        </w:tc>
        <w:tc>
          <w:tcPr>
            <w:tcW w:w="724" w:type="pct"/>
            <w:tcBorders>
              <w:bottom w:val="single" w:sz="4" w:space="0" w:color="auto"/>
            </w:tcBorders>
            <w:noWrap/>
            <w:tcMar>
              <w:top w:w="11" w:type="dxa"/>
              <w:left w:w="11" w:type="dxa"/>
              <w:bottom w:w="0" w:type="dxa"/>
              <w:right w:w="11" w:type="dxa"/>
            </w:tcMar>
            <w:vAlign w:val="center"/>
          </w:tcPr>
          <w:p w14:paraId="67238022" w14:textId="5A1418CC" w:rsidR="00D466D8" w:rsidRPr="00F13FF2" w:rsidRDefault="00CA36B6" w:rsidP="00D20A1E">
            <w:pPr>
              <w:pStyle w:val="E-mailSignature"/>
              <w:keepNext/>
              <w:keepLines/>
              <w:spacing w:before="60" w:after="60"/>
              <w:jc w:val="center"/>
              <w:rPr>
                <w:rFonts w:eastAsia="Arial Unicode MS" w:cs="Arial"/>
                <w:lang w:val="en-GB" w:bidi="ar-SA"/>
              </w:rPr>
            </w:pPr>
            <w:r w:rsidRPr="00F13FF2">
              <w:rPr>
                <w:rFonts w:eastAsia="Arial Unicode MS" w:cs="Arial"/>
                <w:lang w:val="en-GB" w:bidi="ar-SA"/>
              </w:rPr>
              <w:t>73</w:t>
            </w:r>
          </w:p>
        </w:tc>
      </w:tr>
      <w:tr w:rsidR="00D466D8" w14:paraId="0639F0B2" w14:textId="77777777" w:rsidTr="00050B1C">
        <w:trPr>
          <w:trHeight w:val="264"/>
        </w:trPr>
        <w:tc>
          <w:tcPr>
            <w:tcW w:w="852" w:type="pct"/>
            <w:noWrap/>
            <w:tcMar>
              <w:top w:w="15" w:type="dxa"/>
              <w:left w:w="11" w:type="dxa"/>
              <w:bottom w:w="0" w:type="dxa"/>
              <w:right w:w="11" w:type="dxa"/>
            </w:tcMar>
            <w:vAlign w:val="center"/>
          </w:tcPr>
          <w:p w14:paraId="4E6B2ADD" w14:textId="623F50E7" w:rsidR="00D466D8" w:rsidRPr="00F13FF2" w:rsidRDefault="00D466D8" w:rsidP="00D20A1E">
            <w:pPr>
              <w:keepNext/>
              <w:keepLines/>
              <w:widowControl/>
              <w:spacing w:before="60" w:after="60"/>
              <w:rPr>
                <w:rFonts w:eastAsia="Arial Unicode MS"/>
                <w:sz w:val="20"/>
                <w:szCs w:val="20"/>
              </w:rPr>
            </w:pPr>
            <w:r w:rsidRPr="00F13FF2">
              <w:rPr>
                <w:sz w:val="20"/>
                <w:szCs w:val="20"/>
              </w:rPr>
              <w:t>2</w:t>
            </w:r>
            <w:r w:rsidR="00733E40">
              <w:rPr>
                <w:sz w:val="20"/>
                <w:szCs w:val="20"/>
              </w:rPr>
              <w:t>–</w:t>
            </w:r>
            <w:r w:rsidRPr="00F13FF2">
              <w:rPr>
                <w:sz w:val="20"/>
                <w:szCs w:val="20"/>
              </w:rPr>
              <w:t>4 years</w:t>
            </w:r>
          </w:p>
        </w:tc>
        <w:tc>
          <w:tcPr>
            <w:tcW w:w="628" w:type="pct"/>
          </w:tcPr>
          <w:p w14:paraId="00584405" w14:textId="77777777" w:rsidR="00D466D8" w:rsidRPr="00F13FF2" w:rsidRDefault="00D466D8" w:rsidP="00D20A1E">
            <w:pPr>
              <w:keepNext/>
              <w:keepLines/>
              <w:widowControl/>
              <w:tabs>
                <w:tab w:val="decimal" w:pos="1172"/>
              </w:tabs>
              <w:spacing w:before="60" w:after="60"/>
              <w:rPr>
                <w:rFonts w:cs="Arial"/>
                <w:sz w:val="20"/>
                <w:szCs w:val="20"/>
              </w:rPr>
            </w:pPr>
            <w:r w:rsidRPr="00F13FF2">
              <w:rPr>
                <w:rFonts w:cs="Arial"/>
                <w:sz w:val="20"/>
                <w:szCs w:val="20"/>
              </w:rPr>
              <w:t>583</w:t>
            </w:r>
          </w:p>
        </w:tc>
        <w:tc>
          <w:tcPr>
            <w:tcW w:w="719" w:type="pct"/>
          </w:tcPr>
          <w:p w14:paraId="55361E3A" w14:textId="4D653C0B" w:rsidR="00D466D8" w:rsidRPr="00F13FF2" w:rsidRDefault="00D466D8" w:rsidP="00D20A1E">
            <w:pPr>
              <w:keepNext/>
              <w:keepLines/>
              <w:widowControl/>
              <w:tabs>
                <w:tab w:val="decimal" w:pos="1045"/>
              </w:tabs>
              <w:spacing w:before="60" w:after="60"/>
              <w:rPr>
                <w:rFonts w:cs="Arial"/>
                <w:sz w:val="20"/>
                <w:szCs w:val="20"/>
              </w:rPr>
            </w:pPr>
            <w:r w:rsidRPr="00F13FF2">
              <w:rPr>
                <w:rFonts w:cs="Arial"/>
                <w:sz w:val="20"/>
                <w:szCs w:val="20"/>
              </w:rPr>
              <w:t>911</w:t>
            </w:r>
          </w:p>
        </w:tc>
        <w:tc>
          <w:tcPr>
            <w:tcW w:w="719" w:type="pct"/>
            <w:shd w:val="clear" w:color="auto" w:fill="D9D9D9" w:themeFill="background1" w:themeFillShade="D9"/>
          </w:tcPr>
          <w:p w14:paraId="18326992" w14:textId="77777777" w:rsidR="00D466D8" w:rsidRPr="00F13FF2" w:rsidRDefault="00D466D8" w:rsidP="00D20A1E">
            <w:pPr>
              <w:keepNext/>
              <w:keepLines/>
              <w:widowControl/>
              <w:spacing w:before="60" w:after="60"/>
              <w:jc w:val="center"/>
              <w:rPr>
                <w:rFonts w:cs="Arial"/>
                <w:sz w:val="20"/>
                <w:szCs w:val="20"/>
              </w:rPr>
            </w:pPr>
            <w:r w:rsidRPr="00F13FF2">
              <w:rPr>
                <w:rFonts w:cs="Arial"/>
                <w:sz w:val="20"/>
                <w:szCs w:val="20"/>
              </w:rPr>
              <w:t>n/a</w:t>
            </w:r>
          </w:p>
        </w:tc>
        <w:tc>
          <w:tcPr>
            <w:tcW w:w="634" w:type="pct"/>
            <w:shd w:val="clear" w:color="auto" w:fill="auto"/>
            <w:noWrap/>
            <w:tcMar>
              <w:top w:w="15" w:type="dxa"/>
              <w:left w:w="11" w:type="dxa"/>
              <w:bottom w:w="0" w:type="dxa"/>
              <w:right w:w="11" w:type="dxa"/>
            </w:tcMar>
            <w:vAlign w:val="center"/>
          </w:tcPr>
          <w:p w14:paraId="6108C760" w14:textId="62DC8EDA" w:rsidR="00D466D8" w:rsidRPr="00F13FF2" w:rsidRDefault="00D466D8"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58</w:t>
            </w:r>
          </w:p>
        </w:tc>
        <w:tc>
          <w:tcPr>
            <w:tcW w:w="724" w:type="pct"/>
            <w:noWrap/>
            <w:tcMar>
              <w:top w:w="15" w:type="dxa"/>
              <w:left w:w="11" w:type="dxa"/>
              <w:bottom w:w="0" w:type="dxa"/>
              <w:right w:w="11" w:type="dxa"/>
            </w:tcMar>
            <w:vAlign w:val="center"/>
          </w:tcPr>
          <w:p w14:paraId="28D596B4" w14:textId="0FFBD943" w:rsidR="00D466D8" w:rsidRPr="00F13FF2" w:rsidRDefault="00D466D8"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54</w:t>
            </w:r>
          </w:p>
        </w:tc>
        <w:tc>
          <w:tcPr>
            <w:tcW w:w="724" w:type="pct"/>
            <w:shd w:val="clear" w:color="auto" w:fill="D9D9D9" w:themeFill="background1" w:themeFillShade="D9"/>
            <w:noWrap/>
            <w:tcMar>
              <w:top w:w="11" w:type="dxa"/>
              <w:left w:w="11" w:type="dxa"/>
              <w:bottom w:w="0" w:type="dxa"/>
              <w:right w:w="11" w:type="dxa"/>
            </w:tcMar>
          </w:tcPr>
          <w:p w14:paraId="25032F4A" w14:textId="32F56718" w:rsidR="00D466D8" w:rsidRPr="00F13FF2" w:rsidRDefault="00D466D8" w:rsidP="00D20A1E">
            <w:pPr>
              <w:keepNext/>
              <w:keepLines/>
              <w:widowControl/>
              <w:spacing w:before="60" w:after="60"/>
              <w:jc w:val="center"/>
              <w:rPr>
                <w:rFonts w:eastAsia="Arial Unicode MS" w:cs="Arial"/>
                <w:sz w:val="20"/>
                <w:szCs w:val="20"/>
              </w:rPr>
            </w:pPr>
          </w:p>
        </w:tc>
      </w:tr>
      <w:tr w:rsidR="00D466D8" w14:paraId="1A367608" w14:textId="77777777" w:rsidTr="00050B1C">
        <w:trPr>
          <w:trHeight w:val="264"/>
        </w:trPr>
        <w:tc>
          <w:tcPr>
            <w:tcW w:w="852" w:type="pct"/>
            <w:noWrap/>
            <w:tcMar>
              <w:top w:w="15" w:type="dxa"/>
              <w:left w:w="11" w:type="dxa"/>
              <w:bottom w:w="0" w:type="dxa"/>
              <w:right w:w="11" w:type="dxa"/>
            </w:tcMar>
            <w:vAlign w:val="center"/>
          </w:tcPr>
          <w:p w14:paraId="77D382B9" w14:textId="1ACD4EA6" w:rsidR="00D466D8" w:rsidRPr="00F13FF2" w:rsidRDefault="00D466D8" w:rsidP="00D20A1E">
            <w:pPr>
              <w:keepNext/>
              <w:keepLines/>
              <w:widowControl/>
              <w:spacing w:before="60" w:after="60"/>
              <w:rPr>
                <w:rFonts w:eastAsia="Arial Unicode MS"/>
                <w:sz w:val="20"/>
                <w:szCs w:val="20"/>
              </w:rPr>
            </w:pPr>
            <w:r w:rsidRPr="00F13FF2">
              <w:rPr>
                <w:sz w:val="20"/>
                <w:szCs w:val="20"/>
              </w:rPr>
              <w:t>5</w:t>
            </w:r>
            <w:r w:rsidR="00733E40">
              <w:rPr>
                <w:sz w:val="20"/>
                <w:szCs w:val="20"/>
              </w:rPr>
              <w:t>–</w:t>
            </w:r>
            <w:r w:rsidRPr="00F13FF2">
              <w:rPr>
                <w:sz w:val="20"/>
                <w:szCs w:val="20"/>
              </w:rPr>
              <w:t>14 years</w:t>
            </w:r>
          </w:p>
        </w:tc>
        <w:tc>
          <w:tcPr>
            <w:tcW w:w="628" w:type="pct"/>
          </w:tcPr>
          <w:p w14:paraId="084AFDE7" w14:textId="77777777" w:rsidR="00D466D8" w:rsidRPr="00F13FF2" w:rsidRDefault="00D466D8" w:rsidP="00D20A1E">
            <w:pPr>
              <w:keepNext/>
              <w:keepLines/>
              <w:widowControl/>
              <w:tabs>
                <w:tab w:val="decimal" w:pos="1172"/>
              </w:tabs>
              <w:spacing w:before="60" w:after="60"/>
              <w:rPr>
                <w:rFonts w:cs="Arial"/>
                <w:sz w:val="20"/>
                <w:szCs w:val="20"/>
              </w:rPr>
            </w:pPr>
            <w:r w:rsidRPr="00F13FF2">
              <w:rPr>
                <w:rFonts w:cs="Arial"/>
                <w:sz w:val="20"/>
                <w:szCs w:val="20"/>
              </w:rPr>
              <w:t>1,844</w:t>
            </w:r>
          </w:p>
        </w:tc>
        <w:tc>
          <w:tcPr>
            <w:tcW w:w="719" w:type="pct"/>
            <w:tcBorders>
              <w:bottom w:val="single" w:sz="4" w:space="0" w:color="auto"/>
            </w:tcBorders>
          </w:tcPr>
          <w:p w14:paraId="3FFB42C9" w14:textId="56CC6701" w:rsidR="00D466D8" w:rsidRPr="00F13FF2" w:rsidRDefault="00D466D8" w:rsidP="00D20A1E">
            <w:pPr>
              <w:keepNext/>
              <w:keepLines/>
              <w:widowControl/>
              <w:tabs>
                <w:tab w:val="decimal" w:pos="1045"/>
              </w:tabs>
              <w:spacing w:before="60" w:after="60"/>
              <w:rPr>
                <w:rFonts w:cs="Arial"/>
                <w:sz w:val="20"/>
                <w:szCs w:val="20"/>
              </w:rPr>
            </w:pPr>
            <w:r w:rsidRPr="00F13FF2">
              <w:rPr>
                <w:rFonts w:cs="Arial"/>
                <w:sz w:val="20"/>
                <w:szCs w:val="20"/>
              </w:rPr>
              <w:t>2,997</w:t>
            </w:r>
          </w:p>
        </w:tc>
        <w:tc>
          <w:tcPr>
            <w:tcW w:w="719" w:type="pct"/>
            <w:shd w:val="clear" w:color="auto" w:fill="D9D9D9" w:themeFill="background1" w:themeFillShade="D9"/>
          </w:tcPr>
          <w:p w14:paraId="253DF7E1" w14:textId="77777777" w:rsidR="00D466D8" w:rsidRPr="00F13FF2" w:rsidRDefault="00D466D8" w:rsidP="00D20A1E">
            <w:pPr>
              <w:keepNext/>
              <w:keepLines/>
              <w:widowControl/>
              <w:spacing w:before="60" w:after="60"/>
              <w:jc w:val="center"/>
              <w:rPr>
                <w:rFonts w:cs="Arial"/>
                <w:sz w:val="20"/>
                <w:szCs w:val="20"/>
              </w:rPr>
            </w:pPr>
            <w:r w:rsidRPr="00F13FF2">
              <w:rPr>
                <w:rFonts w:cs="Arial"/>
                <w:sz w:val="20"/>
                <w:szCs w:val="20"/>
              </w:rPr>
              <w:t>n/a</w:t>
            </w:r>
          </w:p>
        </w:tc>
        <w:tc>
          <w:tcPr>
            <w:tcW w:w="634" w:type="pct"/>
            <w:shd w:val="clear" w:color="auto" w:fill="auto"/>
            <w:noWrap/>
            <w:tcMar>
              <w:top w:w="15" w:type="dxa"/>
              <w:left w:w="11" w:type="dxa"/>
              <w:bottom w:w="0" w:type="dxa"/>
              <w:right w:w="11" w:type="dxa"/>
            </w:tcMar>
            <w:vAlign w:val="center"/>
          </w:tcPr>
          <w:p w14:paraId="555B4AEE" w14:textId="42613017" w:rsidR="00D466D8" w:rsidRPr="00F13FF2" w:rsidRDefault="00D466D8"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79</w:t>
            </w:r>
          </w:p>
        </w:tc>
        <w:tc>
          <w:tcPr>
            <w:tcW w:w="724" w:type="pct"/>
            <w:tcBorders>
              <w:bottom w:val="single" w:sz="4" w:space="0" w:color="auto"/>
            </w:tcBorders>
            <w:noWrap/>
            <w:tcMar>
              <w:top w:w="15" w:type="dxa"/>
              <w:left w:w="11" w:type="dxa"/>
              <w:bottom w:w="0" w:type="dxa"/>
              <w:right w:w="11" w:type="dxa"/>
            </w:tcMar>
            <w:vAlign w:val="center"/>
          </w:tcPr>
          <w:p w14:paraId="2A565E49" w14:textId="20904782" w:rsidR="00D466D8" w:rsidRPr="00F13FF2" w:rsidRDefault="00CA36B6"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72</w:t>
            </w:r>
          </w:p>
        </w:tc>
        <w:tc>
          <w:tcPr>
            <w:tcW w:w="724" w:type="pct"/>
            <w:shd w:val="clear" w:color="auto" w:fill="D9D9D9" w:themeFill="background1" w:themeFillShade="D9"/>
            <w:noWrap/>
            <w:tcMar>
              <w:top w:w="11" w:type="dxa"/>
              <w:left w:w="11" w:type="dxa"/>
              <w:bottom w:w="0" w:type="dxa"/>
              <w:right w:w="11" w:type="dxa"/>
            </w:tcMar>
          </w:tcPr>
          <w:p w14:paraId="4E6BD77B" w14:textId="68229B3E" w:rsidR="00D466D8" w:rsidRPr="00F13FF2" w:rsidRDefault="00D466D8" w:rsidP="00D20A1E">
            <w:pPr>
              <w:keepNext/>
              <w:keepLines/>
              <w:widowControl/>
              <w:spacing w:before="60" w:after="60"/>
              <w:jc w:val="center"/>
              <w:rPr>
                <w:rFonts w:eastAsia="Arial Unicode MS" w:cs="Arial"/>
                <w:sz w:val="20"/>
                <w:szCs w:val="20"/>
              </w:rPr>
            </w:pPr>
          </w:p>
        </w:tc>
      </w:tr>
      <w:tr w:rsidR="00D466D8" w14:paraId="237023C3" w14:textId="77777777" w:rsidTr="00050B1C">
        <w:trPr>
          <w:trHeight w:val="264"/>
        </w:trPr>
        <w:tc>
          <w:tcPr>
            <w:tcW w:w="852" w:type="pct"/>
            <w:noWrap/>
            <w:tcMar>
              <w:top w:w="15" w:type="dxa"/>
              <w:left w:w="11" w:type="dxa"/>
              <w:bottom w:w="0" w:type="dxa"/>
              <w:right w:w="11" w:type="dxa"/>
            </w:tcMar>
            <w:vAlign w:val="center"/>
          </w:tcPr>
          <w:p w14:paraId="365ADD69" w14:textId="77777777" w:rsidR="00D466D8" w:rsidRPr="00F13FF2" w:rsidRDefault="00D466D8" w:rsidP="00D20A1E">
            <w:pPr>
              <w:keepNext/>
              <w:keepLines/>
              <w:widowControl/>
              <w:spacing w:before="60" w:after="60"/>
              <w:rPr>
                <w:rFonts w:eastAsia="Arial Unicode MS"/>
                <w:sz w:val="20"/>
                <w:szCs w:val="20"/>
              </w:rPr>
            </w:pPr>
            <w:r w:rsidRPr="00F13FF2">
              <w:rPr>
                <w:sz w:val="20"/>
                <w:szCs w:val="20"/>
              </w:rPr>
              <w:t>15 years and above</w:t>
            </w:r>
          </w:p>
        </w:tc>
        <w:tc>
          <w:tcPr>
            <w:tcW w:w="628" w:type="pct"/>
          </w:tcPr>
          <w:p w14:paraId="56ECCA14" w14:textId="77777777" w:rsidR="00D466D8" w:rsidRPr="00F13FF2" w:rsidRDefault="00D466D8" w:rsidP="00D20A1E">
            <w:pPr>
              <w:keepNext/>
              <w:keepLines/>
              <w:widowControl/>
              <w:tabs>
                <w:tab w:val="decimal" w:pos="1172"/>
              </w:tabs>
              <w:spacing w:before="60" w:after="60"/>
              <w:rPr>
                <w:rFonts w:cs="Arial"/>
                <w:sz w:val="20"/>
                <w:szCs w:val="20"/>
              </w:rPr>
            </w:pPr>
            <w:r w:rsidRPr="00F13FF2">
              <w:rPr>
                <w:rFonts w:cs="Arial"/>
                <w:sz w:val="20"/>
                <w:szCs w:val="20"/>
              </w:rPr>
              <w:t>11,431</w:t>
            </w:r>
          </w:p>
        </w:tc>
        <w:tc>
          <w:tcPr>
            <w:tcW w:w="719" w:type="pct"/>
            <w:shd w:val="clear" w:color="auto" w:fill="D9D9D9" w:themeFill="background1" w:themeFillShade="D9"/>
          </w:tcPr>
          <w:p w14:paraId="55113F4D" w14:textId="77777777" w:rsidR="00D466D8" w:rsidRPr="00F13FF2" w:rsidRDefault="00D466D8" w:rsidP="00D20A1E">
            <w:pPr>
              <w:keepNext/>
              <w:keepLines/>
              <w:widowControl/>
              <w:tabs>
                <w:tab w:val="decimal" w:pos="1045"/>
              </w:tabs>
              <w:spacing w:before="60" w:after="60"/>
              <w:rPr>
                <w:rFonts w:cs="Arial"/>
                <w:sz w:val="20"/>
                <w:szCs w:val="20"/>
              </w:rPr>
            </w:pPr>
            <w:r w:rsidRPr="00F13FF2">
              <w:rPr>
                <w:rFonts w:cs="Arial"/>
                <w:sz w:val="20"/>
                <w:szCs w:val="20"/>
              </w:rPr>
              <w:t>n/a</w:t>
            </w:r>
          </w:p>
        </w:tc>
        <w:tc>
          <w:tcPr>
            <w:tcW w:w="719" w:type="pct"/>
            <w:shd w:val="clear" w:color="auto" w:fill="D9D9D9" w:themeFill="background1" w:themeFillShade="D9"/>
          </w:tcPr>
          <w:p w14:paraId="11B6453E" w14:textId="77777777" w:rsidR="00D466D8" w:rsidRPr="00F13FF2" w:rsidRDefault="00D466D8" w:rsidP="00D20A1E">
            <w:pPr>
              <w:keepNext/>
              <w:keepLines/>
              <w:widowControl/>
              <w:spacing w:before="60" w:after="60"/>
              <w:jc w:val="center"/>
              <w:rPr>
                <w:rFonts w:cs="Arial"/>
                <w:sz w:val="20"/>
                <w:szCs w:val="20"/>
              </w:rPr>
            </w:pPr>
            <w:r w:rsidRPr="00F13FF2">
              <w:rPr>
                <w:rFonts w:cs="Arial"/>
                <w:sz w:val="20"/>
                <w:szCs w:val="20"/>
              </w:rPr>
              <w:t>n/a</w:t>
            </w:r>
          </w:p>
        </w:tc>
        <w:tc>
          <w:tcPr>
            <w:tcW w:w="634" w:type="pct"/>
            <w:shd w:val="clear" w:color="auto" w:fill="auto"/>
            <w:noWrap/>
            <w:tcMar>
              <w:top w:w="15" w:type="dxa"/>
              <w:left w:w="11" w:type="dxa"/>
              <w:bottom w:w="0" w:type="dxa"/>
              <w:right w:w="11" w:type="dxa"/>
            </w:tcMar>
            <w:vAlign w:val="center"/>
          </w:tcPr>
          <w:p w14:paraId="188B0DF4" w14:textId="257EB59A" w:rsidR="00D466D8" w:rsidRPr="00F13FF2" w:rsidRDefault="00D466D8"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82</w:t>
            </w:r>
          </w:p>
        </w:tc>
        <w:tc>
          <w:tcPr>
            <w:tcW w:w="724" w:type="pct"/>
            <w:shd w:val="clear" w:color="auto" w:fill="D9D9D9" w:themeFill="background1" w:themeFillShade="D9"/>
            <w:noWrap/>
            <w:tcMar>
              <w:top w:w="15" w:type="dxa"/>
              <w:left w:w="11" w:type="dxa"/>
              <w:bottom w:w="0" w:type="dxa"/>
              <w:right w:w="11" w:type="dxa"/>
            </w:tcMar>
            <w:vAlign w:val="center"/>
          </w:tcPr>
          <w:p w14:paraId="29A3067C" w14:textId="04949450" w:rsidR="00D466D8" w:rsidRPr="00F13FF2" w:rsidRDefault="00D466D8" w:rsidP="00D20A1E">
            <w:pPr>
              <w:keepNext/>
              <w:keepLines/>
              <w:widowControl/>
              <w:spacing w:before="60" w:after="60"/>
              <w:jc w:val="center"/>
              <w:rPr>
                <w:rFonts w:eastAsia="Arial Unicode MS" w:cs="Arial"/>
                <w:sz w:val="20"/>
                <w:szCs w:val="20"/>
              </w:rPr>
            </w:pPr>
          </w:p>
        </w:tc>
        <w:tc>
          <w:tcPr>
            <w:tcW w:w="724" w:type="pct"/>
            <w:shd w:val="clear" w:color="auto" w:fill="D9D9D9" w:themeFill="background1" w:themeFillShade="D9"/>
            <w:noWrap/>
            <w:tcMar>
              <w:top w:w="11" w:type="dxa"/>
              <w:left w:w="11" w:type="dxa"/>
              <w:bottom w:w="0" w:type="dxa"/>
              <w:right w:w="11" w:type="dxa"/>
            </w:tcMar>
          </w:tcPr>
          <w:p w14:paraId="6E3C8967" w14:textId="32B92A32" w:rsidR="00D466D8" w:rsidRPr="00F13FF2" w:rsidRDefault="00D466D8" w:rsidP="00D20A1E">
            <w:pPr>
              <w:keepNext/>
              <w:keepLines/>
              <w:widowControl/>
              <w:spacing w:before="60" w:after="60"/>
              <w:jc w:val="center"/>
              <w:rPr>
                <w:rFonts w:eastAsia="Arial Unicode MS" w:cs="Arial"/>
                <w:sz w:val="20"/>
                <w:szCs w:val="20"/>
              </w:rPr>
            </w:pPr>
          </w:p>
        </w:tc>
      </w:tr>
    </w:tbl>
    <w:p w14:paraId="2018C689" w14:textId="21BD41D3" w:rsidR="00AD191F" w:rsidRPr="00E4287E" w:rsidRDefault="00AD191F" w:rsidP="00D20A1E">
      <w:pPr>
        <w:widowControl/>
        <w:spacing w:before="20" w:after="20"/>
        <w:rPr>
          <w:sz w:val="18"/>
          <w:szCs w:val="18"/>
        </w:rPr>
      </w:pPr>
      <w:r w:rsidRPr="00E4287E">
        <w:rPr>
          <w:bCs/>
          <w:sz w:val="18"/>
          <w:szCs w:val="18"/>
          <w:vertAlign w:val="superscript"/>
        </w:rPr>
        <w:sym w:font="Wingdings 2" w:char="F0D8"/>
      </w:r>
      <w:r w:rsidRPr="00E4287E">
        <w:rPr>
          <w:sz w:val="18"/>
          <w:szCs w:val="18"/>
        </w:rPr>
        <w:tab/>
        <w:t>All fat intakes have been rounded to the nearest whole number</w:t>
      </w:r>
    </w:p>
    <w:p w14:paraId="00034BEA" w14:textId="21E1906C" w:rsidR="007B078B" w:rsidRPr="00E4287E" w:rsidRDefault="007B078B" w:rsidP="00D20A1E">
      <w:pPr>
        <w:widowControl/>
        <w:spacing w:before="20" w:after="20"/>
        <w:rPr>
          <w:rFonts w:cs="Arial"/>
          <w:sz w:val="18"/>
          <w:szCs w:val="18"/>
        </w:rPr>
      </w:pPr>
      <w:r w:rsidRPr="00E4287E">
        <w:rPr>
          <w:rFonts w:ascii="Wingdings" w:hAnsi="Wingdings" w:cs="Arial"/>
          <w:sz w:val="18"/>
          <w:szCs w:val="18"/>
          <w:vertAlign w:val="superscript"/>
        </w:rPr>
        <w:t></w:t>
      </w:r>
      <w:r w:rsidRPr="00E4287E">
        <w:rPr>
          <w:rFonts w:cs="Arial"/>
          <w:sz w:val="18"/>
          <w:szCs w:val="18"/>
        </w:rPr>
        <w:tab/>
      </w:r>
      <w:r w:rsidR="00F6296A" w:rsidRPr="00E4287E">
        <w:rPr>
          <w:rFonts w:cs="Arial"/>
          <w:sz w:val="18"/>
          <w:szCs w:val="18"/>
        </w:rPr>
        <w:t>Source: (</w:t>
      </w:r>
      <w:r w:rsidR="008F0975" w:rsidRPr="00E4287E">
        <w:rPr>
          <w:rFonts w:cs="Arial"/>
          <w:sz w:val="18"/>
          <w:szCs w:val="18"/>
        </w:rPr>
        <w:t>ABS 2014b</w:t>
      </w:r>
      <w:r w:rsidRPr="00E4287E">
        <w:rPr>
          <w:rFonts w:cs="Arial"/>
          <w:sz w:val="18"/>
          <w:szCs w:val="18"/>
        </w:rPr>
        <w:t>)</w:t>
      </w:r>
    </w:p>
    <w:p w14:paraId="71852F50" w14:textId="4B243E7A" w:rsidR="00AD191F" w:rsidRPr="00E4287E" w:rsidRDefault="00AD191F" w:rsidP="00D20A1E">
      <w:pPr>
        <w:widowControl/>
        <w:spacing w:before="20" w:after="20"/>
        <w:rPr>
          <w:sz w:val="18"/>
          <w:szCs w:val="18"/>
          <w:lang w:val="en-US"/>
        </w:rPr>
      </w:pPr>
      <w:r w:rsidRPr="00E4287E">
        <w:rPr>
          <w:sz w:val="18"/>
          <w:szCs w:val="18"/>
        </w:rPr>
        <w:t>Gr</w:t>
      </w:r>
      <w:r w:rsidR="00733E40">
        <w:rPr>
          <w:sz w:val="18"/>
          <w:szCs w:val="18"/>
        </w:rPr>
        <w:t>e</w:t>
      </w:r>
      <w:r w:rsidRPr="00E4287E">
        <w:rPr>
          <w:sz w:val="18"/>
          <w:szCs w:val="18"/>
        </w:rPr>
        <w:t>y shading indicates that data are not available</w:t>
      </w:r>
    </w:p>
    <w:p w14:paraId="1D74FD16" w14:textId="77777777" w:rsidR="00AD191F" w:rsidRDefault="00AD191F" w:rsidP="00D20A1E">
      <w:pPr>
        <w:pStyle w:val="Table"/>
        <w:keepNext w:val="0"/>
        <w:spacing w:before="0"/>
        <w:outlineLvl w:val="9"/>
        <w:rPr>
          <w:lang w:val="en-US"/>
        </w:rPr>
      </w:pPr>
    </w:p>
    <w:p w14:paraId="2C1DF38F" w14:textId="3795FEED" w:rsidR="00AD191F" w:rsidRDefault="00AD191F" w:rsidP="00D20A1E">
      <w:pPr>
        <w:pStyle w:val="FSTableTitle"/>
        <w:keepNext/>
        <w:keepLines/>
        <w:widowControl/>
      </w:pPr>
      <w:r>
        <w:t>Table A1.</w:t>
      </w:r>
      <w:fldSimple w:instr=" SEQ Table_A1. \* ARABIC ">
        <w:r w:rsidR="00047581">
          <w:rPr>
            <w:noProof/>
          </w:rPr>
          <w:t>14</w:t>
        </w:r>
      </w:fldSimple>
      <w:r>
        <w:t>:</w:t>
      </w:r>
      <w:r w:rsidR="00F6296A">
        <w:t xml:space="preserve"> </w:t>
      </w:r>
      <w:r>
        <w:t>Comparison of estimated mean fat intakes (g/day) for general New Zealand population groups, for the 1997, 2002 and 2008 nutrition surveys</w:t>
      </w:r>
    </w:p>
    <w:p w14:paraId="1E0BE3BE" w14:textId="77777777" w:rsidR="0023423F" w:rsidRPr="0023423F" w:rsidRDefault="0023423F" w:rsidP="002342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79"/>
        <w:gridCol w:w="1650"/>
        <w:gridCol w:w="1835"/>
        <w:gridCol w:w="1835"/>
        <w:gridCol w:w="2294"/>
        <w:gridCol w:w="2295"/>
        <w:gridCol w:w="2292"/>
      </w:tblGrid>
      <w:tr w:rsidR="00AD191F" w14:paraId="0D43E348" w14:textId="77777777" w:rsidTr="004644F5">
        <w:trPr>
          <w:trHeight w:val="276"/>
        </w:trPr>
        <w:tc>
          <w:tcPr>
            <w:tcW w:w="633" w:type="pct"/>
            <w:vMerge w:val="restart"/>
            <w:tcBorders>
              <w:left w:val="single" w:sz="4" w:space="0" w:color="auto"/>
            </w:tcBorders>
            <w:shd w:val="clear" w:color="auto" w:fill="B8CCE4" w:themeFill="accent1" w:themeFillTint="66"/>
            <w:noWrap/>
            <w:tcMar>
              <w:top w:w="11" w:type="dxa"/>
              <w:left w:w="11" w:type="dxa"/>
              <w:bottom w:w="0" w:type="dxa"/>
              <w:right w:w="11" w:type="dxa"/>
            </w:tcMar>
            <w:vAlign w:val="center"/>
          </w:tcPr>
          <w:p w14:paraId="14158221" w14:textId="77777777" w:rsidR="00AD191F" w:rsidRPr="00F13FF2" w:rsidRDefault="00AD191F" w:rsidP="00D20A1E">
            <w:pPr>
              <w:keepNext/>
              <w:keepLines/>
              <w:widowControl/>
              <w:spacing w:before="60" w:after="60"/>
              <w:ind w:left="-11"/>
              <w:jc w:val="center"/>
              <w:rPr>
                <w:rFonts w:eastAsia="Arial Unicode MS"/>
                <w:sz w:val="20"/>
                <w:szCs w:val="20"/>
              </w:rPr>
            </w:pPr>
            <w:r w:rsidRPr="00F13FF2">
              <w:rPr>
                <w:b/>
                <w:bCs/>
                <w:sz w:val="20"/>
                <w:szCs w:val="20"/>
              </w:rPr>
              <w:t>Population Group</w:t>
            </w:r>
          </w:p>
        </w:tc>
        <w:tc>
          <w:tcPr>
            <w:tcW w:w="1905" w:type="pct"/>
            <w:gridSpan w:val="3"/>
            <w:shd w:val="clear" w:color="auto" w:fill="B8CCE4" w:themeFill="accent1" w:themeFillTint="66"/>
            <w:vAlign w:val="center"/>
          </w:tcPr>
          <w:p w14:paraId="182DE2EA" w14:textId="77777777" w:rsidR="00AD191F" w:rsidRPr="00F13FF2" w:rsidRDefault="00AD191F" w:rsidP="00D20A1E">
            <w:pPr>
              <w:keepNext/>
              <w:keepLines/>
              <w:widowControl/>
              <w:spacing w:before="60" w:after="60"/>
              <w:jc w:val="center"/>
              <w:rPr>
                <w:b/>
                <w:bCs/>
                <w:sz w:val="20"/>
                <w:szCs w:val="20"/>
              </w:rPr>
            </w:pPr>
            <w:r w:rsidRPr="00F13FF2">
              <w:rPr>
                <w:b/>
                <w:bCs/>
                <w:sz w:val="20"/>
                <w:szCs w:val="20"/>
              </w:rPr>
              <w:t>Number of survey respondents</w:t>
            </w:r>
          </w:p>
        </w:tc>
        <w:tc>
          <w:tcPr>
            <w:tcW w:w="2462" w:type="pct"/>
            <w:gridSpan w:val="3"/>
            <w:shd w:val="clear" w:color="auto" w:fill="B8CCE4" w:themeFill="accent1" w:themeFillTint="66"/>
            <w:noWrap/>
            <w:tcMar>
              <w:top w:w="11" w:type="dxa"/>
              <w:left w:w="11" w:type="dxa"/>
              <w:bottom w:w="0" w:type="dxa"/>
              <w:right w:w="11" w:type="dxa"/>
            </w:tcMar>
            <w:vAlign w:val="center"/>
          </w:tcPr>
          <w:p w14:paraId="3366E3F4" w14:textId="7B068BDF" w:rsidR="00AD191F" w:rsidRPr="00F13FF2" w:rsidRDefault="00AD191F" w:rsidP="00D20A1E">
            <w:pPr>
              <w:keepNext/>
              <w:keepLines/>
              <w:widowControl/>
              <w:spacing w:before="60" w:after="60"/>
              <w:jc w:val="center"/>
              <w:rPr>
                <w:rFonts w:eastAsia="Arial Unicode MS"/>
                <w:b/>
                <w:bCs/>
                <w:sz w:val="20"/>
                <w:szCs w:val="20"/>
              </w:rPr>
            </w:pPr>
            <w:r w:rsidRPr="00F13FF2">
              <w:rPr>
                <w:b/>
                <w:bCs/>
                <w:sz w:val="20"/>
                <w:szCs w:val="20"/>
              </w:rPr>
              <w:t>Estimated mean fat intake (g/day)</w:t>
            </w:r>
            <w:r w:rsidRPr="00F13FF2">
              <w:rPr>
                <w:b/>
                <w:bCs/>
                <w:sz w:val="20"/>
                <w:szCs w:val="20"/>
                <w:vertAlign w:val="superscript"/>
              </w:rPr>
              <w:sym w:font="Wingdings 2" w:char="F0D8"/>
            </w:r>
          </w:p>
        </w:tc>
      </w:tr>
      <w:tr w:rsidR="00AD191F" w14:paraId="586C1D6F" w14:textId="77777777" w:rsidTr="004644F5">
        <w:trPr>
          <w:trHeight w:val="540"/>
        </w:trPr>
        <w:tc>
          <w:tcPr>
            <w:tcW w:w="633" w:type="pct"/>
            <w:vMerge/>
            <w:tcBorders>
              <w:left w:val="single" w:sz="4" w:space="0" w:color="auto"/>
            </w:tcBorders>
            <w:shd w:val="clear" w:color="auto" w:fill="B8CCE4" w:themeFill="accent1" w:themeFillTint="66"/>
            <w:tcMar>
              <w:top w:w="11" w:type="dxa"/>
              <w:left w:w="11" w:type="dxa"/>
              <w:bottom w:w="0" w:type="dxa"/>
              <w:right w:w="11" w:type="dxa"/>
            </w:tcMar>
            <w:vAlign w:val="center"/>
          </w:tcPr>
          <w:p w14:paraId="0072FA41" w14:textId="77777777" w:rsidR="00AD191F" w:rsidRPr="00F13FF2" w:rsidRDefault="00AD191F" w:rsidP="00D20A1E">
            <w:pPr>
              <w:keepNext/>
              <w:keepLines/>
              <w:widowControl/>
              <w:spacing w:before="60" w:after="60"/>
              <w:ind w:left="-11"/>
              <w:jc w:val="center"/>
              <w:rPr>
                <w:rFonts w:eastAsia="Arial Unicode MS"/>
                <w:b/>
                <w:bCs/>
                <w:sz w:val="20"/>
                <w:szCs w:val="20"/>
              </w:rPr>
            </w:pPr>
          </w:p>
        </w:tc>
        <w:tc>
          <w:tcPr>
            <w:tcW w:w="1905" w:type="pct"/>
            <w:gridSpan w:val="3"/>
            <w:shd w:val="clear" w:color="auto" w:fill="B8CCE4" w:themeFill="accent1" w:themeFillTint="66"/>
            <w:vAlign w:val="center"/>
          </w:tcPr>
          <w:p w14:paraId="55F752D3"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General population</w:t>
            </w:r>
          </w:p>
        </w:tc>
        <w:tc>
          <w:tcPr>
            <w:tcW w:w="2462" w:type="pct"/>
            <w:gridSpan w:val="3"/>
            <w:shd w:val="clear" w:color="auto" w:fill="B8CCE4" w:themeFill="accent1" w:themeFillTint="66"/>
            <w:tcMar>
              <w:top w:w="11" w:type="dxa"/>
              <w:left w:w="11" w:type="dxa"/>
              <w:bottom w:w="0" w:type="dxa"/>
              <w:right w:w="11" w:type="dxa"/>
            </w:tcMar>
            <w:vAlign w:val="center"/>
          </w:tcPr>
          <w:p w14:paraId="0C313FE0" w14:textId="77777777" w:rsidR="00AD191F" w:rsidRPr="00F13FF2" w:rsidRDefault="00AD191F" w:rsidP="00D20A1E">
            <w:pPr>
              <w:keepNext/>
              <w:keepLines/>
              <w:widowControl/>
              <w:spacing w:before="60" w:after="60"/>
              <w:jc w:val="center"/>
              <w:rPr>
                <w:rFonts w:eastAsia="Arial Unicode MS"/>
                <w:bCs/>
                <w:i/>
                <w:sz w:val="20"/>
                <w:szCs w:val="20"/>
              </w:rPr>
            </w:pPr>
            <w:r w:rsidRPr="00F13FF2">
              <w:rPr>
                <w:b/>
                <w:i/>
                <w:sz w:val="20"/>
                <w:szCs w:val="20"/>
                <w:lang w:val="en-US"/>
              </w:rPr>
              <w:t>General population</w:t>
            </w:r>
          </w:p>
        </w:tc>
      </w:tr>
      <w:tr w:rsidR="00AD191F" w14:paraId="5208FEA0" w14:textId="77777777" w:rsidTr="00050B1C">
        <w:trPr>
          <w:trHeight w:val="540"/>
        </w:trPr>
        <w:tc>
          <w:tcPr>
            <w:tcW w:w="633" w:type="pct"/>
            <w:vMerge/>
            <w:tcBorders>
              <w:left w:val="single" w:sz="4" w:space="0" w:color="auto"/>
            </w:tcBorders>
            <w:shd w:val="clear" w:color="auto" w:fill="B8CCE4" w:themeFill="accent1" w:themeFillTint="66"/>
            <w:tcMar>
              <w:top w:w="11" w:type="dxa"/>
              <w:left w:w="11" w:type="dxa"/>
              <w:bottom w:w="0" w:type="dxa"/>
              <w:right w:w="11" w:type="dxa"/>
            </w:tcMar>
            <w:vAlign w:val="center"/>
          </w:tcPr>
          <w:p w14:paraId="46B219D8" w14:textId="77777777" w:rsidR="00AD191F" w:rsidRPr="00F13FF2" w:rsidRDefault="00AD191F" w:rsidP="00D20A1E">
            <w:pPr>
              <w:keepNext/>
              <w:keepLines/>
              <w:widowControl/>
              <w:spacing w:before="60" w:after="60"/>
              <w:ind w:left="-11"/>
              <w:jc w:val="center"/>
              <w:rPr>
                <w:b/>
                <w:bCs/>
                <w:sz w:val="20"/>
                <w:szCs w:val="20"/>
              </w:rPr>
            </w:pPr>
          </w:p>
        </w:tc>
        <w:tc>
          <w:tcPr>
            <w:tcW w:w="591" w:type="pct"/>
            <w:shd w:val="clear" w:color="auto" w:fill="B8CCE4" w:themeFill="accent1" w:themeFillTint="66"/>
            <w:vAlign w:val="center"/>
          </w:tcPr>
          <w:p w14:paraId="39964A3D"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1997 NZNNS</w:t>
            </w:r>
          </w:p>
        </w:tc>
        <w:tc>
          <w:tcPr>
            <w:tcW w:w="657" w:type="pct"/>
            <w:shd w:val="clear" w:color="auto" w:fill="B8CCE4" w:themeFill="accent1" w:themeFillTint="66"/>
            <w:vAlign w:val="center"/>
          </w:tcPr>
          <w:p w14:paraId="55AAC6AC" w14:textId="03FBAF72" w:rsidR="00AD191F" w:rsidRPr="00F13FF2" w:rsidRDefault="00064C03" w:rsidP="00D20A1E">
            <w:pPr>
              <w:keepNext/>
              <w:keepLines/>
              <w:widowControl/>
              <w:spacing w:before="60" w:after="60"/>
              <w:jc w:val="center"/>
              <w:rPr>
                <w:b/>
                <w:i/>
                <w:sz w:val="20"/>
                <w:szCs w:val="20"/>
                <w:lang w:val="en-US"/>
              </w:rPr>
            </w:pPr>
            <w:r>
              <w:rPr>
                <w:b/>
                <w:i/>
                <w:sz w:val="20"/>
                <w:szCs w:val="20"/>
                <w:lang w:val="en-US"/>
              </w:rPr>
              <w:t>2002 NZCNS</w:t>
            </w:r>
          </w:p>
        </w:tc>
        <w:tc>
          <w:tcPr>
            <w:tcW w:w="657" w:type="pct"/>
            <w:shd w:val="clear" w:color="auto" w:fill="B8CCE4" w:themeFill="accent1" w:themeFillTint="66"/>
            <w:vAlign w:val="center"/>
          </w:tcPr>
          <w:p w14:paraId="13949D63"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2008 NZANS</w:t>
            </w:r>
          </w:p>
        </w:tc>
        <w:tc>
          <w:tcPr>
            <w:tcW w:w="821" w:type="pct"/>
            <w:tcBorders>
              <w:bottom w:val="single" w:sz="4" w:space="0" w:color="auto"/>
            </w:tcBorders>
            <w:shd w:val="clear" w:color="auto" w:fill="B8CCE4" w:themeFill="accent1" w:themeFillTint="66"/>
            <w:tcMar>
              <w:top w:w="11" w:type="dxa"/>
              <w:left w:w="11" w:type="dxa"/>
              <w:bottom w:w="0" w:type="dxa"/>
              <w:right w:w="11" w:type="dxa"/>
            </w:tcMar>
            <w:vAlign w:val="center"/>
          </w:tcPr>
          <w:p w14:paraId="47669DD4"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1997 NZNNS</w:t>
            </w:r>
          </w:p>
        </w:tc>
        <w:tc>
          <w:tcPr>
            <w:tcW w:w="821" w:type="pct"/>
            <w:shd w:val="clear" w:color="auto" w:fill="B8CCE4" w:themeFill="accent1" w:themeFillTint="66"/>
            <w:tcMar>
              <w:top w:w="11" w:type="dxa"/>
              <w:left w:w="11" w:type="dxa"/>
              <w:bottom w:w="0" w:type="dxa"/>
              <w:right w:w="11" w:type="dxa"/>
            </w:tcMar>
            <w:vAlign w:val="center"/>
          </w:tcPr>
          <w:p w14:paraId="46C1B711" w14:textId="68F4B1E8" w:rsidR="00AD191F" w:rsidRPr="00F13FF2" w:rsidRDefault="00064C03" w:rsidP="00D20A1E">
            <w:pPr>
              <w:keepNext/>
              <w:keepLines/>
              <w:widowControl/>
              <w:spacing w:before="60" w:after="60"/>
              <w:jc w:val="center"/>
              <w:rPr>
                <w:b/>
                <w:i/>
                <w:sz w:val="20"/>
                <w:szCs w:val="20"/>
                <w:lang w:val="en-US"/>
              </w:rPr>
            </w:pPr>
            <w:r>
              <w:rPr>
                <w:b/>
                <w:i/>
                <w:sz w:val="20"/>
                <w:szCs w:val="20"/>
                <w:lang w:val="en-US"/>
              </w:rPr>
              <w:t>2002 NZCNS</w:t>
            </w:r>
          </w:p>
        </w:tc>
        <w:tc>
          <w:tcPr>
            <w:tcW w:w="821" w:type="pct"/>
            <w:tcBorders>
              <w:bottom w:val="single" w:sz="4" w:space="0" w:color="auto"/>
            </w:tcBorders>
            <w:shd w:val="clear" w:color="auto" w:fill="B8CCE4" w:themeFill="accent1" w:themeFillTint="66"/>
            <w:noWrap/>
            <w:tcMar>
              <w:top w:w="11" w:type="dxa"/>
              <w:left w:w="11" w:type="dxa"/>
              <w:bottom w:w="0" w:type="dxa"/>
              <w:right w:w="11" w:type="dxa"/>
            </w:tcMar>
            <w:vAlign w:val="center"/>
          </w:tcPr>
          <w:p w14:paraId="1098D3FB"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2008 NZANS</w:t>
            </w:r>
          </w:p>
        </w:tc>
      </w:tr>
      <w:tr w:rsidR="00AD191F" w14:paraId="728AE4FA" w14:textId="77777777" w:rsidTr="00050B1C">
        <w:trPr>
          <w:trHeight w:val="276"/>
        </w:trPr>
        <w:tc>
          <w:tcPr>
            <w:tcW w:w="633" w:type="pct"/>
            <w:noWrap/>
            <w:tcMar>
              <w:top w:w="11" w:type="dxa"/>
              <w:left w:w="11" w:type="dxa"/>
              <w:bottom w:w="0" w:type="dxa"/>
              <w:right w:w="11" w:type="dxa"/>
            </w:tcMar>
            <w:vAlign w:val="center"/>
          </w:tcPr>
          <w:p w14:paraId="3E1D340A" w14:textId="77777777" w:rsidR="00AD191F" w:rsidRPr="00F13FF2" w:rsidRDefault="00AD191F" w:rsidP="00D20A1E">
            <w:pPr>
              <w:keepNext/>
              <w:keepLines/>
              <w:widowControl/>
              <w:spacing w:before="60" w:after="60"/>
              <w:rPr>
                <w:rFonts w:eastAsia="Arial Unicode MS"/>
                <w:sz w:val="20"/>
                <w:szCs w:val="20"/>
              </w:rPr>
            </w:pPr>
            <w:r w:rsidRPr="00F13FF2">
              <w:rPr>
                <w:sz w:val="20"/>
                <w:szCs w:val="20"/>
              </w:rPr>
              <w:t>15 years and above</w:t>
            </w:r>
          </w:p>
        </w:tc>
        <w:tc>
          <w:tcPr>
            <w:tcW w:w="591" w:type="pct"/>
            <w:vAlign w:val="center"/>
          </w:tcPr>
          <w:p w14:paraId="01623D67" w14:textId="77777777" w:rsidR="00AD191F" w:rsidRPr="00F13FF2" w:rsidRDefault="00AD191F" w:rsidP="00D20A1E">
            <w:pPr>
              <w:keepNext/>
              <w:keepLines/>
              <w:widowControl/>
              <w:tabs>
                <w:tab w:val="decimal" w:pos="1033"/>
              </w:tabs>
              <w:spacing w:before="60" w:after="60"/>
              <w:rPr>
                <w:rFonts w:cs="Arial"/>
                <w:sz w:val="20"/>
                <w:szCs w:val="20"/>
              </w:rPr>
            </w:pPr>
            <w:r w:rsidRPr="00F13FF2">
              <w:rPr>
                <w:rFonts w:cs="Arial"/>
                <w:sz w:val="20"/>
                <w:szCs w:val="20"/>
              </w:rPr>
              <w:t>4,636</w:t>
            </w:r>
          </w:p>
        </w:tc>
        <w:tc>
          <w:tcPr>
            <w:tcW w:w="657" w:type="pct"/>
            <w:shd w:val="clear" w:color="auto" w:fill="D9D9D9" w:themeFill="background1" w:themeFillShade="D9"/>
            <w:vAlign w:val="center"/>
          </w:tcPr>
          <w:p w14:paraId="30DA3CC2" w14:textId="77777777" w:rsidR="00AD191F" w:rsidRPr="00F13FF2" w:rsidRDefault="00AD191F" w:rsidP="00D20A1E">
            <w:pPr>
              <w:keepNext/>
              <w:keepLines/>
              <w:widowControl/>
              <w:tabs>
                <w:tab w:val="decimal" w:pos="1045"/>
              </w:tabs>
              <w:spacing w:before="60" w:after="60"/>
              <w:rPr>
                <w:rFonts w:cs="Arial"/>
                <w:sz w:val="20"/>
                <w:szCs w:val="20"/>
              </w:rPr>
            </w:pPr>
            <w:r w:rsidRPr="00F13FF2">
              <w:rPr>
                <w:rFonts w:cs="Arial"/>
                <w:sz w:val="20"/>
                <w:szCs w:val="20"/>
              </w:rPr>
              <w:t>n/a</w:t>
            </w:r>
          </w:p>
        </w:tc>
        <w:tc>
          <w:tcPr>
            <w:tcW w:w="657" w:type="pct"/>
            <w:vAlign w:val="center"/>
          </w:tcPr>
          <w:p w14:paraId="3F59BBFD" w14:textId="77777777" w:rsidR="00AD191F" w:rsidRPr="00F13FF2" w:rsidRDefault="00AD191F" w:rsidP="00D20A1E">
            <w:pPr>
              <w:keepNext/>
              <w:keepLines/>
              <w:widowControl/>
              <w:spacing w:before="60" w:after="60"/>
              <w:jc w:val="center"/>
              <w:rPr>
                <w:rFonts w:cs="Arial"/>
                <w:sz w:val="20"/>
                <w:szCs w:val="20"/>
              </w:rPr>
            </w:pPr>
            <w:r w:rsidRPr="00F13FF2">
              <w:rPr>
                <w:rFonts w:cs="Arial"/>
                <w:sz w:val="20"/>
                <w:szCs w:val="20"/>
              </w:rPr>
              <w:t>4,721</w:t>
            </w:r>
          </w:p>
        </w:tc>
        <w:tc>
          <w:tcPr>
            <w:tcW w:w="821" w:type="pct"/>
            <w:shd w:val="clear" w:color="auto" w:fill="auto"/>
            <w:noWrap/>
            <w:tcMar>
              <w:top w:w="11" w:type="dxa"/>
              <w:left w:w="11" w:type="dxa"/>
              <w:bottom w:w="0" w:type="dxa"/>
              <w:right w:w="11" w:type="dxa"/>
            </w:tcMar>
            <w:vAlign w:val="center"/>
          </w:tcPr>
          <w:p w14:paraId="708DB242" w14:textId="71BBAA9C" w:rsidR="00AD191F" w:rsidRPr="00F13FF2" w:rsidRDefault="00D466D8"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89</w:t>
            </w:r>
          </w:p>
        </w:tc>
        <w:tc>
          <w:tcPr>
            <w:tcW w:w="821" w:type="pct"/>
            <w:tcBorders>
              <w:bottom w:val="single" w:sz="4" w:space="0" w:color="auto"/>
            </w:tcBorders>
            <w:shd w:val="clear" w:color="auto" w:fill="D9D9D9" w:themeFill="background1" w:themeFillShade="D9"/>
            <w:noWrap/>
            <w:tcMar>
              <w:top w:w="11" w:type="dxa"/>
              <w:left w:w="11" w:type="dxa"/>
              <w:bottom w:w="0" w:type="dxa"/>
              <w:right w:w="11" w:type="dxa"/>
            </w:tcMar>
            <w:vAlign w:val="center"/>
          </w:tcPr>
          <w:p w14:paraId="06FC924E" w14:textId="77777777" w:rsidR="00AD191F" w:rsidRPr="00F13FF2" w:rsidRDefault="00AD191F" w:rsidP="00D20A1E">
            <w:pPr>
              <w:keepNext/>
              <w:keepLines/>
              <w:widowControl/>
              <w:spacing w:before="60" w:after="60"/>
              <w:jc w:val="center"/>
              <w:rPr>
                <w:rFonts w:eastAsia="Arial Unicode MS" w:cs="Arial"/>
                <w:sz w:val="20"/>
                <w:szCs w:val="20"/>
              </w:rPr>
            </w:pPr>
            <w:r w:rsidRPr="00F13FF2">
              <w:rPr>
                <w:rFonts w:cs="Arial"/>
                <w:sz w:val="20"/>
                <w:szCs w:val="20"/>
              </w:rPr>
              <w:t>n/a</w:t>
            </w:r>
          </w:p>
        </w:tc>
        <w:tc>
          <w:tcPr>
            <w:tcW w:w="821" w:type="pct"/>
            <w:shd w:val="clear" w:color="auto" w:fill="auto"/>
            <w:noWrap/>
            <w:tcMar>
              <w:top w:w="11" w:type="dxa"/>
              <w:left w:w="11" w:type="dxa"/>
              <w:bottom w:w="0" w:type="dxa"/>
              <w:right w:w="11" w:type="dxa"/>
            </w:tcMar>
            <w:vAlign w:val="center"/>
          </w:tcPr>
          <w:p w14:paraId="22856546" w14:textId="1DE76039" w:rsidR="00AD191F" w:rsidRPr="00F13FF2" w:rsidRDefault="006E110D"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83</w:t>
            </w:r>
          </w:p>
        </w:tc>
      </w:tr>
      <w:tr w:rsidR="00AD191F" w14:paraId="299F0511" w14:textId="77777777" w:rsidTr="00050B1C">
        <w:trPr>
          <w:trHeight w:val="276"/>
        </w:trPr>
        <w:tc>
          <w:tcPr>
            <w:tcW w:w="633" w:type="pct"/>
            <w:noWrap/>
            <w:tcMar>
              <w:top w:w="11" w:type="dxa"/>
              <w:left w:w="11" w:type="dxa"/>
              <w:bottom w:w="0" w:type="dxa"/>
              <w:right w:w="11" w:type="dxa"/>
            </w:tcMar>
            <w:vAlign w:val="center"/>
          </w:tcPr>
          <w:p w14:paraId="557F2DA6" w14:textId="37643A7C" w:rsidR="00AD191F" w:rsidRPr="00F13FF2" w:rsidRDefault="00AD191F" w:rsidP="00D20A1E">
            <w:pPr>
              <w:keepNext/>
              <w:keepLines/>
              <w:widowControl/>
              <w:spacing w:before="60" w:after="60"/>
              <w:rPr>
                <w:sz w:val="20"/>
                <w:szCs w:val="20"/>
              </w:rPr>
            </w:pPr>
            <w:r w:rsidRPr="00F13FF2">
              <w:rPr>
                <w:sz w:val="20"/>
                <w:szCs w:val="20"/>
              </w:rPr>
              <w:t>5</w:t>
            </w:r>
            <w:r w:rsidR="00733E40">
              <w:rPr>
                <w:sz w:val="20"/>
                <w:szCs w:val="20"/>
              </w:rPr>
              <w:t>–</w:t>
            </w:r>
            <w:r w:rsidRPr="00F13FF2">
              <w:rPr>
                <w:sz w:val="20"/>
                <w:szCs w:val="20"/>
              </w:rPr>
              <w:t>14 years</w:t>
            </w:r>
          </w:p>
        </w:tc>
        <w:tc>
          <w:tcPr>
            <w:tcW w:w="591" w:type="pct"/>
            <w:shd w:val="clear" w:color="auto" w:fill="D9D9D9" w:themeFill="background1" w:themeFillShade="D9"/>
            <w:vAlign w:val="center"/>
          </w:tcPr>
          <w:p w14:paraId="0B0729A0" w14:textId="77777777" w:rsidR="00AD191F" w:rsidRPr="00F13FF2" w:rsidRDefault="00AD191F" w:rsidP="00D20A1E">
            <w:pPr>
              <w:keepNext/>
              <w:keepLines/>
              <w:widowControl/>
              <w:tabs>
                <w:tab w:val="decimal" w:pos="1033"/>
              </w:tabs>
              <w:spacing w:before="60" w:after="60"/>
              <w:rPr>
                <w:rFonts w:cs="Arial"/>
                <w:sz w:val="20"/>
                <w:szCs w:val="20"/>
              </w:rPr>
            </w:pPr>
            <w:r w:rsidRPr="00F13FF2">
              <w:rPr>
                <w:rFonts w:cs="Arial"/>
                <w:sz w:val="20"/>
                <w:szCs w:val="20"/>
              </w:rPr>
              <w:t>n/a</w:t>
            </w:r>
          </w:p>
        </w:tc>
        <w:tc>
          <w:tcPr>
            <w:tcW w:w="657" w:type="pct"/>
            <w:vAlign w:val="center"/>
          </w:tcPr>
          <w:p w14:paraId="2CD49D51" w14:textId="77777777" w:rsidR="00AD191F" w:rsidRPr="00F13FF2" w:rsidRDefault="00AD191F" w:rsidP="00D20A1E">
            <w:pPr>
              <w:keepNext/>
              <w:keepLines/>
              <w:widowControl/>
              <w:tabs>
                <w:tab w:val="decimal" w:pos="1045"/>
              </w:tabs>
              <w:spacing w:before="60" w:after="60"/>
              <w:rPr>
                <w:rFonts w:cs="Arial"/>
                <w:sz w:val="20"/>
                <w:szCs w:val="20"/>
              </w:rPr>
            </w:pPr>
            <w:r w:rsidRPr="00F13FF2">
              <w:rPr>
                <w:rFonts w:cs="Arial"/>
                <w:sz w:val="20"/>
                <w:szCs w:val="20"/>
              </w:rPr>
              <w:t>3,275</w:t>
            </w:r>
          </w:p>
        </w:tc>
        <w:tc>
          <w:tcPr>
            <w:tcW w:w="657" w:type="pct"/>
            <w:shd w:val="clear" w:color="auto" w:fill="D9D9D9" w:themeFill="background1" w:themeFillShade="D9"/>
            <w:vAlign w:val="center"/>
          </w:tcPr>
          <w:p w14:paraId="73A3FD1F" w14:textId="77777777" w:rsidR="00AD191F" w:rsidRPr="00F13FF2" w:rsidRDefault="00AD191F" w:rsidP="00D20A1E">
            <w:pPr>
              <w:keepNext/>
              <w:keepLines/>
              <w:widowControl/>
              <w:spacing w:before="60" w:after="60"/>
              <w:jc w:val="center"/>
              <w:rPr>
                <w:rFonts w:cs="Arial"/>
                <w:sz w:val="20"/>
                <w:szCs w:val="20"/>
              </w:rPr>
            </w:pPr>
            <w:r w:rsidRPr="00F13FF2">
              <w:rPr>
                <w:rFonts w:cs="Arial"/>
                <w:sz w:val="20"/>
                <w:szCs w:val="20"/>
              </w:rPr>
              <w:t>n/a</w:t>
            </w:r>
          </w:p>
        </w:tc>
        <w:tc>
          <w:tcPr>
            <w:tcW w:w="821" w:type="pct"/>
            <w:shd w:val="clear" w:color="auto" w:fill="D9D9D9" w:themeFill="background1" w:themeFillShade="D9"/>
            <w:noWrap/>
            <w:tcMar>
              <w:top w:w="11" w:type="dxa"/>
              <w:left w:w="11" w:type="dxa"/>
              <w:bottom w:w="0" w:type="dxa"/>
              <w:right w:w="11" w:type="dxa"/>
            </w:tcMar>
            <w:vAlign w:val="center"/>
          </w:tcPr>
          <w:p w14:paraId="75328026" w14:textId="77777777" w:rsidR="00AD191F" w:rsidRPr="00F13FF2" w:rsidRDefault="00AD191F" w:rsidP="00D20A1E">
            <w:pPr>
              <w:keepNext/>
              <w:keepLines/>
              <w:widowControl/>
              <w:spacing w:before="60" w:after="60"/>
              <w:jc w:val="center"/>
              <w:rPr>
                <w:rFonts w:cs="Arial"/>
                <w:sz w:val="20"/>
                <w:szCs w:val="20"/>
              </w:rPr>
            </w:pPr>
            <w:r w:rsidRPr="00F13FF2">
              <w:rPr>
                <w:rFonts w:cs="Arial"/>
                <w:sz w:val="20"/>
                <w:szCs w:val="20"/>
              </w:rPr>
              <w:t>n/a</w:t>
            </w:r>
          </w:p>
        </w:tc>
        <w:tc>
          <w:tcPr>
            <w:tcW w:w="821" w:type="pct"/>
            <w:shd w:val="clear" w:color="auto" w:fill="auto"/>
            <w:noWrap/>
            <w:tcMar>
              <w:top w:w="11" w:type="dxa"/>
              <w:left w:w="11" w:type="dxa"/>
              <w:bottom w:w="0" w:type="dxa"/>
              <w:right w:w="11" w:type="dxa"/>
            </w:tcMar>
            <w:vAlign w:val="center"/>
          </w:tcPr>
          <w:p w14:paraId="2D6B359B" w14:textId="6357B8C8" w:rsidR="00AD191F" w:rsidRPr="00F13FF2" w:rsidRDefault="00CA36B6"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77</w:t>
            </w:r>
          </w:p>
        </w:tc>
        <w:tc>
          <w:tcPr>
            <w:tcW w:w="821" w:type="pct"/>
            <w:shd w:val="clear" w:color="auto" w:fill="D9D9D9" w:themeFill="background1" w:themeFillShade="D9"/>
            <w:noWrap/>
            <w:tcMar>
              <w:top w:w="11" w:type="dxa"/>
              <w:left w:w="11" w:type="dxa"/>
              <w:bottom w:w="0" w:type="dxa"/>
              <w:right w:w="11" w:type="dxa"/>
            </w:tcMar>
            <w:vAlign w:val="center"/>
          </w:tcPr>
          <w:p w14:paraId="04F44245" w14:textId="77777777" w:rsidR="00AD191F" w:rsidRPr="00F13FF2" w:rsidRDefault="00AD191F" w:rsidP="00D20A1E">
            <w:pPr>
              <w:keepNext/>
              <w:keepLines/>
              <w:widowControl/>
              <w:spacing w:before="60" w:after="60"/>
              <w:jc w:val="center"/>
              <w:rPr>
                <w:rFonts w:eastAsia="Arial Unicode MS" w:cs="Arial"/>
                <w:sz w:val="20"/>
                <w:szCs w:val="20"/>
              </w:rPr>
            </w:pPr>
            <w:r w:rsidRPr="00F13FF2">
              <w:rPr>
                <w:rFonts w:cs="Arial"/>
                <w:sz w:val="20"/>
                <w:szCs w:val="20"/>
              </w:rPr>
              <w:t>n/a</w:t>
            </w:r>
          </w:p>
        </w:tc>
      </w:tr>
    </w:tbl>
    <w:p w14:paraId="54923943" w14:textId="4198FF8D" w:rsidR="00AD191F" w:rsidRPr="00E4287E" w:rsidRDefault="00AD191F" w:rsidP="00D20A1E">
      <w:pPr>
        <w:widowControl/>
        <w:spacing w:before="20" w:after="20"/>
        <w:rPr>
          <w:sz w:val="18"/>
          <w:szCs w:val="18"/>
        </w:rPr>
      </w:pPr>
      <w:r w:rsidRPr="00E4287E">
        <w:rPr>
          <w:bCs/>
          <w:sz w:val="18"/>
          <w:szCs w:val="18"/>
          <w:vertAlign w:val="superscript"/>
        </w:rPr>
        <w:sym w:font="Wingdings 2" w:char="F0D8"/>
      </w:r>
      <w:r w:rsidRPr="00E4287E">
        <w:rPr>
          <w:sz w:val="18"/>
          <w:szCs w:val="18"/>
        </w:rPr>
        <w:tab/>
        <w:t>All fat intakes have been rounded to the nearest whole number</w:t>
      </w:r>
    </w:p>
    <w:p w14:paraId="08ABA240" w14:textId="1C2635FD" w:rsidR="00AD191F" w:rsidRPr="00E4287E" w:rsidRDefault="00AD191F" w:rsidP="00D20A1E">
      <w:pPr>
        <w:widowControl/>
        <w:spacing w:before="20" w:after="20"/>
        <w:rPr>
          <w:sz w:val="18"/>
          <w:szCs w:val="18"/>
          <w:lang w:val="en-US"/>
        </w:rPr>
      </w:pPr>
      <w:r w:rsidRPr="00E4287E">
        <w:rPr>
          <w:sz w:val="18"/>
          <w:szCs w:val="18"/>
        </w:rPr>
        <w:t>Gr</w:t>
      </w:r>
      <w:r w:rsidR="00733E40">
        <w:rPr>
          <w:sz w:val="18"/>
          <w:szCs w:val="18"/>
        </w:rPr>
        <w:t>e</w:t>
      </w:r>
      <w:r w:rsidRPr="00E4287E">
        <w:rPr>
          <w:sz w:val="18"/>
          <w:szCs w:val="18"/>
        </w:rPr>
        <w:t>y shading indicates that data are not available</w:t>
      </w:r>
    </w:p>
    <w:p w14:paraId="3B7C1BBC" w14:textId="77777777" w:rsidR="00AD191F" w:rsidRPr="00E203C2" w:rsidRDefault="00AD191F" w:rsidP="00D20A1E">
      <w:pPr>
        <w:widowControl/>
      </w:pPr>
    </w:p>
    <w:p w14:paraId="65190CD1" w14:textId="6FEDB42F" w:rsidR="00AD191F" w:rsidRDefault="00AD191F" w:rsidP="00D20A1E">
      <w:pPr>
        <w:pStyle w:val="FSTableTitle"/>
        <w:keepNext/>
        <w:keepLines/>
        <w:widowControl/>
      </w:pPr>
      <w:bookmarkStart w:id="210" w:name="_Ref420483749"/>
      <w:r>
        <w:t>Table A1.</w:t>
      </w:r>
      <w:fldSimple w:instr=" SEQ Table_A1. \* ARABIC ">
        <w:r w:rsidR="00047581">
          <w:rPr>
            <w:noProof/>
          </w:rPr>
          <w:t>15</w:t>
        </w:r>
      </w:fldSimple>
      <w:bookmarkEnd w:id="210"/>
      <w:r>
        <w:t>:</w:t>
      </w:r>
      <w:r w:rsidR="00F6296A">
        <w:t xml:space="preserve"> </w:t>
      </w:r>
      <w:r>
        <w:t>Estimated mean energy intakes</w:t>
      </w:r>
      <w:r w:rsidR="00B4525E">
        <w:t xml:space="preserve"> (including dietary fibre)</w:t>
      </w:r>
      <w:r>
        <w:t xml:space="preserve"> (kJ/day)</w:t>
      </w:r>
      <w:r w:rsidR="00463E24">
        <w:t>, excluding supplements,</w:t>
      </w:r>
      <w:r>
        <w:t xml:space="preserve"> for general Australian population groups, including more recent survey data</w:t>
      </w:r>
    </w:p>
    <w:p w14:paraId="2CAE29F7" w14:textId="77777777" w:rsidR="0023423F" w:rsidRPr="0023423F" w:rsidRDefault="0023423F" w:rsidP="002342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83"/>
        <w:gridCol w:w="1756"/>
        <w:gridCol w:w="2010"/>
        <w:gridCol w:w="2010"/>
        <w:gridCol w:w="1773"/>
        <w:gridCol w:w="2024"/>
        <w:gridCol w:w="2024"/>
      </w:tblGrid>
      <w:tr w:rsidR="00AD191F" w14:paraId="4FC022DF" w14:textId="77777777" w:rsidTr="004644F5">
        <w:trPr>
          <w:trHeight w:val="276"/>
        </w:trPr>
        <w:tc>
          <w:tcPr>
            <w:tcW w:w="852" w:type="pct"/>
            <w:vMerge w:val="restart"/>
            <w:tcBorders>
              <w:left w:val="single" w:sz="4" w:space="0" w:color="auto"/>
            </w:tcBorders>
            <w:shd w:val="clear" w:color="auto" w:fill="B8CCE4" w:themeFill="accent1" w:themeFillTint="66"/>
            <w:noWrap/>
            <w:tcMar>
              <w:top w:w="11" w:type="dxa"/>
              <w:left w:w="11" w:type="dxa"/>
              <w:bottom w:w="0" w:type="dxa"/>
              <w:right w:w="11" w:type="dxa"/>
            </w:tcMar>
            <w:vAlign w:val="center"/>
          </w:tcPr>
          <w:p w14:paraId="0D0D93C2" w14:textId="77777777" w:rsidR="00AD191F" w:rsidRPr="00F13FF2" w:rsidRDefault="00AD191F" w:rsidP="00D20A1E">
            <w:pPr>
              <w:keepNext/>
              <w:keepLines/>
              <w:widowControl/>
              <w:spacing w:before="60" w:after="60"/>
              <w:ind w:left="-11"/>
              <w:jc w:val="center"/>
              <w:rPr>
                <w:rFonts w:eastAsia="Arial Unicode MS"/>
                <w:sz w:val="20"/>
                <w:szCs w:val="20"/>
              </w:rPr>
            </w:pPr>
            <w:r w:rsidRPr="00F13FF2">
              <w:rPr>
                <w:b/>
                <w:bCs/>
                <w:sz w:val="20"/>
                <w:szCs w:val="20"/>
              </w:rPr>
              <w:lastRenderedPageBreak/>
              <w:t>Population Group</w:t>
            </w:r>
          </w:p>
        </w:tc>
        <w:tc>
          <w:tcPr>
            <w:tcW w:w="2066" w:type="pct"/>
            <w:gridSpan w:val="3"/>
            <w:shd w:val="clear" w:color="auto" w:fill="B8CCE4" w:themeFill="accent1" w:themeFillTint="66"/>
            <w:vAlign w:val="center"/>
          </w:tcPr>
          <w:p w14:paraId="5CEA272E" w14:textId="77777777" w:rsidR="00AD191F" w:rsidRPr="00F13FF2" w:rsidRDefault="00AD191F" w:rsidP="00D20A1E">
            <w:pPr>
              <w:keepNext/>
              <w:keepLines/>
              <w:widowControl/>
              <w:spacing w:before="60" w:after="60"/>
              <w:jc w:val="center"/>
              <w:rPr>
                <w:b/>
                <w:bCs/>
                <w:sz w:val="20"/>
                <w:szCs w:val="20"/>
              </w:rPr>
            </w:pPr>
            <w:r w:rsidRPr="00F13FF2">
              <w:rPr>
                <w:b/>
                <w:bCs/>
                <w:sz w:val="20"/>
                <w:szCs w:val="20"/>
              </w:rPr>
              <w:t>Number of survey respondents</w:t>
            </w:r>
          </w:p>
        </w:tc>
        <w:tc>
          <w:tcPr>
            <w:tcW w:w="2082" w:type="pct"/>
            <w:gridSpan w:val="3"/>
            <w:shd w:val="clear" w:color="auto" w:fill="B8CCE4" w:themeFill="accent1" w:themeFillTint="66"/>
            <w:noWrap/>
            <w:tcMar>
              <w:top w:w="11" w:type="dxa"/>
              <w:left w:w="11" w:type="dxa"/>
              <w:bottom w:w="0" w:type="dxa"/>
              <w:right w:w="11" w:type="dxa"/>
            </w:tcMar>
            <w:vAlign w:val="center"/>
          </w:tcPr>
          <w:p w14:paraId="1DEE0846" w14:textId="7976BD4A" w:rsidR="00AD191F" w:rsidRPr="00F13FF2" w:rsidRDefault="00AD191F" w:rsidP="00D20A1E">
            <w:pPr>
              <w:keepNext/>
              <w:keepLines/>
              <w:widowControl/>
              <w:spacing w:before="60" w:after="60"/>
              <w:jc w:val="center"/>
              <w:rPr>
                <w:rFonts w:eastAsia="Arial Unicode MS"/>
                <w:b/>
                <w:bCs/>
                <w:sz w:val="20"/>
                <w:szCs w:val="20"/>
              </w:rPr>
            </w:pPr>
            <w:r w:rsidRPr="00F13FF2">
              <w:rPr>
                <w:b/>
                <w:bCs/>
                <w:sz w:val="20"/>
                <w:szCs w:val="20"/>
              </w:rPr>
              <w:t>Estimated mean energy intake (kJ/day)</w:t>
            </w:r>
            <w:r w:rsidRPr="00F13FF2">
              <w:rPr>
                <w:b/>
                <w:bCs/>
                <w:sz w:val="20"/>
                <w:szCs w:val="20"/>
                <w:vertAlign w:val="superscript"/>
              </w:rPr>
              <w:sym w:font="Wingdings 2" w:char="F0D8"/>
            </w:r>
          </w:p>
        </w:tc>
      </w:tr>
      <w:tr w:rsidR="00AD191F" w14:paraId="48BDE02E" w14:textId="77777777" w:rsidTr="004644F5">
        <w:trPr>
          <w:trHeight w:val="540"/>
        </w:trPr>
        <w:tc>
          <w:tcPr>
            <w:tcW w:w="852" w:type="pct"/>
            <w:vMerge/>
            <w:tcBorders>
              <w:left w:val="single" w:sz="4" w:space="0" w:color="auto"/>
            </w:tcBorders>
            <w:shd w:val="clear" w:color="auto" w:fill="B8CCE4" w:themeFill="accent1" w:themeFillTint="66"/>
            <w:tcMar>
              <w:top w:w="11" w:type="dxa"/>
              <w:left w:w="11" w:type="dxa"/>
              <w:bottom w:w="0" w:type="dxa"/>
              <w:right w:w="11" w:type="dxa"/>
            </w:tcMar>
            <w:vAlign w:val="center"/>
          </w:tcPr>
          <w:p w14:paraId="19069CC1" w14:textId="77777777" w:rsidR="00AD191F" w:rsidRPr="00F13FF2" w:rsidRDefault="00AD191F" w:rsidP="00D20A1E">
            <w:pPr>
              <w:keepNext/>
              <w:keepLines/>
              <w:widowControl/>
              <w:spacing w:before="60" w:after="60"/>
              <w:ind w:left="-11"/>
              <w:jc w:val="center"/>
              <w:rPr>
                <w:rFonts w:eastAsia="Arial Unicode MS"/>
                <w:b/>
                <w:bCs/>
                <w:sz w:val="20"/>
                <w:szCs w:val="20"/>
              </w:rPr>
            </w:pPr>
          </w:p>
        </w:tc>
        <w:tc>
          <w:tcPr>
            <w:tcW w:w="2066" w:type="pct"/>
            <w:gridSpan w:val="3"/>
            <w:shd w:val="clear" w:color="auto" w:fill="B8CCE4" w:themeFill="accent1" w:themeFillTint="66"/>
            <w:vAlign w:val="center"/>
          </w:tcPr>
          <w:p w14:paraId="2DB8667D"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General population</w:t>
            </w:r>
          </w:p>
        </w:tc>
        <w:tc>
          <w:tcPr>
            <w:tcW w:w="2082" w:type="pct"/>
            <w:gridSpan w:val="3"/>
            <w:shd w:val="clear" w:color="auto" w:fill="B8CCE4" w:themeFill="accent1" w:themeFillTint="66"/>
            <w:tcMar>
              <w:top w:w="11" w:type="dxa"/>
              <w:left w:w="11" w:type="dxa"/>
              <w:bottom w:w="0" w:type="dxa"/>
              <w:right w:w="11" w:type="dxa"/>
            </w:tcMar>
            <w:vAlign w:val="center"/>
          </w:tcPr>
          <w:p w14:paraId="1640A31A" w14:textId="77777777" w:rsidR="00AD191F" w:rsidRPr="00F13FF2" w:rsidRDefault="00AD191F" w:rsidP="00D20A1E">
            <w:pPr>
              <w:keepNext/>
              <w:keepLines/>
              <w:widowControl/>
              <w:spacing w:before="60" w:after="60"/>
              <w:jc w:val="center"/>
              <w:rPr>
                <w:rFonts w:eastAsia="Arial Unicode MS"/>
                <w:bCs/>
                <w:i/>
                <w:sz w:val="20"/>
                <w:szCs w:val="20"/>
              </w:rPr>
            </w:pPr>
            <w:r w:rsidRPr="00F13FF2">
              <w:rPr>
                <w:b/>
                <w:i/>
                <w:sz w:val="20"/>
                <w:szCs w:val="20"/>
                <w:lang w:val="en-US"/>
              </w:rPr>
              <w:t>General population</w:t>
            </w:r>
          </w:p>
        </w:tc>
      </w:tr>
      <w:tr w:rsidR="00AD191F" w14:paraId="58A471F9" w14:textId="77777777" w:rsidTr="00050B1C">
        <w:trPr>
          <w:trHeight w:val="540"/>
        </w:trPr>
        <w:tc>
          <w:tcPr>
            <w:tcW w:w="852" w:type="pct"/>
            <w:vMerge/>
            <w:tcBorders>
              <w:left w:val="single" w:sz="4" w:space="0" w:color="auto"/>
            </w:tcBorders>
            <w:shd w:val="clear" w:color="auto" w:fill="B8CCE4" w:themeFill="accent1" w:themeFillTint="66"/>
            <w:tcMar>
              <w:top w:w="11" w:type="dxa"/>
              <w:left w:w="11" w:type="dxa"/>
              <w:bottom w:w="0" w:type="dxa"/>
              <w:right w:w="11" w:type="dxa"/>
            </w:tcMar>
            <w:vAlign w:val="center"/>
          </w:tcPr>
          <w:p w14:paraId="374E2658" w14:textId="77777777" w:rsidR="00AD191F" w:rsidRPr="00F13FF2" w:rsidRDefault="00AD191F" w:rsidP="00D20A1E">
            <w:pPr>
              <w:keepNext/>
              <w:keepLines/>
              <w:widowControl/>
              <w:spacing w:before="60" w:after="60"/>
              <w:ind w:left="-11"/>
              <w:jc w:val="center"/>
              <w:rPr>
                <w:b/>
                <w:bCs/>
                <w:sz w:val="20"/>
                <w:szCs w:val="20"/>
              </w:rPr>
            </w:pPr>
          </w:p>
        </w:tc>
        <w:tc>
          <w:tcPr>
            <w:tcW w:w="628" w:type="pct"/>
            <w:shd w:val="clear" w:color="auto" w:fill="B8CCE4" w:themeFill="accent1" w:themeFillTint="66"/>
            <w:vAlign w:val="center"/>
          </w:tcPr>
          <w:p w14:paraId="4C21CB72"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1995 AusNNS</w:t>
            </w:r>
          </w:p>
        </w:tc>
        <w:tc>
          <w:tcPr>
            <w:tcW w:w="719" w:type="pct"/>
            <w:tcBorders>
              <w:bottom w:val="single" w:sz="4" w:space="0" w:color="auto"/>
            </w:tcBorders>
            <w:shd w:val="clear" w:color="auto" w:fill="B8CCE4" w:themeFill="accent1" w:themeFillTint="66"/>
            <w:vAlign w:val="center"/>
          </w:tcPr>
          <w:p w14:paraId="4786A736"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2007 ANCNPAS</w:t>
            </w:r>
          </w:p>
        </w:tc>
        <w:tc>
          <w:tcPr>
            <w:tcW w:w="719" w:type="pct"/>
            <w:shd w:val="clear" w:color="auto" w:fill="B8CCE4" w:themeFill="accent1" w:themeFillTint="66"/>
            <w:vAlign w:val="center"/>
          </w:tcPr>
          <w:p w14:paraId="13C99172"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2011-12 NNPAS</w:t>
            </w:r>
          </w:p>
        </w:tc>
        <w:tc>
          <w:tcPr>
            <w:tcW w:w="634" w:type="pct"/>
            <w:tcBorders>
              <w:bottom w:val="single" w:sz="4" w:space="0" w:color="auto"/>
            </w:tcBorders>
            <w:shd w:val="clear" w:color="auto" w:fill="B8CCE4" w:themeFill="accent1" w:themeFillTint="66"/>
            <w:tcMar>
              <w:top w:w="11" w:type="dxa"/>
              <w:left w:w="11" w:type="dxa"/>
              <w:bottom w:w="0" w:type="dxa"/>
              <w:right w:w="11" w:type="dxa"/>
            </w:tcMar>
            <w:vAlign w:val="center"/>
          </w:tcPr>
          <w:p w14:paraId="36DD7930"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1995 AusNNS</w:t>
            </w:r>
          </w:p>
        </w:tc>
        <w:tc>
          <w:tcPr>
            <w:tcW w:w="724" w:type="pct"/>
            <w:tcBorders>
              <w:bottom w:val="single" w:sz="4" w:space="0" w:color="auto"/>
            </w:tcBorders>
            <w:shd w:val="clear" w:color="auto" w:fill="B8CCE4" w:themeFill="accent1" w:themeFillTint="66"/>
            <w:tcMar>
              <w:top w:w="11" w:type="dxa"/>
              <w:left w:w="11" w:type="dxa"/>
              <w:bottom w:w="0" w:type="dxa"/>
              <w:right w:w="11" w:type="dxa"/>
            </w:tcMar>
            <w:vAlign w:val="center"/>
          </w:tcPr>
          <w:p w14:paraId="697EF7CF"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2007 ANCNPAS</w:t>
            </w:r>
          </w:p>
        </w:tc>
        <w:tc>
          <w:tcPr>
            <w:tcW w:w="724" w:type="pct"/>
            <w:shd w:val="clear" w:color="auto" w:fill="B8CCE4" w:themeFill="accent1" w:themeFillTint="66"/>
            <w:noWrap/>
            <w:tcMar>
              <w:top w:w="11" w:type="dxa"/>
              <w:left w:w="11" w:type="dxa"/>
              <w:bottom w:w="0" w:type="dxa"/>
              <w:right w:w="11" w:type="dxa"/>
            </w:tcMar>
            <w:vAlign w:val="center"/>
          </w:tcPr>
          <w:p w14:paraId="46F5A414" w14:textId="1ED30AB6"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2011-12 NNPAS</w:t>
            </w:r>
            <w:r w:rsidR="007B078B" w:rsidRPr="00F13FF2">
              <w:rPr>
                <w:rFonts w:ascii="Wingdings" w:hAnsi="Wingdings" w:cs="Arial"/>
                <w:b/>
                <w:sz w:val="20"/>
                <w:szCs w:val="20"/>
                <w:vertAlign w:val="superscript"/>
              </w:rPr>
              <w:t></w:t>
            </w:r>
          </w:p>
        </w:tc>
      </w:tr>
      <w:tr w:rsidR="00AD191F" w14:paraId="4C7B8343" w14:textId="77777777" w:rsidTr="00050B1C">
        <w:trPr>
          <w:trHeight w:val="264"/>
        </w:trPr>
        <w:tc>
          <w:tcPr>
            <w:tcW w:w="852" w:type="pct"/>
            <w:noWrap/>
            <w:tcMar>
              <w:top w:w="15" w:type="dxa"/>
              <w:left w:w="11" w:type="dxa"/>
              <w:bottom w:w="0" w:type="dxa"/>
              <w:right w:w="11" w:type="dxa"/>
            </w:tcMar>
            <w:vAlign w:val="center"/>
          </w:tcPr>
          <w:p w14:paraId="37B54E13" w14:textId="77777777" w:rsidR="00AD191F" w:rsidRPr="00F13FF2" w:rsidRDefault="00AD191F" w:rsidP="00D20A1E">
            <w:pPr>
              <w:keepNext/>
              <w:keepLines/>
              <w:widowControl/>
              <w:spacing w:before="60" w:after="60"/>
              <w:rPr>
                <w:rFonts w:eastAsia="Arial Unicode MS"/>
                <w:sz w:val="20"/>
                <w:szCs w:val="20"/>
              </w:rPr>
            </w:pPr>
            <w:r w:rsidRPr="00F13FF2">
              <w:rPr>
                <w:sz w:val="20"/>
                <w:szCs w:val="20"/>
              </w:rPr>
              <w:t>2 years and above</w:t>
            </w:r>
          </w:p>
        </w:tc>
        <w:tc>
          <w:tcPr>
            <w:tcW w:w="628" w:type="pct"/>
          </w:tcPr>
          <w:p w14:paraId="418108F7" w14:textId="77777777" w:rsidR="00AD191F" w:rsidRPr="00F13FF2" w:rsidRDefault="00AD191F" w:rsidP="00D20A1E">
            <w:pPr>
              <w:keepNext/>
              <w:keepLines/>
              <w:widowControl/>
              <w:tabs>
                <w:tab w:val="decimal" w:pos="1172"/>
              </w:tabs>
              <w:spacing w:before="60" w:after="60"/>
              <w:rPr>
                <w:rFonts w:cs="Arial"/>
                <w:sz w:val="20"/>
                <w:szCs w:val="20"/>
              </w:rPr>
            </w:pPr>
            <w:r w:rsidRPr="00F13FF2">
              <w:rPr>
                <w:rFonts w:cs="Arial"/>
                <w:sz w:val="20"/>
                <w:szCs w:val="20"/>
              </w:rPr>
              <w:t>13,858</w:t>
            </w:r>
          </w:p>
        </w:tc>
        <w:tc>
          <w:tcPr>
            <w:tcW w:w="719" w:type="pct"/>
            <w:shd w:val="clear" w:color="auto" w:fill="D9D9D9" w:themeFill="background1" w:themeFillShade="D9"/>
          </w:tcPr>
          <w:p w14:paraId="0E41D250" w14:textId="77777777" w:rsidR="00AD191F" w:rsidRPr="00F13FF2" w:rsidRDefault="00AD191F" w:rsidP="00D20A1E">
            <w:pPr>
              <w:keepNext/>
              <w:keepLines/>
              <w:widowControl/>
              <w:tabs>
                <w:tab w:val="decimal" w:pos="1045"/>
              </w:tabs>
              <w:spacing w:before="60" w:after="60"/>
              <w:rPr>
                <w:rFonts w:cs="Arial"/>
                <w:sz w:val="20"/>
                <w:szCs w:val="20"/>
              </w:rPr>
            </w:pPr>
            <w:r w:rsidRPr="00F13FF2">
              <w:rPr>
                <w:rFonts w:cs="Arial"/>
                <w:sz w:val="20"/>
                <w:szCs w:val="20"/>
              </w:rPr>
              <w:t>n/a</w:t>
            </w:r>
          </w:p>
        </w:tc>
        <w:tc>
          <w:tcPr>
            <w:tcW w:w="719" w:type="pct"/>
            <w:tcBorders>
              <w:bottom w:val="single" w:sz="4" w:space="0" w:color="auto"/>
            </w:tcBorders>
          </w:tcPr>
          <w:p w14:paraId="0E2DEDBB" w14:textId="1D554140" w:rsidR="00AD191F" w:rsidRPr="00F13FF2" w:rsidRDefault="009B508A" w:rsidP="00D20A1E">
            <w:pPr>
              <w:keepNext/>
              <w:keepLines/>
              <w:widowControl/>
              <w:spacing w:before="60" w:after="60"/>
              <w:jc w:val="center"/>
              <w:rPr>
                <w:rFonts w:cs="Arial"/>
                <w:sz w:val="20"/>
                <w:szCs w:val="20"/>
              </w:rPr>
            </w:pPr>
            <w:r w:rsidRPr="00F13FF2">
              <w:rPr>
                <w:rFonts w:cs="Arial"/>
                <w:sz w:val="20"/>
                <w:szCs w:val="20"/>
              </w:rPr>
              <w:t>12,153</w:t>
            </w:r>
          </w:p>
        </w:tc>
        <w:tc>
          <w:tcPr>
            <w:tcW w:w="634" w:type="pct"/>
            <w:shd w:val="clear" w:color="auto" w:fill="auto"/>
            <w:noWrap/>
            <w:tcMar>
              <w:top w:w="15" w:type="dxa"/>
              <w:left w:w="11" w:type="dxa"/>
              <w:bottom w:w="0" w:type="dxa"/>
              <w:right w:w="11" w:type="dxa"/>
            </w:tcMar>
          </w:tcPr>
          <w:p w14:paraId="1305C7EC" w14:textId="6F2571F8" w:rsidR="00AD191F" w:rsidRPr="00F13FF2" w:rsidRDefault="00CA36B6"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9,185</w:t>
            </w:r>
          </w:p>
        </w:tc>
        <w:tc>
          <w:tcPr>
            <w:tcW w:w="724" w:type="pct"/>
            <w:shd w:val="clear" w:color="auto" w:fill="D9D9D9" w:themeFill="background1" w:themeFillShade="D9"/>
            <w:noWrap/>
            <w:tcMar>
              <w:top w:w="15" w:type="dxa"/>
              <w:left w:w="11" w:type="dxa"/>
              <w:bottom w:w="0" w:type="dxa"/>
              <w:right w:w="11" w:type="dxa"/>
            </w:tcMar>
            <w:vAlign w:val="center"/>
          </w:tcPr>
          <w:p w14:paraId="5FD369EC" w14:textId="77777777" w:rsidR="00AD191F" w:rsidRPr="00F13FF2" w:rsidRDefault="00AD191F" w:rsidP="00D20A1E">
            <w:pPr>
              <w:keepNext/>
              <w:keepLines/>
              <w:widowControl/>
              <w:spacing w:before="60" w:after="60"/>
              <w:jc w:val="center"/>
              <w:rPr>
                <w:rFonts w:eastAsia="Arial Unicode MS" w:cs="Arial"/>
                <w:sz w:val="20"/>
                <w:szCs w:val="20"/>
              </w:rPr>
            </w:pPr>
          </w:p>
        </w:tc>
        <w:tc>
          <w:tcPr>
            <w:tcW w:w="724" w:type="pct"/>
            <w:tcBorders>
              <w:bottom w:val="single" w:sz="4" w:space="0" w:color="auto"/>
            </w:tcBorders>
            <w:noWrap/>
            <w:tcMar>
              <w:top w:w="11" w:type="dxa"/>
              <w:left w:w="11" w:type="dxa"/>
              <w:bottom w:w="0" w:type="dxa"/>
              <w:right w:w="11" w:type="dxa"/>
            </w:tcMar>
            <w:vAlign w:val="center"/>
          </w:tcPr>
          <w:p w14:paraId="4C935D9F" w14:textId="03BF557F" w:rsidR="00AD191F" w:rsidRPr="00F13FF2" w:rsidRDefault="00CA36B6" w:rsidP="00D20A1E">
            <w:pPr>
              <w:pStyle w:val="E-mailSignature"/>
              <w:keepNext/>
              <w:keepLines/>
              <w:spacing w:before="60" w:after="60"/>
              <w:jc w:val="center"/>
              <w:rPr>
                <w:rFonts w:eastAsia="Arial Unicode MS" w:cs="Arial"/>
                <w:lang w:val="en-GB" w:bidi="ar-SA"/>
              </w:rPr>
            </w:pPr>
            <w:r w:rsidRPr="00F13FF2">
              <w:rPr>
                <w:rFonts w:eastAsia="Arial Unicode MS" w:cs="Arial"/>
                <w:lang w:val="en-GB" w:bidi="ar-SA"/>
              </w:rPr>
              <w:t>8,520</w:t>
            </w:r>
          </w:p>
        </w:tc>
      </w:tr>
      <w:tr w:rsidR="009B508A" w14:paraId="2A9FFF1C" w14:textId="77777777" w:rsidTr="00050B1C">
        <w:trPr>
          <w:trHeight w:val="264"/>
        </w:trPr>
        <w:tc>
          <w:tcPr>
            <w:tcW w:w="852" w:type="pct"/>
            <w:noWrap/>
            <w:tcMar>
              <w:top w:w="15" w:type="dxa"/>
              <w:left w:w="11" w:type="dxa"/>
              <w:bottom w:w="0" w:type="dxa"/>
              <w:right w:w="11" w:type="dxa"/>
            </w:tcMar>
            <w:vAlign w:val="center"/>
          </w:tcPr>
          <w:p w14:paraId="39678DC3" w14:textId="16334F62" w:rsidR="009B508A" w:rsidRPr="00F13FF2" w:rsidRDefault="009B508A" w:rsidP="00D20A1E">
            <w:pPr>
              <w:keepNext/>
              <w:keepLines/>
              <w:widowControl/>
              <w:spacing w:before="60" w:after="60"/>
              <w:rPr>
                <w:rFonts w:eastAsia="Arial Unicode MS"/>
                <w:sz w:val="20"/>
                <w:szCs w:val="20"/>
              </w:rPr>
            </w:pPr>
            <w:r w:rsidRPr="00F13FF2">
              <w:rPr>
                <w:sz w:val="20"/>
                <w:szCs w:val="20"/>
              </w:rPr>
              <w:t>2</w:t>
            </w:r>
            <w:r w:rsidR="00733E40">
              <w:rPr>
                <w:sz w:val="20"/>
                <w:szCs w:val="20"/>
              </w:rPr>
              <w:t>–</w:t>
            </w:r>
            <w:r w:rsidRPr="00F13FF2">
              <w:rPr>
                <w:sz w:val="20"/>
                <w:szCs w:val="20"/>
              </w:rPr>
              <w:t>4 years</w:t>
            </w:r>
          </w:p>
        </w:tc>
        <w:tc>
          <w:tcPr>
            <w:tcW w:w="628" w:type="pct"/>
          </w:tcPr>
          <w:p w14:paraId="54B6454F" w14:textId="77777777" w:rsidR="009B508A" w:rsidRPr="00F13FF2" w:rsidRDefault="009B508A" w:rsidP="00D20A1E">
            <w:pPr>
              <w:keepNext/>
              <w:keepLines/>
              <w:widowControl/>
              <w:tabs>
                <w:tab w:val="decimal" w:pos="1172"/>
              </w:tabs>
              <w:spacing w:before="60" w:after="60"/>
              <w:rPr>
                <w:rFonts w:cs="Arial"/>
                <w:sz w:val="20"/>
                <w:szCs w:val="20"/>
              </w:rPr>
            </w:pPr>
            <w:r w:rsidRPr="00F13FF2">
              <w:rPr>
                <w:rFonts w:cs="Arial"/>
                <w:sz w:val="20"/>
                <w:szCs w:val="20"/>
              </w:rPr>
              <w:t>583</w:t>
            </w:r>
          </w:p>
        </w:tc>
        <w:tc>
          <w:tcPr>
            <w:tcW w:w="719" w:type="pct"/>
          </w:tcPr>
          <w:p w14:paraId="6F8DCEDF" w14:textId="0B7D8908" w:rsidR="009B508A" w:rsidRPr="00F13FF2" w:rsidRDefault="009B508A" w:rsidP="00D20A1E">
            <w:pPr>
              <w:keepNext/>
              <w:keepLines/>
              <w:widowControl/>
              <w:tabs>
                <w:tab w:val="decimal" w:pos="1045"/>
              </w:tabs>
              <w:spacing w:before="60" w:after="60"/>
              <w:rPr>
                <w:rFonts w:cs="Arial"/>
                <w:sz w:val="20"/>
                <w:szCs w:val="20"/>
              </w:rPr>
            </w:pPr>
            <w:r w:rsidRPr="00F13FF2">
              <w:rPr>
                <w:rFonts w:cs="Arial"/>
                <w:sz w:val="20"/>
                <w:szCs w:val="20"/>
              </w:rPr>
              <w:t>911</w:t>
            </w:r>
          </w:p>
        </w:tc>
        <w:tc>
          <w:tcPr>
            <w:tcW w:w="719" w:type="pct"/>
            <w:shd w:val="clear" w:color="auto" w:fill="D9D9D9" w:themeFill="background1" w:themeFillShade="D9"/>
          </w:tcPr>
          <w:p w14:paraId="2E4645C9" w14:textId="77777777" w:rsidR="009B508A" w:rsidRPr="00F13FF2" w:rsidRDefault="009B508A" w:rsidP="00D20A1E">
            <w:pPr>
              <w:keepNext/>
              <w:keepLines/>
              <w:widowControl/>
              <w:spacing w:before="60" w:after="60"/>
              <w:jc w:val="center"/>
              <w:rPr>
                <w:rFonts w:cs="Arial"/>
                <w:sz w:val="20"/>
                <w:szCs w:val="20"/>
              </w:rPr>
            </w:pPr>
            <w:r w:rsidRPr="00F13FF2">
              <w:rPr>
                <w:rFonts w:cs="Arial"/>
                <w:sz w:val="20"/>
                <w:szCs w:val="20"/>
              </w:rPr>
              <w:t>n/a</w:t>
            </w:r>
          </w:p>
        </w:tc>
        <w:tc>
          <w:tcPr>
            <w:tcW w:w="634" w:type="pct"/>
            <w:shd w:val="clear" w:color="auto" w:fill="auto"/>
            <w:noWrap/>
            <w:tcMar>
              <w:top w:w="15" w:type="dxa"/>
              <w:left w:w="11" w:type="dxa"/>
              <w:bottom w:w="0" w:type="dxa"/>
              <w:right w:w="11" w:type="dxa"/>
            </w:tcMar>
          </w:tcPr>
          <w:p w14:paraId="58F004C3" w14:textId="0A921B94" w:rsidR="009B508A" w:rsidRPr="00F13FF2" w:rsidRDefault="00CA36B6"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6,595</w:t>
            </w:r>
          </w:p>
        </w:tc>
        <w:tc>
          <w:tcPr>
            <w:tcW w:w="724" w:type="pct"/>
            <w:noWrap/>
            <w:tcMar>
              <w:top w:w="15" w:type="dxa"/>
              <w:left w:w="11" w:type="dxa"/>
              <w:bottom w:w="0" w:type="dxa"/>
              <w:right w:w="11" w:type="dxa"/>
            </w:tcMar>
            <w:vAlign w:val="center"/>
          </w:tcPr>
          <w:p w14:paraId="0AF39764" w14:textId="19017FA6" w:rsidR="009B508A" w:rsidRPr="00F13FF2" w:rsidRDefault="00CA36B6"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6,</w:t>
            </w:r>
            <w:r w:rsidR="00463E24" w:rsidRPr="00463E24">
              <w:rPr>
                <w:rFonts w:eastAsia="Arial Unicode MS" w:cs="Arial"/>
                <w:sz w:val="20"/>
                <w:szCs w:val="20"/>
              </w:rPr>
              <w:t>4</w:t>
            </w:r>
            <w:r w:rsidR="00463E24">
              <w:rPr>
                <w:rFonts w:eastAsia="Arial Unicode MS" w:cs="Arial"/>
                <w:sz w:val="20"/>
                <w:szCs w:val="20"/>
              </w:rPr>
              <w:t>70</w:t>
            </w:r>
          </w:p>
        </w:tc>
        <w:tc>
          <w:tcPr>
            <w:tcW w:w="724" w:type="pct"/>
            <w:shd w:val="clear" w:color="auto" w:fill="D9D9D9" w:themeFill="background1" w:themeFillShade="D9"/>
            <w:noWrap/>
            <w:tcMar>
              <w:top w:w="11" w:type="dxa"/>
              <w:left w:w="11" w:type="dxa"/>
              <w:bottom w:w="0" w:type="dxa"/>
              <w:right w:w="11" w:type="dxa"/>
            </w:tcMar>
          </w:tcPr>
          <w:p w14:paraId="3E03960B" w14:textId="77777777" w:rsidR="009B508A" w:rsidRPr="00F13FF2" w:rsidRDefault="009B508A" w:rsidP="00D20A1E">
            <w:pPr>
              <w:keepNext/>
              <w:keepLines/>
              <w:widowControl/>
              <w:spacing w:before="60" w:after="60"/>
              <w:jc w:val="center"/>
              <w:rPr>
                <w:rFonts w:eastAsia="Arial Unicode MS" w:cs="Arial"/>
                <w:sz w:val="20"/>
                <w:szCs w:val="20"/>
              </w:rPr>
            </w:pPr>
          </w:p>
        </w:tc>
      </w:tr>
      <w:tr w:rsidR="009B508A" w14:paraId="70B08455" w14:textId="77777777" w:rsidTr="00050B1C">
        <w:trPr>
          <w:trHeight w:val="264"/>
        </w:trPr>
        <w:tc>
          <w:tcPr>
            <w:tcW w:w="852" w:type="pct"/>
            <w:noWrap/>
            <w:tcMar>
              <w:top w:w="15" w:type="dxa"/>
              <w:left w:w="11" w:type="dxa"/>
              <w:bottom w:w="0" w:type="dxa"/>
              <w:right w:w="11" w:type="dxa"/>
            </w:tcMar>
            <w:vAlign w:val="center"/>
          </w:tcPr>
          <w:p w14:paraId="570AAA37" w14:textId="321EC520" w:rsidR="009B508A" w:rsidRPr="00F13FF2" w:rsidRDefault="009B508A" w:rsidP="00D20A1E">
            <w:pPr>
              <w:keepNext/>
              <w:keepLines/>
              <w:widowControl/>
              <w:spacing w:before="60" w:after="60"/>
              <w:rPr>
                <w:rFonts w:eastAsia="Arial Unicode MS"/>
                <w:sz w:val="20"/>
                <w:szCs w:val="20"/>
              </w:rPr>
            </w:pPr>
            <w:r w:rsidRPr="00F13FF2">
              <w:rPr>
                <w:sz w:val="20"/>
                <w:szCs w:val="20"/>
              </w:rPr>
              <w:t>5</w:t>
            </w:r>
            <w:r w:rsidR="00733E40">
              <w:rPr>
                <w:sz w:val="20"/>
                <w:szCs w:val="20"/>
              </w:rPr>
              <w:t>–</w:t>
            </w:r>
            <w:r w:rsidRPr="00F13FF2">
              <w:rPr>
                <w:sz w:val="20"/>
                <w:szCs w:val="20"/>
              </w:rPr>
              <w:t>14 years</w:t>
            </w:r>
          </w:p>
        </w:tc>
        <w:tc>
          <w:tcPr>
            <w:tcW w:w="628" w:type="pct"/>
          </w:tcPr>
          <w:p w14:paraId="4F30E00A" w14:textId="77777777" w:rsidR="009B508A" w:rsidRPr="00F13FF2" w:rsidRDefault="009B508A" w:rsidP="00D20A1E">
            <w:pPr>
              <w:keepNext/>
              <w:keepLines/>
              <w:widowControl/>
              <w:tabs>
                <w:tab w:val="decimal" w:pos="1172"/>
              </w:tabs>
              <w:spacing w:before="60" w:after="60"/>
              <w:rPr>
                <w:rFonts w:cs="Arial"/>
                <w:sz w:val="20"/>
                <w:szCs w:val="20"/>
              </w:rPr>
            </w:pPr>
            <w:r w:rsidRPr="00F13FF2">
              <w:rPr>
                <w:rFonts w:cs="Arial"/>
                <w:sz w:val="20"/>
                <w:szCs w:val="20"/>
              </w:rPr>
              <w:t>1,844</w:t>
            </w:r>
          </w:p>
        </w:tc>
        <w:tc>
          <w:tcPr>
            <w:tcW w:w="719" w:type="pct"/>
            <w:tcBorders>
              <w:bottom w:val="single" w:sz="4" w:space="0" w:color="auto"/>
            </w:tcBorders>
          </w:tcPr>
          <w:p w14:paraId="210FB43B" w14:textId="69FE9CB2" w:rsidR="009B508A" w:rsidRPr="00F13FF2" w:rsidRDefault="009B508A" w:rsidP="00D20A1E">
            <w:pPr>
              <w:keepNext/>
              <w:keepLines/>
              <w:widowControl/>
              <w:tabs>
                <w:tab w:val="decimal" w:pos="1045"/>
              </w:tabs>
              <w:spacing w:before="60" w:after="60"/>
              <w:rPr>
                <w:rFonts w:cs="Arial"/>
                <w:sz w:val="20"/>
                <w:szCs w:val="20"/>
              </w:rPr>
            </w:pPr>
            <w:r w:rsidRPr="00F13FF2">
              <w:rPr>
                <w:rFonts w:cs="Arial"/>
                <w:sz w:val="20"/>
                <w:szCs w:val="20"/>
              </w:rPr>
              <w:t>2,997</w:t>
            </w:r>
          </w:p>
        </w:tc>
        <w:tc>
          <w:tcPr>
            <w:tcW w:w="719" w:type="pct"/>
            <w:shd w:val="clear" w:color="auto" w:fill="D9D9D9" w:themeFill="background1" w:themeFillShade="D9"/>
          </w:tcPr>
          <w:p w14:paraId="7281F1AE" w14:textId="77777777" w:rsidR="009B508A" w:rsidRPr="00F13FF2" w:rsidRDefault="009B508A" w:rsidP="00D20A1E">
            <w:pPr>
              <w:keepNext/>
              <w:keepLines/>
              <w:widowControl/>
              <w:spacing w:before="60" w:after="60"/>
              <w:jc w:val="center"/>
              <w:rPr>
                <w:rFonts w:cs="Arial"/>
                <w:sz w:val="20"/>
                <w:szCs w:val="20"/>
              </w:rPr>
            </w:pPr>
            <w:r w:rsidRPr="00F13FF2">
              <w:rPr>
                <w:rFonts w:cs="Arial"/>
                <w:sz w:val="20"/>
                <w:szCs w:val="20"/>
              </w:rPr>
              <w:t>n/a</w:t>
            </w:r>
          </w:p>
        </w:tc>
        <w:tc>
          <w:tcPr>
            <w:tcW w:w="634" w:type="pct"/>
            <w:shd w:val="clear" w:color="auto" w:fill="auto"/>
            <w:noWrap/>
            <w:tcMar>
              <w:top w:w="15" w:type="dxa"/>
              <w:left w:w="11" w:type="dxa"/>
              <w:bottom w:w="0" w:type="dxa"/>
              <w:right w:w="11" w:type="dxa"/>
            </w:tcMar>
          </w:tcPr>
          <w:p w14:paraId="7E218D87" w14:textId="2238A035" w:rsidR="009B508A" w:rsidRPr="00F13FF2" w:rsidRDefault="00CA36B6"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8,940</w:t>
            </w:r>
          </w:p>
        </w:tc>
        <w:tc>
          <w:tcPr>
            <w:tcW w:w="724" w:type="pct"/>
            <w:tcBorders>
              <w:bottom w:val="single" w:sz="4" w:space="0" w:color="auto"/>
            </w:tcBorders>
            <w:noWrap/>
            <w:tcMar>
              <w:top w:w="15" w:type="dxa"/>
              <w:left w:w="11" w:type="dxa"/>
              <w:bottom w:w="0" w:type="dxa"/>
              <w:right w:w="11" w:type="dxa"/>
            </w:tcMar>
            <w:vAlign w:val="center"/>
          </w:tcPr>
          <w:p w14:paraId="683F74D8" w14:textId="698AD1D4" w:rsidR="009B508A" w:rsidRPr="00F13FF2" w:rsidRDefault="00CA36B6"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8,</w:t>
            </w:r>
            <w:r w:rsidR="00463E24" w:rsidRPr="00463E24">
              <w:rPr>
                <w:rFonts w:eastAsia="Arial Unicode MS" w:cs="Arial"/>
                <w:sz w:val="20"/>
                <w:szCs w:val="20"/>
              </w:rPr>
              <w:t>57</w:t>
            </w:r>
            <w:r w:rsidR="00463E24">
              <w:rPr>
                <w:rFonts w:eastAsia="Arial Unicode MS" w:cs="Arial"/>
                <w:sz w:val="20"/>
                <w:szCs w:val="20"/>
              </w:rPr>
              <w:t>5</w:t>
            </w:r>
          </w:p>
        </w:tc>
        <w:tc>
          <w:tcPr>
            <w:tcW w:w="724" w:type="pct"/>
            <w:shd w:val="clear" w:color="auto" w:fill="D9D9D9" w:themeFill="background1" w:themeFillShade="D9"/>
            <w:noWrap/>
            <w:tcMar>
              <w:top w:w="11" w:type="dxa"/>
              <w:left w:w="11" w:type="dxa"/>
              <w:bottom w:w="0" w:type="dxa"/>
              <w:right w:w="11" w:type="dxa"/>
            </w:tcMar>
          </w:tcPr>
          <w:p w14:paraId="65726599" w14:textId="77777777" w:rsidR="009B508A" w:rsidRPr="00F13FF2" w:rsidRDefault="009B508A" w:rsidP="00D20A1E">
            <w:pPr>
              <w:keepNext/>
              <w:keepLines/>
              <w:widowControl/>
              <w:spacing w:before="60" w:after="60"/>
              <w:jc w:val="center"/>
              <w:rPr>
                <w:rFonts w:eastAsia="Arial Unicode MS" w:cs="Arial"/>
                <w:sz w:val="20"/>
                <w:szCs w:val="20"/>
              </w:rPr>
            </w:pPr>
          </w:p>
        </w:tc>
      </w:tr>
      <w:tr w:rsidR="009B508A" w14:paraId="40F51A5B" w14:textId="77777777" w:rsidTr="00050B1C">
        <w:trPr>
          <w:trHeight w:val="264"/>
        </w:trPr>
        <w:tc>
          <w:tcPr>
            <w:tcW w:w="852" w:type="pct"/>
            <w:noWrap/>
            <w:tcMar>
              <w:top w:w="15" w:type="dxa"/>
              <w:left w:w="11" w:type="dxa"/>
              <w:bottom w:w="0" w:type="dxa"/>
              <w:right w:w="11" w:type="dxa"/>
            </w:tcMar>
            <w:vAlign w:val="center"/>
          </w:tcPr>
          <w:p w14:paraId="3ED1A458" w14:textId="77777777" w:rsidR="009B508A" w:rsidRPr="00F13FF2" w:rsidRDefault="009B508A" w:rsidP="00D20A1E">
            <w:pPr>
              <w:keepNext/>
              <w:keepLines/>
              <w:widowControl/>
              <w:spacing w:before="60" w:after="60"/>
              <w:rPr>
                <w:rFonts w:eastAsia="Arial Unicode MS"/>
                <w:sz w:val="20"/>
                <w:szCs w:val="20"/>
              </w:rPr>
            </w:pPr>
            <w:r w:rsidRPr="00F13FF2">
              <w:rPr>
                <w:sz w:val="20"/>
                <w:szCs w:val="20"/>
              </w:rPr>
              <w:t>15 years and above</w:t>
            </w:r>
          </w:p>
        </w:tc>
        <w:tc>
          <w:tcPr>
            <w:tcW w:w="628" w:type="pct"/>
          </w:tcPr>
          <w:p w14:paraId="0B9A9A5D" w14:textId="77777777" w:rsidR="009B508A" w:rsidRPr="00F13FF2" w:rsidRDefault="009B508A" w:rsidP="00D20A1E">
            <w:pPr>
              <w:keepNext/>
              <w:keepLines/>
              <w:widowControl/>
              <w:tabs>
                <w:tab w:val="decimal" w:pos="1172"/>
              </w:tabs>
              <w:spacing w:before="60" w:after="60"/>
              <w:rPr>
                <w:rFonts w:cs="Arial"/>
                <w:sz w:val="20"/>
                <w:szCs w:val="20"/>
              </w:rPr>
            </w:pPr>
            <w:r w:rsidRPr="00F13FF2">
              <w:rPr>
                <w:rFonts w:cs="Arial"/>
                <w:sz w:val="20"/>
                <w:szCs w:val="20"/>
              </w:rPr>
              <w:t>11,431</w:t>
            </w:r>
          </w:p>
        </w:tc>
        <w:tc>
          <w:tcPr>
            <w:tcW w:w="719" w:type="pct"/>
            <w:shd w:val="clear" w:color="auto" w:fill="D9D9D9" w:themeFill="background1" w:themeFillShade="D9"/>
          </w:tcPr>
          <w:p w14:paraId="4520A5D2" w14:textId="77777777" w:rsidR="009B508A" w:rsidRPr="00F13FF2" w:rsidRDefault="009B508A" w:rsidP="00D20A1E">
            <w:pPr>
              <w:keepNext/>
              <w:keepLines/>
              <w:widowControl/>
              <w:tabs>
                <w:tab w:val="decimal" w:pos="1045"/>
              </w:tabs>
              <w:spacing w:before="60" w:after="60"/>
              <w:rPr>
                <w:rFonts w:cs="Arial"/>
                <w:sz w:val="20"/>
                <w:szCs w:val="20"/>
              </w:rPr>
            </w:pPr>
            <w:r w:rsidRPr="00F13FF2">
              <w:rPr>
                <w:rFonts w:cs="Arial"/>
                <w:sz w:val="20"/>
                <w:szCs w:val="20"/>
              </w:rPr>
              <w:t>n/a</w:t>
            </w:r>
          </w:p>
        </w:tc>
        <w:tc>
          <w:tcPr>
            <w:tcW w:w="719" w:type="pct"/>
            <w:shd w:val="clear" w:color="auto" w:fill="D9D9D9" w:themeFill="background1" w:themeFillShade="D9"/>
          </w:tcPr>
          <w:p w14:paraId="1086406F" w14:textId="77777777" w:rsidR="009B508A" w:rsidRPr="00F13FF2" w:rsidRDefault="009B508A" w:rsidP="00D20A1E">
            <w:pPr>
              <w:keepNext/>
              <w:keepLines/>
              <w:widowControl/>
              <w:spacing w:before="60" w:after="60"/>
              <w:jc w:val="center"/>
              <w:rPr>
                <w:rFonts w:cs="Arial"/>
                <w:sz w:val="20"/>
                <w:szCs w:val="20"/>
              </w:rPr>
            </w:pPr>
            <w:r w:rsidRPr="00F13FF2">
              <w:rPr>
                <w:rFonts w:cs="Arial"/>
                <w:sz w:val="20"/>
                <w:szCs w:val="20"/>
              </w:rPr>
              <w:t>n/a</w:t>
            </w:r>
          </w:p>
        </w:tc>
        <w:tc>
          <w:tcPr>
            <w:tcW w:w="634" w:type="pct"/>
            <w:shd w:val="clear" w:color="auto" w:fill="auto"/>
            <w:noWrap/>
            <w:tcMar>
              <w:top w:w="15" w:type="dxa"/>
              <w:left w:w="11" w:type="dxa"/>
              <w:bottom w:w="0" w:type="dxa"/>
              <w:right w:w="11" w:type="dxa"/>
            </w:tcMar>
          </w:tcPr>
          <w:p w14:paraId="09629F52" w14:textId="3DB090FF" w:rsidR="009B508A" w:rsidRPr="00F13FF2" w:rsidRDefault="00CA36B6"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9,355</w:t>
            </w:r>
          </w:p>
        </w:tc>
        <w:tc>
          <w:tcPr>
            <w:tcW w:w="724" w:type="pct"/>
            <w:shd w:val="clear" w:color="auto" w:fill="D9D9D9" w:themeFill="background1" w:themeFillShade="D9"/>
            <w:noWrap/>
            <w:tcMar>
              <w:top w:w="15" w:type="dxa"/>
              <w:left w:w="11" w:type="dxa"/>
              <w:bottom w:w="0" w:type="dxa"/>
              <w:right w:w="11" w:type="dxa"/>
            </w:tcMar>
            <w:vAlign w:val="center"/>
          </w:tcPr>
          <w:p w14:paraId="2786BAB9" w14:textId="77777777" w:rsidR="009B508A" w:rsidRPr="00F13FF2" w:rsidRDefault="009B508A" w:rsidP="00D20A1E">
            <w:pPr>
              <w:keepNext/>
              <w:keepLines/>
              <w:widowControl/>
              <w:spacing w:before="60" w:after="60"/>
              <w:jc w:val="center"/>
              <w:rPr>
                <w:rFonts w:eastAsia="Arial Unicode MS" w:cs="Arial"/>
                <w:sz w:val="20"/>
                <w:szCs w:val="20"/>
              </w:rPr>
            </w:pPr>
          </w:p>
        </w:tc>
        <w:tc>
          <w:tcPr>
            <w:tcW w:w="724" w:type="pct"/>
            <w:shd w:val="clear" w:color="auto" w:fill="D9D9D9" w:themeFill="background1" w:themeFillShade="D9"/>
            <w:noWrap/>
            <w:tcMar>
              <w:top w:w="11" w:type="dxa"/>
              <w:left w:w="11" w:type="dxa"/>
              <w:bottom w:w="0" w:type="dxa"/>
              <w:right w:w="11" w:type="dxa"/>
            </w:tcMar>
          </w:tcPr>
          <w:p w14:paraId="76B60BF1" w14:textId="77777777" w:rsidR="009B508A" w:rsidRPr="00F13FF2" w:rsidRDefault="009B508A" w:rsidP="00D20A1E">
            <w:pPr>
              <w:keepNext/>
              <w:keepLines/>
              <w:widowControl/>
              <w:spacing w:before="60" w:after="60"/>
              <w:jc w:val="center"/>
              <w:rPr>
                <w:rFonts w:eastAsia="Arial Unicode MS" w:cs="Arial"/>
                <w:sz w:val="20"/>
                <w:szCs w:val="20"/>
              </w:rPr>
            </w:pPr>
          </w:p>
        </w:tc>
      </w:tr>
    </w:tbl>
    <w:p w14:paraId="1600EE00" w14:textId="2086C8BD" w:rsidR="00AD191F" w:rsidRPr="00780B89" w:rsidRDefault="00AD191F" w:rsidP="00D20A1E">
      <w:pPr>
        <w:widowControl/>
        <w:rPr>
          <w:sz w:val="18"/>
          <w:szCs w:val="18"/>
        </w:rPr>
      </w:pPr>
      <w:r w:rsidRPr="00F13FF2">
        <w:rPr>
          <w:bCs/>
          <w:sz w:val="18"/>
          <w:szCs w:val="18"/>
          <w:vertAlign w:val="superscript"/>
        </w:rPr>
        <w:sym w:font="Wingdings 2" w:char="F0D8"/>
      </w:r>
      <w:r w:rsidRPr="00780B89">
        <w:rPr>
          <w:sz w:val="18"/>
          <w:szCs w:val="18"/>
        </w:rPr>
        <w:tab/>
        <w:t xml:space="preserve">All </w:t>
      </w:r>
      <w:r w:rsidR="00B4525E">
        <w:rPr>
          <w:sz w:val="18"/>
          <w:szCs w:val="18"/>
        </w:rPr>
        <w:t>energy</w:t>
      </w:r>
      <w:r w:rsidR="00B4525E" w:rsidRPr="00780B89">
        <w:rPr>
          <w:sz w:val="18"/>
          <w:szCs w:val="18"/>
        </w:rPr>
        <w:t xml:space="preserve"> </w:t>
      </w:r>
      <w:r w:rsidRPr="00780B89">
        <w:rPr>
          <w:sz w:val="18"/>
          <w:szCs w:val="18"/>
        </w:rPr>
        <w:t xml:space="preserve">intakes have been rounded to the nearest </w:t>
      </w:r>
      <w:r w:rsidR="00B4525E">
        <w:rPr>
          <w:sz w:val="18"/>
          <w:szCs w:val="18"/>
        </w:rPr>
        <w:t>five kilojoules. Energy intake includes dietary fibre.</w:t>
      </w:r>
    </w:p>
    <w:p w14:paraId="6CC6CE39" w14:textId="3FB3D79A" w:rsidR="007B078B" w:rsidRDefault="007B078B" w:rsidP="00D20A1E">
      <w:pPr>
        <w:widowControl/>
        <w:rPr>
          <w:rFonts w:cs="Arial"/>
          <w:sz w:val="18"/>
          <w:szCs w:val="18"/>
        </w:rPr>
      </w:pPr>
      <w:r w:rsidRPr="00BD35C4">
        <w:rPr>
          <w:rFonts w:ascii="Wingdings" w:hAnsi="Wingdings" w:cs="Arial"/>
          <w:b/>
          <w:sz w:val="20"/>
          <w:szCs w:val="20"/>
          <w:vertAlign w:val="superscript"/>
        </w:rPr>
        <w:t></w:t>
      </w:r>
      <w:r w:rsidRPr="00BD35C4">
        <w:rPr>
          <w:rFonts w:cs="Arial"/>
          <w:sz w:val="18"/>
          <w:szCs w:val="18"/>
        </w:rPr>
        <w:tab/>
      </w:r>
      <w:r w:rsidR="00F6296A">
        <w:rPr>
          <w:rFonts w:cs="Arial"/>
          <w:sz w:val="18"/>
          <w:szCs w:val="18"/>
        </w:rPr>
        <w:t>Source: (</w:t>
      </w:r>
      <w:r w:rsidR="008F0975">
        <w:rPr>
          <w:rFonts w:cs="Arial"/>
          <w:sz w:val="18"/>
          <w:szCs w:val="18"/>
        </w:rPr>
        <w:t>ABS 2014b</w:t>
      </w:r>
      <w:r>
        <w:rPr>
          <w:rFonts w:cs="Arial"/>
          <w:sz w:val="18"/>
          <w:szCs w:val="18"/>
        </w:rPr>
        <w:t>)</w:t>
      </w:r>
    </w:p>
    <w:p w14:paraId="3CB740C7" w14:textId="7336F2E4" w:rsidR="00AD191F" w:rsidRPr="00780B89" w:rsidRDefault="00AD191F" w:rsidP="00D20A1E">
      <w:pPr>
        <w:widowControl/>
        <w:rPr>
          <w:sz w:val="18"/>
          <w:szCs w:val="18"/>
          <w:lang w:val="en-US"/>
        </w:rPr>
      </w:pPr>
      <w:r w:rsidRPr="00780B89">
        <w:rPr>
          <w:sz w:val="18"/>
          <w:szCs w:val="18"/>
        </w:rPr>
        <w:t>Gr</w:t>
      </w:r>
      <w:r w:rsidR="00733E40">
        <w:rPr>
          <w:sz w:val="18"/>
          <w:szCs w:val="18"/>
        </w:rPr>
        <w:t>e</w:t>
      </w:r>
      <w:r w:rsidRPr="00780B89">
        <w:rPr>
          <w:sz w:val="18"/>
          <w:szCs w:val="18"/>
        </w:rPr>
        <w:t>y shading indicates that data are not available</w:t>
      </w:r>
    </w:p>
    <w:p w14:paraId="5D3CF6C5" w14:textId="77777777" w:rsidR="00AD191F" w:rsidRDefault="00AD191F" w:rsidP="00D20A1E">
      <w:pPr>
        <w:pStyle w:val="Table"/>
        <w:keepNext w:val="0"/>
        <w:spacing w:before="0"/>
        <w:outlineLvl w:val="9"/>
        <w:rPr>
          <w:lang w:val="en-US"/>
        </w:rPr>
      </w:pPr>
    </w:p>
    <w:p w14:paraId="06D3D3AA" w14:textId="1ED17575" w:rsidR="00AD191F" w:rsidRDefault="00AD191F" w:rsidP="00D20A1E">
      <w:pPr>
        <w:pStyle w:val="FSTableTitle"/>
        <w:keepNext/>
        <w:keepLines/>
        <w:widowControl/>
      </w:pPr>
      <w:bookmarkStart w:id="211" w:name="_Ref420483839"/>
      <w:r>
        <w:t>Table A1.</w:t>
      </w:r>
      <w:fldSimple w:instr=" SEQ Table_A1. \* ARABIC ">
        <w:r w:rsidR="00047581">
          <w:rPr>
            <w:noProof/>
          </w:rPr>
          <w:t>16</w:t>
        </w:r>
      </w:fldSimple>
      <w:bookmarkEnd w:id="211"/>
      <w:r>
        <w:t>:</w:t>
      </w:r>
      <w:r w:rsidR="00F6296A">
        <w:t xml:space="preserve"> </w:t>
      </w:r>
      <w:r>
        <w:t>Comparison of estimated mean energy intakes</w:t>
      </w:r>
      <w:r w:rsidR="00B4525E">
        <w:t xml:space="preserve"> (without dietary fibre)</w:t>
      </w:r>
      <w:r>
        <w:t xml:space="preserve"> (kJ/day)</w:t>
      </w:r>
      <w:r w:rsidR="00463E24">
        <w:t>, excluding supplements,</w:t>
      </w:r>
      <w:r>
        <w:t xml:space="preserve"> for general New Zealand population groups, for the 1997, 2002 and 2008 nutrition surveys</w:t>
      </w:r>
    </w:p>
    <w:p w14:paraId="31C65A5A" w14:textId="77777777" w:rsidR="0023423F" w:rsidRPr="0023423F" w:rsidRDefault="0023423F" w:rsidP="002342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79"/>
        <w:gridCol w:w="1650"/>
        <w:gridCol w:w="1835"/>
        <w:gridCol w:w="1835"/>
        <w:gridCol w:w="2294"/>
        <w:gridCol w:w="2295"/>
        <w:gridCol w:w="2292"/>
      </w:tblGrid>
      <w:tr w:rsidR="00AD191F" w14:paraId="3600A532" w14:textId="77777777" w:rsidTr="004644F5">
        <w:trPr>
          <w:trHeight w:val="276"/>
        </w:trPr>
        <w:tc>
          <w:tcPr>
            <w:tcW w:w="633" w:type="pct"/>
            <w:vMerge w:val="restart"/>
            <w:tcBorders>
              <w:left w:val="single" w:sz="4" w:space="0" w:color="auto"/>
            </w:tcBorders>
            <w:shd w:val="clear" w:color="auto" w:fill="B8CCE4" w:themeFill="accent1" w:themeFillTint="66"/>
            <w:noWrap/>
            <w:tcMar>
              <w:top w:w="11" w:type="dxa"/>
              <w:left w:w="11" w:type="dxa"/>
              <w:bottom w:w="0" w:type="dxa"/>
              <w:right w:w="11" w:type="dxa"/>
            </w:tcMar>
            <w:vAlign w:val="center"/>
          </w:tcPr>
          <w:p w14:paraId="076BCA0C" w14:textId="77777777" w:rsidR="00AD191F" w:rsidRPr="00F13FF2" w:rsidRDefault="00AD191F" w:rsidP="00D20A1E">
            <w:pPr>
              <w:keepNext/>
              <w:keepLines/>
              <w:widowControl/>
              <w:spacing w:before="60" w:after="60"/>
              <w:ind w:left="-11"/>
              <w:jc w:val="center"/>
              <w:rPr>
                <w:rFonts w:eastAsia="Arial Unicode MS"/>
                <w:sz w:val="20"/>
                <w:szCs w:val="20"/>
              </w:rPr>
            </w:pPr>
            <w:r w:rsidRPr="00F13FF2">
              <w:rPr>
                <w:b/>
                <w:bCs/>
                <w:sz w:val="20"/>
                <w:szCs w:val="20"/>
              </w:rPr>
              <w:t>Population Group</w:t>
            </w:r>
          </w:p>
        </w:tc>
        <w:tc>
          <w:tcPr>
            <w:tcW w:w="1905" w:type="pct"/>
            <w:gridSpan w:val="3"/>
            <w:shd w:val="clear" w:color="auto" w:fill="B8CCE4" w:themeFill="accent1" w:themeFillTint="66"/>
            <w:vAlign w:val="center"/>
          </w:tcPr>
          <w:p w14:paraId="4D32E50E" w14:textId="77777777" w:rsidR="00AD191F" w:rsidRPr="00F13FF2" w:rsidRDefault="00AD191F" w:rsidP="00D20A1E">
            <w:pPr>
              <w:keepNext/>
              <w:keepLines/>
              <w:widowControl/>
              <w:spacing w:before="60" w:after="60"/>
              <w:jc w:val="center"/>
              <w:rPr>
                <w:b/>
                <w:bCs/>
                <w:sz w:val="20"/>
                <w:szCs w:val="20"/>
              </w:rPr>
            </w:pPr>
            <w:r w:rsidRPr="00F13FF2">
              <w:rPr>
                <w:b/>
                <w:bCs/>
                <w:sz w:val="20"/>
                <w:szCs w:val="20"/>
              </w:rPr>
              <w:t>Number of survey respondents</w:t>
            </w:r>
          </w:p>
        </w:tc>
        <w:tc>
          <w:tcPr>
            <w:tcW w:w="2462" w:type="pct"/>
            <w:gridSpan w:val="3"/>
            <w:shd w:val="clear" w:color="auto" w:fill="B8CCE4" w:themeFill="accent1" w:themeFillTint="66"/>
            <w:noWrap/>
            <w:tcMar>
              <w:top w:w="11" w:type="dxa"/>
              <w:left w:w="11" w:type="dxa"/>
              <w:bottom w:w="0" w:type="dxa"/>
              <w:right w:w="11" w:type="dxa"/>
            </w:tcMar>
            <w:vAlign w:val="center"/>
          </w:tcPr>
          <w:p w14:paraId="348A3ADB" w14:textId="35F3E53C" w:rsidR="00AD191F" w:rsidRPr="00F13FF2" w:rsidRDefault="00AD191F" w:rsidP="00D20A1E">
            <w:pPr>
              <w:keepNext/>
              <w:keepLines/>
              <w:widowControl/>
              <w:spacing w:before="60" w:after="60"/>
              <w:jc w:val="center"/>
              <w:rPr>
                <w:rFonts w:eastAsia="Arial Unicode MS"/>
                <w:b/>
                <w:bCs/>
                <w:sz w:val="20"/>
                <w:szCs w:val="20"/>
              </w:rPr>
            </w:pPr>
            <w:r w:rsidRPr="00F13FF2">
              <w:rPr>
                <w:b/>
                <w:bCs/>
                <w:sz w:val="20"/>
                <w:szCs w:val="20"/>
              </w:rPr>
              <w:t>Estimated mean energy intake (kJ/day)</w:t>
            </w:r>
            <w:r w:rsidRPr="00F13FF2">
              <w:rPr>
                <w:b/>
                <w:bCs/>
                <w:sz w:val="20"/>
                <w:szCs w:val="20"/>
                <w:vertAlign w:val="superscript"/>
              </w:rPr>
              <w:sym w:font="Wingdings 2" w:char="F0D8"/>
            </w:r>
          </w:p>
        </w:tc>
      </w:tr>
      <w:tr w:rsidR="00AD191F" w14:paraId="15F33CDD" w14:textId="77777777" w:rsidTr="004644F5">
        <w:trPr>
          <w:trHeight w:val="540"/>
        </w:trPr>
        <w:tc>
          <w:tcPr>
            <w:tcW w:w="633" w:type="pct"/>
            <w:vMerge/>
            <w:tcBorders>
              <w:left w:val="single" w:sz="4" w:space="0" w:color="auto"/>
            </w:tcBorders>
            <w:shd w:val="clear" w:color="auto" w:fill="B8CCE4" w:themeFill="accent1" w:themeFillTint="66"/>
            <w:tcMar>
              <w:top w:w="11" w:type="dxa"/>
              <w:left w:w="11" w:type="dxa"/>
              <w:bottom w:w="0" w:type="dxa"/>
              <w:right w:w="11" w:type="dxa"/>
            </w:tcMar>
            <w:vAlign w:val="center"/>
          </w:tcPr>
          <w:p w14:paraId="51CE4D7F" w14:textId="77777777" w:rsidR="00AD191F" w:rsidRPr="00F13FF2" w:rsidRDefault="00AD191F" w:rsidP="00D20A1E">
            <w:pPr>
              <w:keepNext/>
              <w:keepLines/>
              <w:widowControl/>
              <w:spacing w:before="60" w:after="60"/>
              <w:ind w:left="-11"/>
              <w:jc w:val="center"/>
              <w:rPr>
                <w:rFonts w:eastAsia="Arial Unicode MS"/>
                <w:b/>
                <w:bCs/>
                <w:sz w:val="20"/>
                <w:szCs w:val="20"/>
              </w:rPr>
            </w:pPr>
          </w:p>
        </w:tc>
        <w:tc>
          <w:tcPr>
            <w:tcW w:w="1905" w:type="pct"/>
            <w:gridSpan w:val="3"/>
            <w:shd w:val="clear" w:color="auto" w:fill="B8CCE4" w:themeFill="accent1" w:themeFillTint="66"/>
            <w:vAlign w:val="center"/>
          </w:tcPr>
          <w:p w14:paraId="727FF546"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General population</w:t>
            </w:r>
          </w:p>
        </w:tc>
        <w:tc>
          <w:tcPr>
            <w:tcW w:w="2462" w:type="pct"/>
            <w:gridSpan w:val="3"/>
            <w:shd w:val="clear" w:color="auto" w:fill="B8CCE4" w:themeFill="accent1" w:themeFillTint="66"/>
            <w:tcMar>
              <w:top w:w="11" w:type="dxa"/>
              <w:left w:w="11" w:type="dxa"/>
              <w:bottom w:w="0" w:type="dxa"/>
              <w:right w:w="11" w:type="dxa"/>
            </w:tcMar>
            <w:vAlign w:val="center"/>
          </w:tcPr>
          <w:p w14:paraId="31F16D1A" w14:textId="77777777" w:rsidR="00AD191F" w:rsidRPr="00F13FF2" w:rsidRDefault="00AD191F" w:rsidP="00D20A1E">
            <w:pPr>
              <w:keepNext/>
              <w:keepLines/>
              <w:widowControl/>
              <w:spacing w:before="60" w:after="60"/>
              <w:jc w:val="center"/>
              <w:rPr>
                <w:rFonts w:eastAsia="Arial Unicode MS"/>
                <w:bCs/>
                <w:i/>
                <w:sz w:val="20"/>
                <w:szCs w:val="20"/>
              </w:rPr>
            </w:pPr>
            <w:r w:rsidRPr="00F13FF2">
              <w:rPr>
                <w:b/>
                <w:i/>
                <w:sz w:val="20"/>
                <w:szCs w:val="20"/>
                <w:lang w:val="en-US"/>
              </w:rPr>
              <w:t>General population</w:t>
            </w:r>
          </w:p>
        </w:tc>
      </w:tr>
      <w:tr w:rsidR="00AD191F" w14:paraId="44485FA1" w14:textId="77777777" w:rsidTr="00050B1C">
        <w:trPr>
          <w:trHeight w:val="540"/>
        </w:trPr>
        <w:tc>
          <w:tcPr>
            <w:tcW w:w="633" w:type="pct"/>
            <w:vMerge/>
            <w:tcBorders>
              <w:left w:val="single" w:sz="4" w:space="0" w:color="auto"/>
            </w:tcBorders>
            <w:shd w:val="clear" w:color="auto" w:fill="B8CCE4" w:themeFill="accent1" w:themeFillTint="66"/>
            <w:tcMar>
              <w:top w:w="11" w:type="dxa"/>
              <w:left w:w="11" w:type="dxa"/>
              <w:bottom w:w="0" w:type="dxa"/>
              <w:right w:w="11" w:type="dxa"/>
            </w:tcMar>
            <w:vAlign w:val="center"/>
          </w:tcPr>
          <w:p w14:paraId="2F72A987" w14:textId="77777777" w:rsidR="00AD191F" w:rsidRPr="00F13FF2" w:rsidRDefault="00AD191F" w:rsidP="00D20A1E">
            <w:pPr>
              <w:keepNext/>
              <w:keepLines/>
              <w:widowControl/>
              <w:spacing w:before="60" w:after="60"/>
              <w:ind w:left="-11"/>
              <w:jc w:val="center"/>
              <w:rPr>
                <w:b/>
                <w:bCs/>
                <w:sz w:val="20"/>
                <w:szCs w:val="20"/>
              </w:rPr>
            </w:pPr>
          </w:p>
        </w:tc>
        <w:tc>
          <w:tcPr>
            <w:tcW w:w="591" w:type="pct"/>
            <w:shd w:val="clear" w:color="auto" w:fill="B8CCE4" w:themeFill="accent1" w:themeFillTint="66"/>
            <w:vAlign w:val="center"/>
          </w:tcPr>
          <w:p w14:paraId="5CDE5F35"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1997 NZNNS</w:t>
            </w:r>
          </w:p>
        </w:tc>
        <w:tc>
          <w:tcPr>
            <w:tcW w:w="657" w:type="pct"/>
            <w:shd w:val="clear" w:color="auto" w:fill="B8CCE4" w:themeFill="accent1" w:themeFillTint="66"/>
            <w:vAlign w:val="center"/>
          </w:tcPr>
          <w:p w14:paraId="59F752D0" w14:textId="51EC4544" w:rsidR="00AD191F" w:rsidRPr="00F13FF2" w:rsidRDefault="00064C03" w:rsidP="00D20A1E">
            <w:pPr>
              <w:keepNext/>
              <w:keepLines/>
              <w:widowControl/>
              <w:spacing w:before="60" w:after="60"/>
              <w:jc w:val="center"/>
              <w:rPr>
                <w:b/>
                <w:i/>
                <w:sz w:val="20"/>
                <w:szCs w:val="20"/>
                <w:lang w:val="en-US"/>
              </w:rPr>
            </w:pPr>
            <w:r>
              <w:rPr>
                <w:b/>
                <w:i/>
                <w:sz w:val="20"/>
                <w:szCs w:val="20"/>
                <w:lang w:val="en-US"/>
              </w:rPr>
              <w:t>2002 NZCNS</w:t>
            </w:r>
          </w:p>
        </w:tc>
        <w:tc>
          <w:tcPr>
            <w:tcW w:w="657" w:type="pct"/>
            <w:shd w:val="clear" w:color="auto" w:fill="B8CCE4" w:themeFill="accent1" w:themeFillTint="66"/>
            <w:vAlign w:val="center"/>
          </w:tcPr>
          <w:p w14:paraId="0030D83F"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2008 NZANS</w:t>
            </w:r>
          </w:p>
        </w:tc>
        <w:tc>
          <w:tcPr>
            <w:tcW w:w="821" w:type="pct"/>
            <w:tcBorders>
              <w:bottom w:val="single" w:sz="4" w:space="0" w:color="auto"/>
            </w:tcBorders>
            <w:shd w:val="clear" w:color="auto" w:fill="B8CCE4" w:themeFill="accent1" w:themeFillTint="66"/>
            <w:tcMar>
              <w:top w:w="11" w:type="dxa"/>
              <w:left w:w="11" w:type="dxa"/>
              <w:bottom w:w="0" w:type="dxa"/>
              <w:right w:w="11" w:type="dxa"/>
            </w:tcMar>
            <w:vAlign w:val="center"/>
          </w:tcPr>
          <w:p w14:paraId="6CE4A4D4"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1997 NZNNS</w:t>
            </w:r>
          </w:p>
        </w:tc>
        <w:tc>
          <w:tcPr>
            <w:tcW w:w="821" w:type="pct"/>
            <w:shd w:val="clear" w:color="auto" w:fill="B8CCE4" w:themeFill="accent1" w:themeFillTint="66"/>
            <w:tcMar>
              <w:top w:w="11" w:type="dxa"/>
              <w:left w:w="11" w:type="dxa"/>
              <w:bottom w:w="0" w:type="dxa"/>
              <w:right w:w="11" w:type="dxa"/>
            </w:tcMar>
            <w:vAlign w:val="center"/>
          </w:tcPr>
          <w:p w14:paraId="1A943ED9" w14:textId="410DE931" w:rsidR="00AD191F" w:rsidRPr="00F13FF2" w:rsidRDefault="00064C03" w:rsidP="00D20A1E">
            <w:pPr>
              <w:keepNext/>
              <w:keepLines/>
              <w:widowControl/>
              <w:spacing w:before="60" w:after="60"/>
              <w:jc w:val="center"/>
              <w:rPr>
                <w:b/>
                <w:i/>
                <w:sz w:val="20"/>
                <w:szCs w:val="20"/>
                <w:lang w:val="en-US"/>
              </w:rPr>
            </w:pPr>
            <w:r>
              <w:rPr>
                <w:b/>
                <w:i/>
                <w:sz w:val="20"/>
                <w:szCs w:val="20"/>
                <w:lang w:val="en-US"/>
              </w:rPr>
              <w:t>2002 NZCNS</w:t>
            </w:r>
          </w:p>
        </w:tc>
        <w:tc>
          <w:tcPr>
            <w:tcW w:w="821" w:type="pct"/>
            <w:tcBorders>
              <w:bottom w:val="single" w:sz="4" w:space="0" w:color="auto"/>
            </w:tcBorders>
            <w:shd w:val="clear" w:color="auto" w:fill="B8CCE4" w:themeFill="accent1" w:themeFillTint="66"/>
            <w:noWrap/>
            <w:tcMar>
              <w:top w:w="11" w:type="dxa"/>
              <w:left w:w="11" w:type="dxa"/>
              <w:bottom w:w="0" w:type="dxa"/>
              <w:right w:w="11" w:type="dxa"/>
            </w:tcMar>
            <w:vAlign w:val="center"/>
          </w:tcPr>
          <w:p w14:paraId="443BC6DA" w14:textId="77777777" w:rsidR="00AD191F" w:rsidRPr="00F13FF2" w:rsidRDefault="00AD191F" w:rsidP="00D20A1E">
            <w:pPr>
              <w:keepNext/>
              <w:keepLines/>
              <w:widowControl/>
              <w:spacing w:before="60" w:after="60"/>
              <w:jc w:val="center"/>
              <w:rPr>
                <w:b/>
                <w:i/>
                <w:sz w:val="20"/>
                <w:szCs w:val="20"/>
                <w:lang w:val="en-US"/>
              </w:rPr>
            </w:pPr>
            <w:r w:rsidRPr="00F13FF2">
              <w:rPr>
                <w:b/>
                <w:i/>
                <w:sz w:val="20"/>
                <w:szCs w:val="20"/>
                <w:lang w:val="en-US"/>
              </w:rPr>
              <w:t>2008 NZANS</w:t>
            </w:r>
          </w:p>
        </w:tc>
      </w:tr>
      <w:tr w:rsidR="00AD191F" w14:paraId="6FCF4E72" w14:textId="77777777" w:rsidTr="00050B1C">
        <w:trPr>
          <w:trHeight w:val="276"/>
        </w:trPr>
        <w:tc>
          <w:tcPr>
            <w:tcW w:w="633" w:type="pct"/>
            <w:noWrap/>
            <w:tcMar>
              <w:top w:w="11" w:type="dxa"/>
              <w:left w:w="11" w:type="dxa"/>
              <w:bottom w:w="0" w:type="dxa"/>
              <w:right w:w="11" w:type="dxa"/>
            </w:tcMar>
            <w:vAlign w:val="center"/>
          </w:tcPr>
          <w:p w14:paraId="27897370" w14:textId="77777777" w:rsidR="00AD191F" w:rsidRPr="00F13FF2" w:rsidRDefault="00AD191F" w:rsidP="00D20A1E">
            <w:pPr>
              <w:keepNext/>
              <w:keepLines/>
              <w:widowControl/>
              <w:spacing w:before="60" w:after="60"/>
              <w:rPr>
                <w:rFonts w:eastAsia="Arial Unicode MS"/>
                <w:sz w:val="20"/>
                <w:szCs w:val="20"/>
              </w:rPr>
            </w:pPr>
            <w:r w:rsidRPr="00F13FF2">
              <w:rPr>
                <w:sz w:val="20"/>
                <w:szCs w:val="20"/>
              </w:rPr>
              <w:t>15 years and above</w:t>
            </w:r>
          </w:p>
        </w:tc>
        <w:tc>
          <w:tcPr>
            <w:tcW w:w="591" w:type="pct"/>
            <w:vAlign w:val="center"/>
          </w:tcPr>
          <w:p w14:paraId="5F1E6242" w14:textId="77777777" w:rsidR="00AD191F" w:rsidRPr="00F13FF2" w:rsidRDefault="00AD191F" w:rsidP="00D20A1E">
            <w:pPr>
              <w:keepNext/>
              <w:keepLines/>
              <w:widowControl/>
              <w:tabs>
                <w:tab w:val="decimal" w:pos="1033"/>
              </w:tabs>
              <w:spacing w:before="60" w:after="60"/>
              <w:rPr>
                <w:rFonts w:cs="Arial"/>
                <w:sz w:val="20"/>
                <w:szCs w:val="20"/>
              </w:rPr>
            </w:pPr>
            <w:r w:rsidRPr="00F13FF2">
              <w:rPr>
                <w:rFonts w:cs="Arial"/>
                <w:sz w:val="20"/>
                <w:szCs w:val="20"/>
              </w:rPr>
              <w:t>4,636</w:t>
            </w:r>
          </w:p>
        </w:tc>
        <w:tc>
          <w:tcPr>
            <w:tcW w:w="657" w:type="pct"/>
            <w:shd w:val="clear" w:color="auto" w:fill="D9D9D9" w:themeFill="background1" w:themeFillShade="D9"/>
            <w:vAlign w:val="center"/>
          </w:tcPr>
          <w:p w14:paraId="2BAC5E43" w14:textId="77777777" w:rsidR="00AD191F" w:rsidRPr="00F13FF2" w:rsidRDefault="00AD191F" w:rsidP="00D20A1E">
            <w:pPr>
              <w:keepNext/>
              <w:keepLines/>
              <w:widowControl/>
              <w:tabs>
                <w:tab w:val="decimal" w:pos="1045"/>
              </w:tabs>
              <w:spacing w:before="60" w:after="60"/>
              <w:rPr>
                <w:rFonts w:cs="Arial"/>
                <w:sz w:val="20"/>
                <w:szCs w:val="20"/>
              </w:rPr>
            </w:pPr>
            <w:r w:rsidRPr="00F13FF2">
              <w:rPr>
                <w:rFonts w:cs="Arial"/>
                <w:sz w:val="20"/>
                <w:szCs w:val="20"/>
              </w:rPr>
              <w:t>n/a</w:t>
            </w:r>
          </w:p>
        </w:tc>
        <w:tc>
          <w:tcPr>
            <w:tcW w:w="657" w:type="pct"/>
            <w:vAlign w:val="center"/>
          </w:tcPr>
          <w:p w14:paraId="0EA8F37B" w14:textId="77777777" w:rsidR="00AD191F" w:rsidRPr="00F13FF2" w:rsidRDefault="00AD191F" w:rsidP="00D20A1E">
            <w:pPr>
              <w:keepNext/>
              <w:keepLines/>
              <w:widowControl/>
              <w:spacing w:before="60" w:after="60"/>
              <w:jc w:val="center"/>
              <w:rPr>
                <w:rFonts w:cs="Arial"/>
                <w:sz w:val="20"/>
                <w:szCs w:val="20"/>
              </w:rPr>
            </w:pPr>
            <w:r w:rsidRPr="00F13FF2">
              <w:rPr>
                <w:rFonts w:cs="Arial"/>
                <w:sz w:val="20"/>
                <w:szCs w:val="20"/>
              </w:rPr>
              <w:t>4,721</w:t>
            </w:r>
          </w:p>
        </w:tc>
        <w:tc>
          <w:tcPr>
            <w:tcW w:w="821" w:type="pct"/>
            <w:shd w:val="clear" w:color="auto" w:fill="auto"/>
            <w:noWrap/>
            <w:tcMar>
              <w:top w:w="11" w:type="dxa"/>
              <w:left w:w="11" w:type="dxa"/>
              <w:bottom w:w="0" w:type="dxa"/>
              <w:right w:w="11" w:type="dxa"/>
            </w:tcMar>
            <w:vAlign w:val="center"/>
          </w:tcPr>
          <w:p w14:paraId="02915F93" w14:textId="1C5EBF41" w:rsidR="00AD191F" w:rsidRPr="00F13FF2" w:rsidRDefault="00CA36B6"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9,375</w:t>
            </w:r>
          </w:p>
        </w:tc>
        <w:tc>
          <w:tcPr>
            <w:tcW w:w="821" w:type="pct"/>
            <w:tcBorders>
              <w:bottom w:val="single" w:sz="4" w:space="0" w:color="auto"/>
            </w:tcBorders>
            <w:shd w:val="clear" w:color="auto" w:fill="D9D9D9" w:themeFill="background1" w:themeFillShade="D9"/>
            <w:noWrap/>
            <w:tcMar>
              <w:top w:w="11" w:type="dxa"/>
              <w:left w:w="11" w:type="dxa"/>
              <w:bottom w:w="0" w:type="dxa"/>
              <w:right w:w="11" w:type="dxa"/>
            </w:tcMar>
            <w:vAlign w:val="center"/>
          </w:tcPr>
          <w:p w14:paraId="1E0C2C1F" w14:textId="77777777" w:rsidR="00AD191F" w:rsidRPr="00F13FF2" w:rsidRDefault="00AD191F" w:rsidP="00D20A1E">
            <w:pPr>
              <w:keepNext/>
              <w:keepLines/>
              <w:widowControl/>
              <w:spacing w:before="60" w:after="60"/>
              <w:jc w:val="center"/>
              <w:rPr>
                <w:rFonts w:eastAsia="Arial Unicode MS" w:cs="Arial"/>
                <w:sz w:val="20"/>
                <w:szCs w:val="20"/>
              </w:rPr>
            </w:pPr>
            <w:r w:rsidRPr="00F13FF2">
              <w:rPr>
                <w:rFonts w:cs="Arial"/>
                <w:sz w:val="20"/>
                <w:szCs w:val="20"/>
              </w:rPr>
              <w:t>n/a</w:t>
            </w:r>
          </w:p>
        </w:tc>
        <w:tc>
          <w:tcPr>
            <w:tcW w:w="821" w:type="pct"/>
            <w:shd w:val="clear" w:color="auto" w:fill="auto"/>
            <w:noWrap/>
            <w:tcMar>
              <w:top w:w="11" w:type="dxa"/>
              <w:left w:w="11" w:type="dxa"/>
              <w:bottom w:w="0" w:type="dxa"/>
              <w:right w:w="11" w:type="dxa"/>
            </w:tcMar>
            <w:vAlign w:val="center"/>
          </w:tcPr>
          <w:p w14:paraId="54057110" w14:textId="458DD2C5" w:rsidR="00AD191F" w:rsidRPr="00F13FF2" w:rsidRDefault="006E110D"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9,105</w:t>
            </w:r>
          </w:p>
        </w:tc>
      </w:tr>
      <w:tr w:rsidR="00AD191F" w14:paraId="1EE286E1" w14:textId="77777777" w:rsidTr="00050B1C">
        <w:trPr>
          <w:trHeight w:val="276"/>
        </w:trPr>
        <w:tc>
          <w:tcPr>
            <w:tcW w:w="633" w:type="pct"/>
            <w:noWrap/>
            <w:tcMar>
              <w:top w:w="11" w:type="dxa"/>
              <w:left w:w="11" w:type="dxa"/>
              <w:bottom w:w="0" w:type="dxa"/>
              <w:right w:w="11" w:type="dxa"/>
            </w:tcMar>
            <w:vAlign w:val="center"/>
          </w:tcPr>
          <w:p w14:paraId="7F01713C" w14:textId="14A60A85" w:rsidR="00AD191F" w:rsidRPr="00F13FF2" w:rsidRDefault="00AD191F" w:rsidP="00D20A1E">
            <w:pPr>
              <w:keepNext/>
              <w:keepLines/>
              <w:widowControl/>
              <w:spacing w:before="60" w:after="60"/>
              <w:rPr>
                <w:sz w:val="20"/>
                <w:szCs w:val="20"/>
              </w:rPr>
            </w:pPr>
            <w:r w:rsidRPr="00F13FF2">
              <w:rPr>
                <w:sz w:val="20"/>
                <w:szCs w:val="20"/>
              </w:rPr>
              <w:t>5</w:t>
            </w:r>
            <w:r w:rsidR="00733E40">
              <w:rPr>
                <w:sz w:val="20"/>
                <w:szCs w:val="20"/>
              </w:rPr>
              <w:t>–</w:t>
            </w:r>
            <w:r w:rsidRPr="00F13FF2">
              <w:rPr>
                <w:sz w:val="20"/>
                <w:szCs w:val="20"/>
              </w:rPr>
              <w:t>14 years</w:t>
            </w:r>
          </w:p>
        </w:tc>
        <w:tc>
          <w:tcPr>
            <w:tcW w:w="591" w:type="pct"/>
            <w:shd w:val="clear" w:color="auto" w:fill="D9D9D9" w:themeFill="background1" w:themeFillShade="D9"/>
            <w:vAlign w:val="center"/>
          </w:tcPr>
          <w:p w14:paraId="7561F45E" w14:textId="77777777" w:rsidR="00AD191F" w:rsidRPr="00F13FF2" w:rsidRDefault="00AD191F" w:rsidP="00D20A1E">
            <w:pPr>
              <w:keepNext/>
              <w:keepLines/>
              <w:widowControl/>
              <w:tabs>
                <w:tab w:val="decimal" w:pos="1033"/>
              </w:tabs>
              <w:spacing w:before="60" w:after="60"/>
              <w:rPr>
                <w:rFonts w:cs="Arial"/>
                <w:sz w:val="20"/>
                <w:szCs w:val="20"/>
              </w:rPr>
            </w:pPr>
            <w:r w:rsidRPr="00F13FF2">
              <w:rPr>
                <w:rFonts w:cs="Arial"/>
                <w:sz w:val="20"/>
                <w:szCs w:val="20"/>
              </w:rPr>
              <w:t>n/a</w:t>
            </w:r>
          </w:p>
        </w:tc>
        <w:tc>
          <w:tcPr>
            <w:tcW w:w="657" w:type="pct"/>
            <w:vAlign w:val="center"/>
          </w:tcPr>
          <w:p w14:paraId="49E8B7CE" w14:textId="77777777" w:rsidR="00AD191F" w:rsidRPr="00F13FF2" w:rsidRDefault="00AD191F" w:rsidP="00D20A1E">
            <w:pPr>
              <w:keepNext/>
              <w:keepLines/>
              <w:widowControl/>
              <w:tabs>
                <w:tab w:val="decimal" w:pos="1045"/>
              </w:tabs>
              <w:spacing w:before="60" w:after="60"/>
              <w:rPr>
                <w:rFonts w:cs="Arial"/>
                <w:sz w:val="20"/>
                <w:szCs w:val="20"/>
              </w:rPr>
            </w:pPr>
            <w:r w:rsidRPr="00F13FF2">
              <w:rPr>
                <w:rFonts w:cs="Arial"/>
                <w:sz w:val="20"/>
                <w:szCs w:val="20"/>
              </w:rPr>
              <w:t>3,275</w:t>
            </w:r>
          </w:p>
        </w:tc>
        <w:tc>
          <w:tcPr>
            <w:tcW w:w="657" w:type="pct"/>
            <w:shd w:val="clear" w:color="auto" w:fill="D9D9D9" w:themeFill="background1" w:themeFillShade="D9"/>
            <w:vAlign w:val="center"/>
          </w:tcPr>
          <w:p w14:paraId="7FE024D6" w14:textId="77777777" w:rsidR="00AD191F" w:rsidRPr="00F13FF2" w:rsidRDefault="00AD191F" w:rsidP="00D20A1E">
            <w:pPr>
              <w:keepNext/>
              <w:keepLines/>
              <w:widowControl/>
              <w:spacing w:before="60" w:after="60"/>
              <w:jc w:val="center"/>
              <w:rPr>
                <w:rFonts w:cs="Arial"/>
                <w:sz w:val="20"/>
                <w:szCs w:val="20"/>
              </w:rPr>
            </w:pPr>
            <w:r w:rsidRPr="00F13FF2">
              <w:rPr>
                <w:rFonts w:cs="Arial"/>
                <w:sz w:val="20"/>
                <w:szCs w:val="20"/>
              </w:rPr>
              <w:t>n/a</w:t>
            </w:r>
          </w:p>
        </w:tc>
        <w:tc>
          <w:tcPr>
            <w:tcW w:w="821" w:type="pct"/>
            <w:shd w:val="clear" w:color="auto" w:fill="D9D9D9" w:themeFill="background1" w:themeFillShade="D9"/>
            <w:noWrap/>
            <w:tcMar>
              <w:top w:w="11" w:type="dxa"/>
              <w:left w:w="11" w:type="dxa"/>
              <w:bottom w:w="0" w:type="dxa"/>
              <w:right w:w="11" w:type="dxa"/>
            </w:tcMar>
            <w:vAlign w:val="center"/>
          </w:tcPr>
          <w:p w14:paraId="54F21F20" w14:textId="77777777" w:rsidR="00AD191F" w:rsidRPr="00F13FF2" w:rsidRDefault="00AD191F" w:rsidP="00D20A1E">
            <w:pPr>
              <w:keepNext/>
              <w:keepLines/>
              <w:widowControl/>
              <w:spacing w:before="60" w:after="60"/>
              <w:jc w:val="center"/>
              <w:rPr>
                <w:rFonts w:cs="Arial"/>
                <w:sz w:val="20"/>
                <w:szCs w:val="20"/>
              </w:rPr>
            </w:pPr>
            <w:r w:rsidRPr="00F13FF2">
              <w:rPr>
                <w:rFonts w:cs="Arial"/>
                <w:sz w:val="20"/>
                <w:szCs w:val="20"/>
              </w:rPr>
              <w:t>n/a</w:t>
            </w:r>
          </w:p>
        </w:tc>
        <w:tc>
          <w:tcPr>
            <w:tcW w:w="821" w:type="pct"/>
            <w:shd w:val="clear" w:color="auto" w:fill="auto"/>
            <w:noWrap/>
            <w:tcMar>
              <w:top w:w="11" w:type="dxa"/>
              <w:left w:w="11" w:type="dxa"/>
              <w:bottom w:w="0" w:type="dxa"/>
              <w:right w:w="11" w:type="dxa"/>
            </w:tcMar>
            <w:vAlign w:val="center"/>
          </w:tcPr>
          <w:p w14:paraId="67A0F25A" w14:textId="1B47CB3D" w:rsidR="00AD191F" w:rsidRPr="00F13FF2" w:rsidRDefault="00CA36B6" w:rsidP="00D20A1E">
            <w:pPr>
              <w:keepNext/>
              <w:keepLines/>
              <w:widowControl/>
              <w:spacing w:before="60" w:after="60"/>
              <w:jc w:val="center"/>
              <w:rPr>
                <w:rFonts w:eastAsia="Arial Unicode MS" w:cs="Arial"/>
                <w:sz w:val="20"/>
                <w:szCs w:val="20"/>
              </w:rPr>
            </w:pPr>
            <w:r w:rsidRPr="00F13FF2">
              <w:rPr>
                <w:rFonts w:eastAsia="Arial Unicode MS" w:cs="Arial"/>
                <w:sz w:val="20"/>
                <w:szCs w:val="20"/>
              </w:rPr>
              <w:t>8,618</w:t>
            </w:r>
          </w:p>
        </w:tc>
        <w:tc>
          <w:tcPr>
            <w:tcW w:w="821" w:type="pct"/>
            <w:shd w:val="clear" w:color="auto" w:fill="D9D9D9" w:themeFill="background1" w:themeFillShade="D9"/>
            <w:noWrap/>
            <w:tcMar>
              <w:top w:w="11" w:type="dxa"/>
              <w:left w:w="11" w:type="dxa"/>
              <w:bottom w:w="0" w:type="dxa"/>
              <w:right w:w="11" w:type="dxa"/>
            </w:tcMar>
            <w:vAlign w:val="center"/>
          </w:tcPr>
          <w:p w14:paraId="247E5DD5" w14:textId="77777777" w:rsidR="00AD191F" w:rsidRPr="00F13FF2" w:rsidRDefault="00AD191F" w:rsidP="00D20A1E">
            <w:pPr>
              <w:keepNext/>
              <w:keepLines/>
              <w:widowControl/>
              <w:spacing w:before="60" w:after="60"/>
              <w:jc w:val="center"/>
              <w:rPr>
                <w:rFonts w:eastAsia="Arial Unicode MS" w:cs="Arial"/>
                <w:sz w:val="20"/>
                <w:szCs w:val="20"/>
              </w:rPr>
            </w:pPr>
            <w:r w:rsidRPr="00F13FF2">
              <w:rPr>
                <w:rFonts w:cs="Arial"/>
                <w:sz w:val="20"/>
                <w:szCs w:val="20"/>
              </w:rPr>
              <w:t>n/a</w:t>
            </w:r>
          </w:p>
        </w:tc>
      </w:tr>
    </w:tbl>
    <w:p w14:paraId="735D18B0" w14:textId="47D47408" w:rsidR="00AD191F" w:rsidRPr="00780B89" w:rsidRDefault="00AD191F" w:rsidP="00D20A1E">
      <w:pPr>
        <w:widowControl/>
        <w:rPr>
          <w:sz w:val="18"/>
          <w:szCs w:val="18"/>
        </w:rPr>
      </w:pPr>
      <w:r w:rsidRPr="00F13FF2">
        <w:rPr>
          <w:bCs/>
          <w:sz w:val="18"/>
          <w:szCs w:val="18"/>
          <w:vertAlign w:val="superscript"/>
        </w:rPr>
        <w:sym w:font="Wingdings 2" w:char="F0D8"/>
      </w:r>
      <w:r w:rsidRPr="00780B89">
        <w:rPr>
          <w:sz w:val="18"/>
          <w:szCs w:val="18"/>
        </w:rPr>
        <w:tab/>
      </w:r>
      <w:r w:rsidR="00B4525E" w:rsidRPr="00780B89">
        <w:rPr>
          <w:sz w:val="18"/>
          <w:szCs w:val="18"/>
        </w:rPr>
        <w:t xml:space="preserve">All </w:t>
      </w:r>
      <w:r w:rsidR="00B4525E">
        <w:rPr>
          <w:sz w:val="18"/>
          <w:szCs w:val="18"/>
        </w:rPr>
        <w:t>energy</w:t>
      </w:r>
      <w:r w:rsidR="00B4525E" w:rsidRPr="00780B89">
        <w:rPr>
          <w:sz w:val="18"/>
          <w:szCs w:val="18"/>
        </w:rPr>
        <w:t xml:space="preserve"> intakes have been rounded to the nearest </w:t>
      </w:r>
      <w:r w:rsidR="00B4525E">
        <w:rPr>
          <w:sz w:val="18"/>
          <w:szCs w:val="18"/>
        </w:rPr>
        <w:t xml:space="preserve">five kilojoules. Energy intake does </w:t>
      </w:r>
      <w:r w:rsidR="00B4525E" w:rsidRPr="00B4525E">
        <w:rPr>
          <w:sz w:val="18"/>
          <w:szCs w:val="18"/>
          <w:u w:val="single"/>
        </w:rPr>
        <w:t>not</w:t>
      </w:r>
      <w:r w:rsidR="00B4525E">
        <w:rPr>
          <w:sz w:val="18"/>
          <w:szCs w:val="18"/>
        </w:rPr>
        <w:t xml:space="preserve"> </w:t>
      </w:r>
      <w:r w:rsidR="00B4525E" w:rsidRPr="00B4525E">
        <w:rPr>
          <w:sz w:val="18"/>
          <w:szCs w:val="18"/>
        </w:rPr>
        <w:t>include</w:t>
      </w:r>
      <w:r w:rsidR="00B4525E">
        <w:rPr>
          <w:sz w:val="18"/>
          <w:szCs w:val="18"/>
        </w:rPr>
        <w:t xml:space="preserve"> dietary fibre.</w:t>
      </w:r>
    </w:p>
    <w:p w14:paraId="5589058E" w14:textId="5956290D" w:rsidR="00AD191F" w:rsidRDefault="00AD191F" w:rsidP="00D20A1E">
      <w:pPr>
        <w:widowControl/>
        <w:rPr>
          <w:sz w:val="18"/>
          <w:szCs w:val="18"/>
        </w:rPr>
      </w:pPr>
      <w:r w:rsidRPr="00780B89">
        <w:rPr>
          <w:sz w:val="18"/>
          <w:szCs w:val="18"/>
        </w:rPr>
        <w:t>Gr</w:t>
      </w:r>
      <w:r w:rsidR="00733E40">
        <w:rPr>
          <w:sz w:val="18"/>
          <w:szCs w:val="18"/>
        </w:rPr>
        <w:t>e</w:t>
      </w:r>
      <w:r w:rsidRPr="00780B89">
        <w:rPr>
          <w:sz w:val="18"/>
          <w:szCs w:val="18"/>
        </w:rPr>
        <w:t>y shading indicates that data are not available</w:t>
      </w:r>
    </w:p>
    <w:p w14:paraId="30BAB823" w14:textId="68C698A9" w:rsidR="00511A29" w:rsidRDefault="00511A29" w:rsidP="00D20A1E">
      <w:pPr>
        <w:widowControl/>
        <w:rPr>
          <w:sz w:val="18"/>
          <w:szCs w:val="18"/>
          <w:lang w:val="en-US"/>
        </w:rPr>
      </w:pPr>
    </w:p>
    <w:p w14:paraId="44512D9D" w14:textId="77777777" w:rsidR="00511A29" w:rsidRDefault="00511A29" w:rsidP="00D20A1E">
      <w:pPr>
        <w:widowControl/>
        <w:rPr>
          <w:sz w:val="18"/>
          <w:szCs w:val="18"/>
          <w:lang w:val="en-US"/>
        </w:rPr>
      </w:pPr>
      <w:r>
        <w:rPr>
          <w:sz w:val="18"/>
          <w:szCs w:val="18"/>
          <w:lang w:val="en-US"/>
        </w:rPr>
        <w:br w:type="page"/>
      </w:r>
    </w:p>
    <w:p w14:paraId="7B04E387" w14:textId="0965E2BC" w:rsidR="001D0FBF" w:rsidRDefault="00B141C8" w:rsidP="0023423F">
      <w:pPr>
        <w:pStyle w:val="Heading2"/>
      </w:pPr>
      <w:bookmarkStart w:id="212" w:name="_Toc427672199"/>
      <w:bookmarkStart w:id="213" w:name="_Toc427678265"/>
      <w:r>
        <w:lastRenderedPageBreak/>
        <w:t xml:space="preserve">Appendix </w:t>
      </w:r>
      <w:fldSimple w:instr=" SEQ Appendix \* ARABIC ">
        <w:r w:rsidR="00047581">
          <w:rPr>
            <w:noProof/>
          </w:rPr>
          <w:t>2</w:t>
        </w:r>
      </w:fldSimple>
      <w:r w:rsidR="0023423F">
        <w:rPr>
          <w:noProof/>
        </w:rPr>
        <w:t xml:space="preserve"> – </w:t>
      </w:r>
      <w:r>
        <w:t xml:space="preserve">Summary of </w:t>
      </w:r>
      <w:r w:rsidR="00511A29">
        <w:t>risk assessment questions and answers</w:t>
      </w:r>
      <w:bookmarkEnd w:id="212"/>
      <w:bookmarkEnd w:id="213"/>
    </w:p>
    <w:tbl>
      <w:tblPr>
        <w:tblStyle w:val="TableGrid"/>
        <w:tblW w:w="5000" w:type="pct"/>
        <w:tblLook w:val="04A0" w:firstRow="1" w:lastRow="0" w:firstColumn="1" w:lastColumn="0" w:noHBand="0" w:noVBand="1"/>
      </w:tblPr>
      <w:tblGrid>
        <w:gridCol w:w="4502"/>
        <w:gridCol w:w="5168"/>
        <w:gridCol w:w="4504"/>
      </w:tblGrid>
      <w:tr w:rsidR="00511A29" w:rsidRPr="00F3545E" w14:paraId="0125B5EE" w14:textId="77777777" w:rsidTr="00733E40">
        <w:trPr>
          <w:cantSplit/>
          <w:tblHeader/>
        </w:trPr>
        <w:tc>
          <w:tcPr>
            <w:tcW w:w="1588" w:type="pct"/>
            <w:tcBorders>
              <w:bottom w:val="single" w:sz="4" w:space="0" w:color="000000"/>
            </w:tcBorders>
          </w:tcPr>
          <w:p w14:paraId="6AA5DC79" w14:textId="446D849D" w:rsidR="00511A29" w:rsidRPr="00F3545E" w:rsidRDefault="00511A29" w:rsidP="00D20A1E">
            <w:pPr>
              <w:widowControl/>
              <w:rPr>
                <w:rFonts w:cs="Arial"/>
                <w:b/>
                <w:sz w:val="20"/>
                <w:szCs w:val="20"/>
              </w:rPr>
            </w:pPr>
            <w:r w:rsidRPr="00F3545E">
              <w:rPr>
                <w:rFonts w:cs="Arial"/>
                <w:b/>
                <w:sz w:val="20"/>
                <w:szCs w:val="20"/>
              </w:rPr>
              <w:t>Question Type</w:t>
            </w:r>
          </w:p>
        </w:tc>
        <w:tc>
          <w:tcPr>
            <w:tcW w:w="1823" w:type="pct"/>
          </w:tcPr>
          <w:p w14:paraId="78080C0F" w14:textId="38855A0C" w:rsidR="00511A29" w:rsidRPr="00F3545E" w:rsidRDefault="00511A29" w:rsidP="00D20A1E">
            <w:pPr>
              <w:widowControl/>
              <w:rPr>
                <w:rFonts w:cs="Arial"/>
                <w:b/>
                <w:sz w:val="20"/>
                <w:szCs w:val="20"/>
              </w:rPr>
            </w:pPr>
            <w:r w:rsidRPr="00F3545E">
              <w:rPr>
                <w:rFonts w:cs="Arial"/>
                <w:b/>
                <w:sz w:val="20"/>
                <w:szCs w:val="20"/>
              </w:rPr>
              <w:t>Question</w:t>
            </w:r>
          </w:p>
        </w:tc>
        <w:tc>
          <w:tcPr>
            <w:tcW w:w="1589" w:type="pct"/>
          </w:tcPr>
          <w:p w14:paraId="67C3902F" w14:textId="0C9D6010" w:rsidR="00511A29" w:rsidRPr="00F3545E" w:rsidRDefault="009F7DC3" w:rsidP="00D20A1E">
            <w:pPr>
              <w:widowControl/>
              <w:rPr>
                <w:rFonts w:cs="Arial"/>
                <w:b/>
                <w:sz w:val="20"/>
                <w:szCs w:val="20"/>
              </w:rPr>
            </w:pPr>
            <w:r w:rsidRPr="00F3545E">
              <w:rPr>
                <w:rFonts w:cs="Arial"/>
                <w:b/>
                <w:sz w:val="20"/>
                <w:szCs w:val="20"/>
              </w:rPr>
              <w:t xml:space="preserve">Location of </w:t>
            </w:r>
            <w:r w:rsidR="00511A29" w:rsidRPr="00F3545E">
              <w:rPr>
                <w:rFonts w:cs="Arial"/>
                <w:b/>
                <w:sz w:val="20"/>
                <w:szCs w:val="20"/>
              </w:rPr>
              <w:t>Response</w:t>
            </w:r>
            <w:r w:rsidRPr="00F3545E">
              <w:rPr>
                <w:rFonts w:cs="Arial"/>
                <w:b/>
                <w:sz w:val="20"/>
                <w:szCs w:val="20"/>
              </w:rPr>
              <w:t xml:space="preserve"> in Report</w:t>
            </w:r>
          </w:p>
        </w:tc>
      </w:tr>
      <w:tr w:rsidR="00F3545E" w:rsidRPr="00F3545E" w14:paraId="716601BA" w14:textId="77777777" w:rsidTr="00733E40">
        <w:trPr>
          <w:cantSplit/>
        </w:trPr>
        <w:tc>
          <w:tcPr>
            <w:tcW w:w="1588" w:type="pct"/>
            <w:tcBorders>
              <w:bottom w:val="nil"/>
            </w:tcBorders>
          </w:tcPr>
          <w:p w14:paraId="1EC113ED" w14:textId="339DAC1B" w:rsidR="00F3545E" w:rsidRPr="00F3545E" w:rsidRDefault="00F3545E" w:rsidP="00D20A1E">
            <w:pPr>
              <w:widowControl/>
              <w:rPr>
                <w:rFonts w:cs="Arial"/>
                <w:sz w:val="20"/>
                <w:szCs w:val="20"/>
              </w:rPr>
            </w:pPr>
            <w:r w:rsidRPr="00F3545E">
              <w:rPr>
                <w:rFonts w:cs="Arial"/>
                <w:sz w:val="20"/>
                <w:szCs w:val="20"/>
              </w:rPr>
              <w:t>Consumption patterns and market share</w:t>
            </w:r>
          </w:p>
        </w:tc>
        <w:tc>
          <w:tcPr>
            <w:tcW w:w="1823" w:type="pct"/>
          </w:tcPr>
          <w:p w14:paraId="702621DE" w14:textId="59EB147B" w:rsidR="00F3545E" w:rsidRPr="00686EE1" w:rsidRDefault="00F3545E" w:rsidP="00D20A1E">
            <w:pPr>
              <w:widowControl/>
              <w:rPr>
                <w:rFonts w:cs="Arial"/>
                <w:sz w:val="20"/>
                <w:szCs w:val="20"/>
              </w:rPr>
            </w:pPr>
            <w:r w:rsidRPr="00686EE1">
              <w:rPr>
                <w:rFonts w:cs="Arial"/>
                <w:sz w:val="20"/>
                <w:szCs w:val="20"/>
              </w:rPr>
              <w:t xml:space="preserve">How do the usage patterns of </w:t>
            </w:r>
            <w:r w:rsidR="006C2FB7">
              <w:rPr>
                <w:rFonts w:cs="Arial"/>
                <w:sz w:val="20"/>
                <w:szCs w:val="20"/>
              </w:rPr>
              <w:t xml:space="preserve">nut- </w:t>
            </w:r>
            <w:r w:rsidRPr="00686EE1">
              <w:rPr>
                <w:rFonts w:cs="Arial"/>
                <w:sz w:val="20"/>
                <w:szCs w:val="20"/>
              </w:rPr>
              <w:t>and seed-</w:t>
            </w:r>
            <w:r w:rsidR="00733E40">
              <w:rPr>
                <w:rFonts w:cs="Arial"/>
                <w:sz w:val="20"/>
                <w:szCs w:val="20"/>
              </w:rPr>
              <w:t xml:space="preserve">based </w:t>
            </w:r>
            <w:r w:rsidRPr="00686EE1">
              <w:rPr>
                <w:rFonts w:cs="Arial"/>
                <w:sz w:val="20"/>
                <w:szCs w:val="20"/>
              </w:rPr>
              <w:t xml:space="preserve">beverages compare to usage patterns of milk by discrete consumers of these two foods in all population groups? For example, what proportions of total milk or </w:t>
            </w:r>
            <w:r w:rsidR="006C2FB7">
              <w:rPr>
                <w:rFonts w:cs="Arial"/>
                <w:sz w:val="20"/>
                <w:szCs w:val="20"/>
              </w:rPr>
              <w:t xml:space="preserve">nut- </w:t>
            </w:r>
            <w:r w:rsidRPr="00686EE1">
              <w:rPr>
                <w:rFonts w:cs="Arial"/>
                <w:sz w:val="20"/>
                <w:szCs w:val="20"/>
              </w:rPr>
              <w:t>and seed-</w:t>
            </w:r>
            <w:r w:rsidR="00733E40">
              <w:rPr>
                <w:rFonts w:cs="Arial"/>
                <w:sz w:val="20"/>
                <w:szCs w:val="20"/>
              </w:rPr>
              <w:t xml:space="preserve">based </w:t>
            </w:r>
            <w:r w:rsidRPr="00686EE1">
              <w:rPr>
                <w:rFonts w:cs="Arial"/>
                <w:sz w:val="20"/>
                <w:szCs w:val="20"/>
              </w:rPr>
              <w:t>beverages are consumed as a beverage, used on breakfast cereal, and for other uses?</w:t>
            </w:r>
          </w:p>
        </w:tc>
        <w:tc>
          <w:tcPr>
            <w:tcW w:w="1589" w:type="pct"/>
          </w:tcPr>
          <w:p w14:paraId="01EE44E4" w14:textId="46D4EBC6" w:rsidR="00F3545E" w:rsidRPr="00117D3B" w:rsidRDefault="00F3545E" w:rsidP="00D20A1E">
            <w:pPr>
              <w:widowControl/>
              <w:rPr>
                <w:rFonts w:cs="Arial"/>
                <w:sz w:val="20"/>
                <w:szCs w:val="20"/>
              </w:rPr>
            </w:pPr>
            <w:r w:rsidRPr="00117D3B">
              <w:rPr>
                <w:rFonts w:cs="Arial"/>
                <w:sz w:val="20"/>
                <w:szCs w:val="20"/>
              </w:rPr>
              <w:t xml:space="preserve">Section </w:t>
            </w:r>
            <w:r w:rsidRPr="00117D3B">
              <w:rPr>
                <w:rFonts w:cs="Arial"/>
                <w:sz w:val="20"/>
                <w:szCs w:val="20"/>
              </w:rPr>
              <w:fldChar w:fldCharType="begin"/>
            </w:r>
            <w:r w:rsidRPr="00117D3B">
              <w:rPr>
                <w:rFonts w:cs="Arial"/>
                <w:sz w:val="20"/>
                <w:szCs w:val="20"/>
              </w:rPr>
              <w:instrText xml:space="preserve"> REF _Ref421003676 \r \h </w:instrText>
            </w:r>
            <w:r w:rsidR="00117D3B">
              <w:rPr>
                <w:rFonts w:cs="Arial"/>
                <w:sz w:val="20"/>
                <w:szCs w:val="20"/>
              </w:rPr>
              <w:instrText xml:space="preserve"> \* MERGEFORMAT </w:instrText>
            </w:r>
            <w:r w:rsidRPr="00117D3B">
              <w:rPr>
                <w:rFonts w:cs="Arial"/>
                <w:sz w:val="20"/>
                <w:szCs w:val="20"/>
              </w:rPr>
            </w:r>
            <w:r w:rsidRPr="00117D3B">
              <w:rPr>
                <w:rFonts w:cs="Arial"/>
                <w:sz w:val="20"/>
                <w:szCs w:val="20"/>
              </w:rPr>
              <w:fldChar w:fldCharType="separate"/>
            </w:r>
            <w:r w:rsidR="00047581">
              <w:rPr>
                <w:rFonts w:cs="Arial"/>
                <w:sz w:val="20"/>
                <w:szCs w:val="20"/>
              </w:rPr>
              <w:t>3.3</w:t>
            </w:r>
            <w:r w:rsidRPr="00117D3B">
              <w:rPr>
                <w:rFonts w:cs="Arial"/>
                <w:sz w:val="20"/>
                <w:szCs w:val="20"/>
              </w:rPr>
              <w:fldChar w:fldCharType="end"/>
            </w:r>
            <w:r w:rsidRPr="00117D3B">
              <w:rPr>
                <w:rFonts w:cs="Arial"/>
                <w:sz w:val="20"/>
                <w:szCs w:val="20"/>
              </w:rPr>
              <w:t xml:space="preserve"> – </w:t>
            </w:r>
            <w:r w:rsidRPr="00117D3B">
              <w:rPr>
                <w:rFonts w:cs="Arial"/>
                <w:sz w:val="20"/>
                <w:szCs w:val="20"/>
              </w:rPr>
              <w:fldChar w:fldCharType="begin"/>
            </w:r>
            <w:r w:rsidRPr="00117D3B">
              <w:rPr>
                <w:rFonts w:cs="Arial"/>
                <w:sz w:val="20"/>
                <w:szCs w:val="20"/>
              </w:rPr>
              <w:instrText xml:space="preserve"> REF _Ref421003684 \h </w:instrText>
            </w:r>
            <w:r w:rsidR="00117D3B">
              <w:rPr>
                <w:rFonts w:cs="Arial"/>
                <w:sz w:val="20"/>
                <w:szCs w:val="20"/>
              </w:rPr>
              <w:instrText xml:space="preserve"> \* MERGEFORMAT </w:instrText>
            </w:r>
            <w:r w:rsidRPr="00117D3B">
              <w:rPr>
                <w:rFonts w:cs="Arial"/>
                <w:sz w:val="20"/>
                <w:szCs w:val="20"/>
              </w:rPr>
            </w:r>
            <w:r w:rsidRPr="00117D3B">
              <w:rPr>
                <w:rFonts w:cs="Arial"/>
                <w:sz w:val="20"/>
                <w:szCs w:val="20"/>
              </w:rPr>
              <w:fldChar w:fldCharType="separate"/>
            </w:r>
            <w:r w:rsidR="00047581" w:rsidRPr="00047581">
              <w:rPr>
                <w:sz w:val="20"/>
                <w:szCs w:val="20"/>
              </w:rPr>
              <w:t>How nut-based beverages and other plant-based milk substitutes are consumed</w:t>
            </w:r>
            <w:r w:rsidRPr="00117D3B">
              <w:rPr>
                <w:rFonts w:cs="Arial"/>
                <w:sz w:val="20"/>
                <w:szCs w:val="20"/>
              </w:rPr>
              <w:fldChar w:fldCharType="end"/>
            </w:r>
          </w:p>
        </w:tc>
      </w:tr>
      <w:tr w:rsidR="00F3545E" w:rsidRPr="00F3545E" w14:paraId="5D790579" w14:textId="77777777" w:rsidTr="00733E40">
        <w:trPr>
          <w:cantSplit/>
        </w:trPr>
        <w:tc>
          <w:tcPr>
            <w:tcW w:w="1588" w:type="pct"/>
            <w:tcBorders>
              <w:top w:val="nil"/>
              <w:bottom w:val="nil"/>
            </w:tcBorders>
          </w:tcPr>
          <w:p w14:paraId="715D2C70" w14:textId="77777777" w:rsidR="00F3545E" w:rsidRPr="00F3545E" w:rsidRDefault="00F3545E" w:rsidP="00D20A1E">
            <w:pPr>
              <w:widowControl/>
              <w:rPr>
                <w:rFonts w:cs="Arial"/>
                <w:sz w:val="20"/>
                <w:szCs w:val="20"/>
              </w:rPr>
            </w:pPr>
          </w:p>
        </w:tc>
        <w:tc>
          <w:tcPr>
            <w:tcW w:w="1823" w:type="pct"/>
          </w:tcPr>
          <w:p w14:paraId="1E7EA5DF" w14:textId="6652E0B9" w:rsidR="00F3545E" w:rsidRPr="00F3545E" w:rsidRDefault="00F3545E" w:rsidP="00D20A1E">
            <w:pPr>
              <w:widowControl/>
              <w:rPr>
                <w:rFonts w:cs="Arial"/>
                <w:sz w:val="20"/>
                <w:szCs w:val="20"/>
              </w:rPr>
            </w:pPr>
            <w:r w:rsidRPr="00F3545E">
              <w:rPr>
                <w:rFonts w:cs="Arial"/>
                <w:sz w:val="20"/>
                <w:szCs w:val="20"/>
              </w:rPr>
              <w:t xml:space="preserve">What proportion of individuals who report consuming </w:t>
            </w:r>
            <w:r w:rsidR="006C2FB7">
              <w:rPr>
                <w:rFonts w:cs="Arial"/>
                <w:sz w:val="20"/>
                <w:szCs w:val="20"/>
              </w:rPr>
              <w:t xml:space="preserve">nut- </w:t>
            </w:r>
            <w:r w:rsidRPr="00F3545E">
              <w:rPr>
                <w:rFonts w:cs="Arial"/>
                <w:sz w:val="20"/>
                <w:szCs w:val="20"/>
              </w:rPr>
              <w:t>and seed-</w:t>
            </w:r>
            <w:r w:rsidR="00733E40">
              <w:rPr>
                <w:rFonts w:cs="Arial"/>
                <w:sz w:val="20"/>
                <w:szCs w:val="20"/>
              </w:rPr>
              <w:t xml:space="preserve">based </w:t>
            </w:r>
            <w:r w:rsidRPr="00F3545E">
              <w:rPr>
                <w:rFonts w:cs="Arial"/>
                <w:sz w:val="20"/>
                <w:szCs w:val="20"/>
              </w:rPr>
              <w:t>beverages also consume milk?</w:t>
            </w:r>
          </w:p>
        </w:tc>
        <w:tc>
          <w:tcPr>
            <w:tcW w:w="1589" w:type="pct"/>
          </w:tcPr>
          <w:p w14:paraId="7BAE261D" w14:textId="6BA7F1F2" w:rsidR="00F3545E" w:rsidRPr="00117D3B" w:rsidRDefault="00683CE9" w:rsidP="00D20A1E">
            <w:pPr>
              <w:widowControl/>
              <w:rPr>
                <w:rFonts w:cs="Arial"/>
                <w:sz w:val="20"/>
                <w:szCs w:val="20"/>
                <w:highlight w:val="yellow"/>
              </w:rPr>
            </w:pPr>
            <w:r w:rsidRPr="00117D3B">
              <w:rPr>
                <w:rFonts w:cs="Arial"/>
                <w:sz w:val="20"/>
                <w:szCs w:val="20"/>
              </w:rPr>
              <w:t xml:space="preserve">Section </w:t>
            </w:r>
            <w:r w:rsidR="003012D0">
              <w:rPr>
                <w:rFonts w:cs="Arial"/>
                <w:b/>
                <w:bCs/>
                <w:sz w:val="20"/>
                <w:szCs w:val="20"/>
                <w:lang w:val="en-US"/>
              </w:rPr>
              <w:fldChar w:fldCharType="begin"/>
            </w:r>
            <w:r w:rsidR="003012D0">
              <w:rPr>
                <w:rFonts w:cs="Arial"/>
                <w:sz w:val="20"/>
                <w:szCs w:val="20"/>
              </w:rPr>
              <w:instrText xml:space="preserve"> REF _Ref422210202 \r \h </w:instrText>
            </w:r>
            <w:r w:rsidR="003012D0">
              <w:rPr>
                <w:rFonts w:cs="Arial"/>
                <w:b/>
                <w:bCs/>
                <w:sz w:val="20"/>
                <w:szCs w:val="20"/>
                <w:lang w:val="en-US"/>
              </w:rPr>
            </w:r>
            <w:r w:rsidR="003012D0">
              <w:rPr>
                <w:rFonts w:cs="Arial"/>
                <w:b/>
                <w:bCs/>
                <w:sz w:val="20"/>
                <w:szCs w:val="20"/>
                <w:lang w:val="en-US"/>
              </w:rPr>
              <w:fldChar w:fldCharType="separate"/>
            </w:r>
            <w:r w:rsidR="00047581">
              <w:rPr>
                <w:rFonts w:cs="Arial"/>
                <w:sz w:val="20"/>
                <w:szCs w:val="20"/>
              </w:rPr>
              <w:t>3.2</w:t>
            </w:r>
            <w:r w:rsidR="003012D0">
              <w:rPr>
                <w:rFonts w:cs="Arial"/>
                <w:b/>
                <w:bCs/>
                <w:sz w:val="20"/>
                <w:szCs w:val="20"/>
                <w:lang w:val="en-US"/>
              </w:rPr>
              <w:fldChar w:fldCharType="end"/>
            </w:r>
            <w:r w:rsidR="003012D0">
              <w:rPr>
                <w:rFonts w:cs="Arial"/>
                <w:b/>
                <w:bCs/>
                <w:sz w:val="20"/>
                <w:szCs w:val="20"/>
                <w:lang w:val="en-US"/>
              </w:rPr>
              <w:t xml:space="preserve"> </w:t>
            </w:r>
            <w:r w:rsidR="00733E40">
              <w:rPr>
                <w:rFonts w:cs="Arial"/>
                <w:sz w:val="20"/>
                <w:szCs w:val="20"/>
              </w:rPr>
              <w:t>–</w:t>
            </w:r>
            <w:r w:rsidR="00117D3B" w:rsidRPr="003012D0">
              <w:rPr>
                <w:rFonts w:cs="Arial"/>
                <w:sz w:val="20"/>
                <w:szCs w:val="20"/>
              </w:rPr>
              <w:t xml:space="preserve"> </w:t>
            </w:r>
            <w:r w:rsidR="003012D0" w:rsidRPr="003012D0">
              <w:rPr>
                <w:rFonts w:cs="Arial"/>
                <w:sz w:val="20"/>
                <w:szCs w:val="20"/>
              </w:rPr>
              <w:fldChar w:fldCharType="begin"/>
            </w:r>
            <w:r w:rsidR="003012D0" w:rsidRPr="003012D0">
              <w:rPr>
                <w:rFonts w:cs="Arial"/>
                <w:sz w:val="20"/>
                <w:szCs w:val="20"/>
              </w:rPr>
              <w:instrText xml:space="preserve"> REF _Ref422210212 \h </w:instrText>
            </w:r>
            <w:r w:rsidR="003012D0">
              <w:rPr>
                <w:rFonts w:cs="Arial"/>
                <w:sz w:val="20"/>
                <w:szCs w:val="20"/>
              </w:rPr>
              <w:instrText xml:space="preserve"> \* MERGEFORMAT </w:instrText>
            </w:r>
            <w:r w:rsidR="003012D0" w:rsidRPr="003012D0">
              <w:rPr>
                <w:rFonts w:cs="Arial"/>
                <w:sz w:val="20"/>
                <w:szCs w:val="20"/>
              </w:rPr>
            </w:r>
            <w:r w:rsidR="003012D0" w:rsidRPr="003012D0">
              <w:rPr>
                <w:rFonts w:cs="Arial"/>
                <w:sz w:val="20"/>
                <w:szCs w:val="20"/>
              </w:rPr>
              <w:fldChar w:fldCharType="separate"/>
            </w:r>
            <w:r w:rsidR="00047581" w:rsidRPr="00047581">
              <w:rPr>
                <w:sz w:val="20"/>
                <w:szCs w:val="20"/>
              </w:rPr>
              <w:t>Proportion of the Australian and New Zealand populations consuming plant-based milk substitutes</w:t>
            </w:r>
            <w:r w:rsidR="003012D0" w:rsidRPr="003012D0">
              <w:rPr>
                <w:rFonts w:cs="Arial"/>
                <w:sz w:val="20"/>
                <w:szCs w:val="20"/>
              </w:rPr>
              <w:fldChar w:fldCharType="end"/>
            </w:r>
          </w:p>
        </w:tc>
      </w:tr>
      <w:tr w:rsidR="00F3545E" w:rsidRPr="00F3545E" w14:paraId="494E9CE9" w14:textId="77777777" w:rsidTr="00733E40">
        <w:trPr>
          <w:cantSplit/>
        </w:trPr>
        <w:tc>
          <w:tcPr>
            <w:tcW w:w="1588" w:type="pct"/>
            <w:tcBorders>
              <w:top w:val="nil"/>
              <w:bottom w:val="single" w:sz="4" w:space="0" w:color="000000"/>
            </w:tcBorders>
          </w:tcPr>
          <w:p w14:paraId="06D3CA1A" w14:textId="77777777" w:rsidR="00F3545E" w:rsidRPr="00F3545E" w:rsidRDefault="00F3545E" w:rsidP="00D20A1E">
            <w:pPr>
              <w:widowControl/>
              <w:rPr>
                <w:rFonts w:cs="Arial"/>
                <w:sz w:val="20"/>
                <w:szCs w:val="20"/>
              </w:rPr>
            </w:pPr>
          </w:p>
        </w:tc>
        <w:tc>
          <w:tcPr>
            <w:tcW w:w="1823" w:type="pct"/>
          </w:tcPr>
          <w:p w14:paraId="05FD0471" w14:textId="3450CD2B" w:rsidR="00F3545E" w:rsidRPr="00F3545E" w:rsidRDefault="00F3545E" w:rsidP="00D20A1E">
            <w:pPr>
              <w:widowControl/>
              <w:rPr>
                <w:rFonts w:cs="Arial"/>
                <w:sz w:val="20"/>
                <w:szCs w:val="20"/>
              </w:rPr>
            </w:pPr>
            <w:r w:rsidRPr="00F3545E">
              <w:rPr>
                <w:rFonts w:cs="Arial"/>
                <w:sz w:val="20"/>
                <w:szCs w:val="20"/>
              </w:rPr>
              <w:t xml:space="preserve">What impact on market share of the different types of milk analogues has the emergence and growth of </w:t>
            </w:r>
            <w:r w:rsidR="006C2FB7">
              <w:rPr>
                <w:rFonts w:cs="Arial"/>
                <w:sz w:val="20"/>
                <w:szCs w:val="20"/>
              </w:rPr>
              <w:t xml:space="preserve">nut- </w:t>
            </w:r>
            <w:r w:rsidRPr="00F3545E">
              <w:rPr>
                <w:rFonts w:cs="Arial"/>
                <w:sz w:val="20"/>
                <w:szCs w:val="20"/>
              </w:rPr>
              <w:t>and seed-</w:t>
            </w:r>
            <w:r w:rsidR="00733E40">
              <w:rPr>
                <w:rFonts w:cs="Arial"/>
                <w:sz w:val="20"/>
                <w:szCs w:val="20"/>
              </w:rPr>
              <w:t xml:space="preserve">based </w:t>
            </w:r>
            <w:r w:rsidRPr="00F3545E">
              <w:rPr>
                <w:rFonts w:cs="Arial"/>
                <w:sz w:val="20"/>
                <w:szCs w:val="20"/>
              </w:rPr>
              <w:t>beverages had over the past 5 years?</w:t>
            </w:r>
          </w:p>
        </w:tc>
        <w:tc>
          <w:tcPr>
            <w:tcW w:w="1589" w:type="pct"/>
          </w:tcPr>
          <w:p w14:paraId="56A010FB" w14:textId="1CA3331A" w:rsidR="00F3545E" w:rsidRPr="00117D3B" w:rsidRDefault="00F3545E" w:rsidP="00D20A1E">
            <w:pPr>
              <w:widowControl/>
              <w:rPr>
                <w:rFonts w:cs="Arial"/>
                <w:sz w:val="20"/>
                <w:szCs w:val="20"/>
              </w:rPr>
            </w:pPr>
            <w:r w:rsidRPr="00117D3B">
              <w:rPr>
                <w:rFonts w:cs="Arial"/>
                <w:sz w:val="20"/>
                <w:szCs w:val="20"/>
              </w:rPr>
              <w:t xml:space="preserve">Section </w:t>
            </w:r>
            <w:r w:rsidRPr="00117D3B">
              <w:rPr>
                <w:rFonts w:cs="Arial"/>
                <w:sz w:val="20"/>
                <w:szCs w:val="20"/>
              </w:rPr>
              <w:fldChar w:fldCharType="begin"/>
            </w:r>
            <w:r w:rsidRPr="00117D3B">
              <w:rPr>
                <w:rFonts w:cs="Arial"/>
                <w:sz w:val="20"/>
                <w:szCs w:val="20"/>
              </w:rPr>
              <w:instrText xml:space="preserve"> REF _Ref421003542 \r \h  \* MERGEFORMAT </w:instrText>
            </w:r>
            <w:r w:rsidRPr="00117D3B">
              <w:rPr>
                <w:rFonts w:cs="Arial"/>
                <w:sz w:val="20"/>
                <w:szCs w:val="20"/>
              </w:rPr>
            </w:r>
            <w:r w:rsidRPr="00117D3B">
              <w:rPr>
                <w:rFonts w:cs="Arial"/>
                <w:sz w:val="20"/>
                <w:szCs w:val="20"/>
              </w:rPr>
              <w:fldChar w:fldCharType="separate"/>
            </w:r>
            <w:r w:rsidR="00047581">
              <w:rPr>
                <w:rFonts w:cs="Arial"/>
                <w:sz w:val="20"/>
                <w:szCs w:val="20"/>
              </w:rPr>
              <w:t>2</w:t>
            </w:r>
            <w:r w:rsidRPr="00117D3B">
              <w:rPr>
                <w:rFonts w:cs="Arial"/>
                <w:sz w:val="20"/>
                <w:szCs w:val="20"/>
              </w:rPr>
              <w:fldChar w:fldCharType="end"/>
            </w:r>
            <w:r w:rsidRPr="00117D3B">
              <w:rPr>
                <w:rFonts w:cs="Arial"/>
                <w:sz w:val="20"/>
                <w:szCs w:val="20"/>
              </w:rPr>
              <w:t xml:space="preserve"> –</w:t>
            </w:r>
            <w:r w:rsidR="00733E40">
              <w:rPr>
                <w:rFonts w:cs="Arial"/>
                <w:sz w:val="20"/>
                <w:szCs w:val="20"/>
              </w:rPr>
              <w:t xml:space="preserve"> </w:t>
            </w:r>
            <w:r w:rsidRPr="00117D3B">
              <w:rPr>
                <w:rFonts w:cs="Arial"/>
                <w:sz w:val="20"/>
                <w:szCs w:val="20"/>
              </w:rPr>
              <w:fldChar w:fldCharType="begin"/>
            </w:r>
            <w:r w:rsidRPr="00117D3B">
              <w:rPr>
                <w:rFonts w:cs="Arial"/>
                <w:sz w:val="20"/>
                <w:szCs w:val="20"/>
              </w:rPr>
              <w:instrText xml:space="preserve"> REF _Ref421003549 \h  \* MERGEFORMAT </w:instrText>
            </w:r>
            <w:r w:rsidRPr="00117D3B">
              <w:rPr>
                <w:rFonts w:cs="Arial"/>
                <w:sz w:val="20"/>
                <w:szCs w:val="20"/>
              </w:rPr>
            </w:r>
            <w:r w:rsidRPr="00117D3B">
              <w:rPr>
                <w:rFonts w:cs="Arial"/>
                <w:sz w:val="20"/>
                <w:szCs w:val="20"/>
              </w:rPr>
              <w:fldChar w:fldCharType="separate"/>
            </w:r>
            <w:r w:rsidR="00047581" w:rsidRPr="00047581">
              <w:rPr>
                <w:sz w:val="20"/>
                <w:szCs w:val="20"/>
              </w:rPr>
              <w:t>Market share of nut-, seed- and other plant-based milk substitutes</w:t>
            </w:r>
            <w:r w:rsidRPr="00117D3B">
              <w:rPr>
                <w:rFonts w:cs="Arial"/>
                <w:sz w:val="20"/>
                <w:szCs w:val="20"/>
              </w:rPr>
              <w:fldChar w:fldCharType="end"/>
            </w:r>
          </w:p>
        </w:tc>
      </w:tr>
      <w:tr w:rsidR="00F3545E" w:rsidRPr="00F3545E" w14:paraId="0A124573" w14:textId="77777777" w:rsidTr="00733E40">
        <w:trPr>
          <w:cantSplit/>
        </w:trPr>
        <w:tc>
          <w:tcPr>
            <w:tcW w:w="1588" w:type="pct"/>
            <w:tcBorders>
              <w:top w:val="nil"/>
              <w:bottom w:val="nil"/>
            </w:tcBorders>
          </w:tcPr>
          <w:p w14:paraId="6426B263" w14:textId="69DC8654" w:rsidR="00F3545E" w:rsidRPr="00F3545E" w:rsidRDefault="00436875" w:rsidP="00D20A1E">
            <w:pPr>
              <w:widowControl/>
              <w:rPr>
                <w:rFonts w:cs="Arial"/>
                <w:sz w:val="20"/>
                <w:szCs w:val="20"/>
              </w:rPr>
            </w:pPr>
            <w:r w:rsidRPr="00F3545E">
              <w:rPr>
                <w:rFonts w:cs="Arial"/>
                <w:sz w:val="20"/>
                <w:szCs w:val="20"/>
              </w:rPr>
              <w:t>Consumer behaviour</w:t>
            </w:r>
          </w:p>
        </w:tc>
        <w:tc>
          <w:tcPr>
            <w:tcW w:w="1823" w:type="pct"/>
          </w:tcPr>
          <w:p w14:paraId="3B9664C8" w14:textId="46719118" w:rsidR="00F3545E" w:rsidRPr="00436875" w:rsidRDefault="00F3545E" w:rsidP="00D20A1E">
            <w:pPr>
              <w:widowControl/>
              <w:rPr>
                <w:rFonts w:cs="Arial"/>
                <w:sz w:val="20"/>
                <w:szCs w:val="20"/>
              </w:rPr>
            </w:pPr>
            <w:r w:rsidRPr="00436875">
              <w:rPr>
                <w:rFonts w:cs="Arial"/>
                <w:sz w:val="20"/>
                <w:szCs w:val="20"/>
              </w:rPr>
              <w:t xml:space="preserve">What are consumer perceptions around </w:t>
            </w:r>
            <w:r w:rsidR="006C2FB7">
              <w:rPr>
                <w:rFonts w:cs="Arial"/>
                <w:sz w:val="20"/>
                <w:szCs w:val="20"/>
              </w:rPr>
              <w:t xml:space="preserve">nut- </w:t>
            </w:r>
            <w:r w:rsidRPr="00436875">
              <w:rPr>
                <w:rFonts w:cs="Arial"/>
                <w:sz w:val="20"/>
                <w:szCs w:val="20"/>
              </w:rPr>
              <w:t>and seed</w:t>
            </w:r>
            <w:r w:rsidR="00733E40">
              <w:rPr>
                <w:rFonts w:cs="Arial"/>
                <w:sz w:val="20"/>
                <w:szCs w:val="20"/>
              </w:rPr>
              <w:t>-based</w:t>
            </w:r>
            <w:r w:rsidRPr="00436875">
              <w:rPr>
                <w:rFonts w:cs="Arial"/>
                <w:sz w:val="20"/>
                <w:szCs w:val="20"/>
              </w:rPr>
              <w:t xml:space="preserve"> beverages?</w:t>
            </w:r>
          </w:p>
        </w:tc>
        <w:tc>
          <w:tcPr>
            <w:tcW w:w="1589" w:type="pct"/>
          </w:tcPr>
          <w:p w14:paraId="303F2102" w14:textId="049DEDAE" w:rsidR="00B75A91" w:rsidRDefault="00FD4CCA" w:rsidP="00D20A1E">
            <w:pPr>
              <w:widowControl/>
              <w:rPr>
                <w:rFonts w:cs="Arial"/>
                <w:sz w:val="20"/>
                <w:szCs w:val="20"/>
              </w:rPr>
            </w:pPr>
            <w:r w:rsidRPr="00B75A91">
              <w:rPr>
                <w:rFonts w:cs="Arial"/>
                <w:sz w:val="20"/>
                <w:szCs w:val="20"/>
              </w:rPr>
              <w:t>Section</w:t>
            </w:r>
            <w:r w:rsidR="00B75A91" w:rsidRPr="00B75A91">
              <w:rPr>
                <w:rFonts w:cs="Arial"/>
                <w:sz w:val="20"/>
                <w:szCs w:val="20"/>
              </w:rPr>
              <w:t xml:space="preserve"> </w:t>
            </w:r>
            <w:r w:rsidR="00B75A91" w:rsidRPr="00B75A91">
              <w:rPr>
                <w:rFonts w:cs="Arial"/>
                <w:sz w:val="20"/>
                <w:szCs w:val="20"/>
              </w:rPr>
              <w:fldChar w:fldCharType="begin"/>
            </w:r>
            <w:r w:rsidR="00B75A91" w:rsidRPr="00B75A91">
              <w:rPr>
                <w:rFonts w:cs="Arial"/>
                <w:sz w:val="20"/>
                <w:szCs w:val="20"/>
              </w:rPr>
              <w:instrText xml:space="preserve"> REF _Ref426443057 \r \h </w:instrText>
            </w:r>
            <w:r w:rsidR="00B75A91">
              <w:rPr>
                <w:rFonts w:cs="Arial"/>
                <w:sz w:val="20"/>
                <w:szCs w:val="20"/>
              </w:rPr>
              <w:instrText xml:space="preserve"> \* MERGEFORMAT </w:instrText>
            </w:r>
            <w:r w:rsidR="00B75A91" w:rsidRPr="00B75A91">
              <w:rPr>
                <w:rFonts w:cs="Arial"/>
                <w:sz w:val="20"/>
                <w:szCs w:val="20"/>
              </w:rPr>
            </w:r>
            <w:r w:rsidR="00B75A91" w:rsidRPr="00B75A91">
              <w:rPr>
                <w:rFonts w:cs="Arial"/>
                <w:sz w:val="20"/>
                <w:szCs w:val="20"/>
              </w:rPr>
              <w:fldChar w:fldCharType="separate"/>
            </w:r>
            <w:r w:rsidR="00047581">
              <w:rPr>
                <w:rFonts w:cs="Arial"/>
                <w:sz w:val="20"/>
                <w:szCs w:val="20"/>
              </w:rPr>
              <w:t>4</w:t>
            </w:r>
            <w:r w:rsidR="00B75A91" w:rsidRPr="00B75A91">
              <w:rPr>
                <w:rFonts w:cs="Arial"/>
                <w:sz w:val="20"/>
                <w:szCs w:val="20"/>
              </w:rPr>
              <w:fldChar w:fldCharType="end"/>
            </w:r>
            <w:r w:rsidRPr="00B75A91">
              <w:rPr>
                <w:rFonts w:cs="Arial"/>
                <w:sz w:val="20"/>
                <w:szCs w:val="20"/>
              </w:rPr>
              <w:t xml:space="preserve"> – </w:t>
            </w:r>
            <w:r w:rsidR="00B75A91" w:rsidRPr="00B75A91">
              <w:rPr>
                <w:rFonts w:cs="Arial"/>
                <w:sz w:val="20"/>
                <w:szCs w:val="20"/>
              </w:rPr>
              <w:fldChar w:fldCharType="begin"/>
            </w:r>
            <w:r w:rsidR="00B75A91" w:rsidRPr="00B75A91">
              <w:rPr>
                <w:rFonts w:cs="Arial"/>
                <w:sz w:val="20"/>
                <w:szCs w:val="20"/>
              </w:rPr>
              <w:instrText xml:space="preserve"> REF _Ref426443070 \h </w:instrText>
            </w:r>
            <w:r w:rsidR="00B75A91">
              <w:rPr>
                <w:rFonts w:cs="Arial"/>
                <w:sz w:val="20"/>
                <w:szCs w:val="20"/>
              </w:rPr>
              <w:instrText xml:space="preserve"> \* MERGEFORMAT </w:instrText>
            </w:r>
            <w:r w:rsidR="00B75A91" w:rsidRPr="00B75A91">
              <w:rPr>
                <w:rFonts w:cs="Arial"/>
                <w:sz w:val="20"/>
                <w:szCs w:val="20"/>
              </w:rPr>
            </w:r>
            <w:r w:rsidR="00B75A91" w:rsidRPr="00B75A91">
              <w:rPr>
                <w:rFonts w:cs="Arial"/>
                <w:sz w:val="20"/>
                <w:szCs w:val="20"/>
              </w:rPr>
              <w:fldChar w:fldCharType="separate"/>
            </w:r>
            <w:r w:rsidR="00047581" w:rsidRPr="00047581">
              <w:rPr>
                <w:sz w:val="20"/>
                <w:szCs w:val="20"/>
              </w:rPr>
              <w:t>Consumer perceptions of nut-and seed-based beverages</w:t>
            </w:r>
            <w:r w:rsidR="00B75A91" w:rsidRPr="00B75A91">
              <w:rPr>
                <w:rFonts w:cs="Arial"/>
                <w:sz w:val="20"/>
                <w:szCs w:val="20"/>
              </w:rPr>
              <w:fldChar w:fldCharType="end"/>
            </w:r>
          </w:p>
          <w:p w14:paraId="13A5229A" w14:textId="4DF8DAE5" w:rsidR="00F3545E" w:rsidRPr="00B75A91" w:rsidRDefault="00B75A91" w:rsidP="00D20A1E">
            <w:pPr>
              <w:widowControl/>
              <w:rPr>
                <w:rFonts w:cs="Arial"/>
                <w:sz w:val="20"/>
                <w:szCs w:val="20"/>
              </w:rPr>
            </w:pPr>
            <w:r w:rsidRPr="00B75A91">
              <w:rPr>
                <w:rFonts w:cs="Arial"/>
                <w:sz w:val="20"/>
                <w:szCs w:val="20"/>
              </w:rPr>
              <w:t xml:space="preserve">Section </w:t>
            </w:r>
            <w:r w:rsidRPr="00B75A91">
              <w:rPr>
                <w:rFonts w:cs="Arial"/>
                <w:sz w:val="20"/>
                <w:szCs w:val="20"/>
              </w:rPr>
              <w:fldChar w:fldCharType="begin"/>
            </w:r>
            <w:r w:rsidRPr="00B75A91">
              <w:rPr>
                <w:rFonts w:cs="Arial"/>
                <w:sz w:val="20"/>
                <w:szCs w:val="20"/>
              </w:rPr>
              <w:instrText xml:space="preserve"> REF _Ref426443213 \r \h </w:instrText>
            </w:r>
            <w:r>
              <w:rPr>
                <w:rFonts w:cs="Arial"/>
                <w:sz w:val="20"/>
                <w:szCs w:val="20"/>
              </w:rPr>
              <w:instrText xml:space="preserve"> \* MERGEFORMAT </w:instrText>
            </w:r>
            <w:r w:rsidRPr="00B75A91">
              <w:rPr>
                <w:rFonts w:cs="Arial"/>
                <w:sz w:val="20"/>
                <w:szCs w:val="20"/>
              </w:rPr>
            </w:r>
            <w:r w:rsidRPr="00B75A91">
              <w:rPr>
                <w:rFonts w:cs="Arial"/>
                <w:sz w:val="20"/>
                <w:szCs w:val="20"/>
              </w:rPr>
              <w:fldChar w:fldCharType="separate"/>
            </w:r>
            <w:r w:rsidR="00047581">
              <w:rPr>
                <w:rFonts w:cs="Arial"/>
                <w:sz w:val="20"/>
                <w:szCs w:val="20"/>
              </w:rPr>
              <w:t>10</w:t>
            </w:r>
            <w:r w:rsidRPr="00B75A91">
              <w:rPr>
                <w:rFonts w:cs="Arial"/>
                <w:sz w:val="20"/>
                <w:szCs w:val="20"/>
              </w:rPr>
              <w:fldChar w:fldCharType="end"/>
            </w:r>
            <w:r w:rsidRPr="00B75A91">
              <w:rPr>
                <w:rFonts w:cs="Arial"/>
                <w:sz w:val="20"/>
                <w:szCs w:val="20"/>
              </w:rPr>
              <w:t xml:space="preserve"> –</w:t>
            </w:r>
            <w:r w:rsidR="004B2899">
              <w:rPr>
                <w:rFonts w:cs="Arial"/>
                <w:sz w:val="20"/>
                <w:szCs w:val="20"/>
              </w:rPr>
              <w:t xml:space="preserve"> </w:t>
            </w:r>
            <w:r w:rsidRPr="00B75A91">
              <w:rPr>
                <w:rFonts w:cs="Arial"/>
                <w:sz w:val="20"/>
                <w:szCs w:val="20"/>
              </w:rPr>
              <w:fldChar w:fldCharType="begin"/>
            </w:r>
            <w:r w:rsidRPr="00B75A91">
              <w:rPr>
                <w:rFonts w:cs="Arial"/>
                <w:sz w:val="20"/>
                <w:szCs w:val="20"/>
              </w:rPr>
              <w:instrText xml:space="preserve"> REF _Ref426443223 \h </w:instrText>
            </w:r>
            <w:r>
              <w:rPr>
                <w:rFonts w:cs="Arial"/>
                <w:sz w:val="20"/>
                <w:szCs w:val="20"/>
              </w:rPr>
              <w:instrText xml:space="preserve"> \* MERGEFORMAT </w:instrText>
            </w:r>
            <w:r w:rsidRPr="00B75A91">
              <w:rPr>
                <w:rFonts w:cs="Arial"/>
                <w:sz w:val="20"/>
                <w:szCs w:val="20"/>
              </w:rPr>
            </w:r>
            <w:r w:rsidRPr="00B75A91">
              <w:rPr>
                <w:rFonts w:cs="Arial"/>
                <w:sz w:val="20"/>
                <w:szCs w:val="20"/>
              </w:rPr>
              <w:fldChar w:fldCharType="separate"/>
            </w:r>
            <w:r w:rsidR="00047581" w:rsidRPr="00047581">
              <w:rPr>
                <w:sz w:val="20"/>
                <w:szCs w:val="20"/>
              </w:rPr>
              <w:t>How would consumers perceive fortified nut- and seed-based beverages?</w:t>
            </w:r>
            <w:r w:rsidRPr="00B75A91">
              <w:rPr>
                <w:rFonts w:cs="Arial"/>
                <w:sz w:val="20"/>
                <w:szCs w:val="20"/>
              </w:rPr>
              <w:fldChar w:fldCharType="end"/>
            </w:r>
          </w:p>
        </w:tc>
      </w:tr>
      <w:tr w:rsidR="003012D0" w:rsidRPr="00F3545E" w14:paraId="394A51BC" w14:textId="77777777" w:rsidTr="00733E40">
        <w:trPr>
          <w:cantSplit/>
        </w:trPr>
        <w:tc>
          <w:tcPr>
            <w:tcW w:w="1588" w:type="pct"/>
            <w:tcBorders>
              <w:top w:val="nil"/>
              <w:bottom w:val="nil"/>
            </w:tcBorders>
          </w:tcPr>
          <w:p w14:paraId="79FEF29D" w14:textId="77777777" w:rsidR="003012D0" w:rsidRPr="00F3545E" w:rsidRDefault="003012D0" w:rsidP="00D20A1E">
            <w:pPr>
              <w:widowControl/>
              <w:rPr>
                <w:rFonts w:cs="Arial"/>
                <w:sz w:val="20"/>
                <w:szCs w:val="20"/>
              </w:rPr>
            </w:pPr>
          </w:p>
        </w:tc>
        <w:tc>
          <w:tcPr>
            <w:tcW w:w="1823" w:type="pct"/>
          </w:tcPr>
          <w:p w14:paraId="44AE66D3" w14:textId="611B54F0" w:rsidR="003012D0" w:rsidRPr="00436875" w:rsidRDefault="003012D0" w:rsidP="00D20A1E">
            <w:pPr>
              <w:widowControl/>
              <w:rPr>
                <w:rFonts w:cs="Arial"/>
                <w:sz w:val="20"/>
                <w:szCs w:val="20"/>
              </w:rPr>
            </w:pPr>
            <w:r w:rsidRPr="00436875">
              <w:rPr>
                <w:rFonts w:cs="Arial"/>
                <w:sz w:val="20"/>
                <w:szCs w:val="20"/>
              </w:rPr>
              <w:t>Why are people purchasing and consuming the products? How are consumer perceptions linked to these two outcomes?</w:t>
            </w:r>
          </w:p>
        </w:tc>
        <w:tc>
          <w:tcPr>
            <w:tcW w:w="1589" w:type="pct"/>
          </w:tcPr>
          <w:p w14:paraId="0BAEF55B" w14:textId="486CD110" w:rsidR="00B75A91" w:rsidRDefault="00B75A91" w:rsidP="00D20A1E">
            <w:pPr>
              <w:widowControl/>
              <w:rPr>
                <w:rFonts w:cs="Arial"/>
                <w:sz w:val="20"/>
                <w:szCs w:val="20"/>
              </w:rPr>
            </w:pPr>
            <w:r w:rsidRPr="00B75A91">
              <w:rPr>
                <w:rFonts w:cs="Arial"/>
                <w:sz w:val="20"/>
                <w:szCs w:val="20"/>
              </w:rPr>
              <w:t xml:space="preserve">Section </w:t>
            </w:r>
            <w:r w:rsidRPr="00B75A91">
              <w:rPr>
                <w:rFonts w:cs="Arial"/>
                <w:sz w:val="20"/>
                <w:szCs w:val="20"/>
              </w:rPr>
              <w:fldChar w:fldCharType="begin"/>
            </w:r>
            <w:r w:rsidRPr="00B75A91">
              <w:rPr>
                <w:rFonts w:cs="Arial"/>
                <w:sz w:val="20"/>
                <w:szCs w:val="20"/>
              </w:rPr>
              <w:instrText xml:space="preserve"> REF _Ref426443057 \r \h </w:instrText>
            </w:r>
            <w:r>
              <w:rPr>
                <w:rFonts w:cs="Arial"/>
                <w:sz w:val="20"/>
                <w:szCs w:val="20"/>
              </w:rPr>
              <w:instrText xml:space="preserve"> \* MERGEFORMAT </w:instrText>
            </w:r>
            <w:r w:rsidRPr="00B75A91">
              <w:rPr>
                <w:rFonts w:cs="Arial"/>
                <w:sz w:val="20"/>
                <w:szCs w:val="20"/>
              </w:rPr>
            </w:r>
            <w:r w:rsidRPr="00B75A91">
              <w:rPr>
                <w:rFonts w:cs="Arial"/>
                <w:sz w:val="20"/>
                <w:szCs w:val="20"/>
              </w:rPr>
              <w:fldChar w:fldCharType="separate"/>
            </w:r>
            <w:r w:rsidR="00047581">
              <w:rPr>
                <w:rFonts w:cs="Arial"/>
                <w:sz w:val="20"/>
                <w:szCs w:val="20"/>
              </w:rPr>
              <w:t>4</w:t>
            </w:r>
            <w:r w:rsidRPr="00B75A91">
              <w:rPr>
                <w:rFonts w:cs="Arial"/>
                <w:sz w:val="20"/>
                <w:szCs w:val="20"/>
              </w:rPr>
              <w:fldChar w:fldCharType="end"/>
            </w:r>
            <w:r w:rsidRPr="00B75A91">
              <w:rPr>
                <w:rFonts w:cs="Arial"/>
                <w:sz w:val="20"/>
                <w:szCs w:val="20"/>
              </w:rPr>
              <w:t xml:space="preserve"> – </w:t>
            </w:r>
            <w:r w:rsidRPr="00B75A91">
              <w:rPr>
                <w:rFonts w:cs="Arial"/>
                <w:sz w:val="20"/>
                <w:szCs w:val="20"/>
              </w:rPr>
              <w:fldChar w:fldCharType="begin"/>
            </w:r>
            <w:r w:rsidRPr="00B75A91">
              <w:rPr>
                <w:rFonts w:cs="Arial"/>
                <w:sz w:val="20"/>
                <w:szCs w:val="20"/>
              </w:rPr>
              <w:instrText xml:space="preserve"> REF _Ref426443070 \h </w:instrText>
            </w:r>
            <w:r>
              <w:rPr>
                <w:rFonts w:cs="Arial"/>
                <w:sz w:val="20"/>
                <w:szCs w:val="20"/>
              </w:rPr>
              <w:instrText xml:space="preserve"> \* MERGEFORMAT </w:instrText>
            </w:r>
            <w:r w:rsidRPr="00B75A91">
              <w:rPr>
                <w:rFonts w:cs="Arial"/>
                <w:sz w:val="20"/>
                <w:szCs w:val="20"/>
              </w:rPr>
            </w:r>
            <w:r w:rsidRPr="00B75A91">
              <w:rPr>
                <w:rFonts w:cs="Arial"/>
                <w:sz w:val="20"/>
                <w:szCs w:val="20"/>
              </w:rPr>
              <w:fldChar w:fldCharType="separate"/>
            </w:r>
            <w:r w:rsidR="00047581" w:rsidRPr="00047581">
              <w:rPr>
                <w:sz w:val="20"/>
                <w:szCs w:val="20"/>
              </w:rPr>
              <w:t>Consumer perceptions of nut-and seed-based beverages</w:t>
            </w:r>
            <w:r w:rsidRPr="00B75A91">
              <w:rPr>
                <w:rFonts w:cs="Arial"/>
                <w:sz w:val="20"/>
                <w:szCs w:val="20"/>
              </w:rPr>
              <w:fldChar w:fldCharType="end"/>
            </w:r>
          </w:p>
          <w:p w14:paraId="71AB74CE" w14:textId="16B50846" w:rsidR="003012D0" w:rsidRPr="003012D0" w:rsidRDefault="00B75A91" w:rsidP="00D20A1E">
            <w:pPr>
              <w:widowControl/>
              <w:rPr>
                <w:rFonts w:cs="Arial"/>
                <w:sz w:val="20"/>
                <w:szCs w:val="20"/>
              </w:rPr>
            </w:pPr>
            <w:r w:rsidRPr="00B75A91">
              <w:rPr>
                <w:rFonts w:cs="Arial"/>
                <w:sz w:val="20"/>
                <w:szCs w:val="20"/>
              </w:rPr>
              <w:t xml:space="preserve">Section </w:t>
            </w:r>
            <w:r w:rsidRPr="00B75A91">
              <w:rPr>
                <w:rFonts w:cs="Arial"/>
                <w:sz w:val="20"/>
                <w:szCs w:val="20"/>
              </w:rPr>
              <w:fldChar w:fldCharType="begin"/>
            </w:r>
            <w:r w:rsidRPr="00B75A91">
              <w:rPr>
                <w:rFonts w:cs="Arial"/>
                <w:sz w:val="20"/>
                <w:szCs w:val="20"/>
              </w:rPr>
              <w:instrText xml:space="preserve"> REF _Ref426443213 \r \h </w:instrText>
            </w:r>
            <w:r>
              <w:rPr>
                <w:rFonts w:cs="Arial"/>
                <w:sz w:val="20"/>
                <w:szCs w:val="20"/>
              </w:rPr>
              <w:instrText xml:space="preserve"> \* MERGEFORMAT </w:instrText>
            </w:r>
            <w:r w:rsidRPr="00B75A91">
              <w:rPr>
                <w:rFonts w:cs="Arial"/>
                <w:sz w:val="20"/>
                <w:szCs w:val="20"/>
              </w:rPr>
            </w:r>
            <w:r w:rsidRPr="00B75A91">
              <w:rPr>
                <w:rFonts w:cs="Arial"/>
                <w:sz w:val="20"/>
                <w:szCs w:val="20"/>
              </w:rPr>
              <w:fldChar w:fldCharType="separate"/>
            </w:r>
            <w:r w:rsidR="00047581">
              <w:rPr>
                <w:rFonts w:cs="Arial"/>
                <w:sz w:val="20"/>
                <w:szCs w:val="20"/>
              </w:rPr>
              <w:t>10</w:t>
            </w:r>
            <w:r w:rsidRPr="00B75A91">
              <w:rPr>
                <w:rFonts w:cs="Arial"/>
                <w:sz w:val="20"/>
                <w:szCs w:val="20"/>
              </w:rPr>
              <w:fldChar w:fldCharType="end"/>
            </w:r>
            <w:r w:rsidRPr="00B75A91">
              <w:rPr>
                <w:rFonts w:cs="Arial"/>
                <w:sz w:val="20"/>
                <w:szCs w:val="20"/>
              </w:rPr>
              <w:t xml:space="preserve"> –</w:t>
            </w:r>
            <w:r w:rsidRPr="00B75A91">
              <w:rPr>
                <w:rFonts w:cs="Arial"/>
                <w:sz w:val="20"/>
                <w:szCs w:val="20"/>
              </w:rPr>
              <w:fldChar w:fldCharType="begin"/>
            </w:r>
            <w:r w:rsidRPr="00B75A91">
              <w:rPr>
                <w:rFonts w:cs="Arial"/>
                <w:sz w:val="20"/>
                <w:szCs w:val="20"/>
              </w:rPr>
              <w:instrText xml:space="preserve"> REF _Ref426443223 \h </w:instrText>
            </w:r>
            <w:r>
              <w:rPr>
                <w:rFonts w:cs="Arial"/>
                <w:sz w:val="20"/>
                <w:szCs w:val="20"/>
              </w:rPr>
              <w:instrText xml:space="preserve"> \* MERGEFORMAT </w:instrText>
            </w:r>
            <w:r w:rsidRPr="00B75A91">
              <w:rPr>
                <w:rFonts w:cs="Arial"/>
                <w:sz w:val="20"/>
                <w:szCs w:val="20"/>
              </w:rPr>
            </w:r>
            <w:r w:rsidRPr="00B75A91">
              <w:rPr>
                <w:rFonts w:cs="Arial"/>
                <w:sz w:val="20"/>
                <w:szCs w:val="20"/>
              </w:rPr>
              <w:fldChar w:fldCharType="separate"/>
            </w:r>
            <w:r w:rsidR="00047581" w:rsidRPr="00047581">
              <w:rPr>
                <w:sz w:val="20"/>
                <w:szCs w:val="20"/>
              </w:rPr>
              <w:t>How would consumers perceive fortified nut- and seed-based beverages?</w:t>
            </w:r>
            <w:r w:rsidRPr="00B75A91">
              <w:rPr>
                <w:rFonts w:cs="Arial"/>
                <w:sz w:val="20"/>
                <w:szCs w:val="20"/>
              </w:rPr>
              <w:fldChar w:fldCharType="end"/>
            </w:r>
          </w:p>
        </w:tc>
      </w:tr>
      <w:tr w:rsidR="00B75A91" w:rsidRPr="00F3545E" w14:paraId="4A1FE3A8" w14:textId="77777777" w:rsidTr="00733E40">
        <w:trPr>
          <w:cantSplit/>
        </w:trPr>
        <w:tc>
          <w:tcPr>
            <w:tcW w:w="1588" w:type="pct"/>
            <w:tcBorders>
              <w:top w:val="nil"/>
            </w:tcBorders>
          </w:tcPr>
          <w:p w14:paraId="732E6618" w14:textId="3582BDDB" w:rsidR="00B75A91" w:rsidRPr="00F3545E" w:rsidRDefault="00B75A91" w:rsidP="00D20A1E">
            <w:pPr>
              <w:widowControl/>
              <w:rPr>
                <w:rFonts w:cs="Arial"/>
                <w:sz w:val="20"/>
                <w:szCs w:val="20"/>
              </w:rPr>
            </w:pPr>
          </w:p>
        </w:tc>
        <w:tc>
          <w:tcPr>
            <w:tcW w:w="1823" w:type="pct"/>
          </w:tcPr>
          <w:p w14:paraId="560FADE3" w14:textId="37E0D39F" w:rsidR="00B75A91" w:rsidRPr="00436875" w:rsidRDefault="00B75A91" w:rsidP="00D20A1E">
            <w:pPr>
              <w:widowControl/>
              <w:rPr>
                <w:rFonts w:cs="Arial"/>
                <w:sz w:val="20"/>
                <w:szCs w:val="20"/>
              </w:rPr>
            </w:pPr>
            <w:r w:rsidRPr="00436875">
              <w:rPr>
                <w:rFonts w:cs="Arial"/>
                <w:sz w:val="20"/>
                <w:szCs w:val="20"/>
              </w:rPr>
              <w:t xml:space="preserve">How are consumer perceptions affected by fortification of </w:t>
            </w:r>
            <w:r>
              <w:rPr>
                <w:rFonts w:cs="Arial"/>
                <w:sz w:val="20"/>
                <w:szCs w:val="20"/>
              </w:rPr>
              <w:t xml:space="preserve">nut- </w:t>
            </w:r>
            <w:r w:rsidRPr="00436875">
              <w:rPr>
                <w:rFonts w:cs="Arial"/>
                <w:sz w:val="20"/>
                <w:szCs w:val="20"/>
              </w:rPr>
              <w:t>and seed</w:t>
            </w:r>
            <w:r>
              <w:rPr>
                <w:rFonts w:cs="Arial"/>
                <w:sz w:val="20"/>
                <w:szCs w:val="20"/>
              </w:rPr>
              <w:t>-based</w:t>
            </w:r>
            <w:r w:rsidRPr="00436875">
              <w:rPr>
                <w:rFonts w:cs="Arial"/>
                <w:sz w:val="20"/>
                <w:szCs w:val="20"/>
              </w:rPr>
              <w:t xml:space="preserve"> </w:t>
            </w:r>
            <w:r>
              <w:rPr>
                <w:rFonts w:cs="Arial"/>
                <w:sz w:val="20"/>
                <w:szCs w:val="20"/>
              </w:rPr>
              <w:t>beverages</w:t>
            </w:r>
            <w:r w:rsidRPr="00436875">
              <w:rPr>
                <w:rFonts w:cs="Arial"/>
                <w:sz w:val="20"/>
                <w:szCs w:val="20"/>
              </w:rPr>
              <w:t>, compared to unfortified versions?</w:t>
            </w:r>
          </w:p>
        </w:tc>
        <w:tc>
          <w:tcPr>
            <w:tcW w:w="1589" w:type="pct"/>
          </w:tcPr>
          <w:p w14:paraId="328ED161" w14:textId="2187F1A5" w:rsidR="00B75A91" w:rsidRPr="003012D0" w:rsidRDefault="00B75A91" w:rsidP="00D20A1E">
            <w:pPr>
              <w:widowControl/>
              <w:rPr>
                <w:rFonts w:cs="Arial"/>
                <w:sz w:val="20"/>
                <w:szCs w:val="20"/>
              </w:rPr>
            </w:pPr>
            <w:r w:rsidRPr="00B75A91">
              <w:rPr>
                <w:rFonts w:cs="Arial"/>
                <w:sz w:val="20"/>
                <w:szCs w:val="20"/>
              </w:rPr>
              <w:t xml:space="preserve">Section </w:t>
            </w:r>
            <w:r w:rsidRPr="00B75A91">
              <w:rPr>
                <w:rFonts w:cs="Arial"/>
                <w:sz w:val="20"/>
                <w:szCs w:val="20"/>
              </w:rPr>
              <w:fldChar w:fldCharType="begin"/>
            </w:r>
            <w:r w:rsidRPr="00B75A91">
              <w:rPr>
                <w:rFonts w:cs="Arial"/>
                <w:sz w:val="20"/>
                <w:szCs w:val="20"/>
              </w:rPr>
              <w:instrText xml:space="preserve"> REF _Ref426443213 \r \h </w:instrText>
            </w:r>
            <w:r>
              <w:rPr>
                <w:rFonts w:cs="Arial"/>
                <w:sz w:val="20"/>
                <w:szCs w:val="20"/>
              </w:rPr>
              <w:instrText xml:space="preserve"> \* MERGEFORMAT </w:instrText>
            </w:r>
            <w:r w:rsidRPr="00B75A91">
              <w:rPr>
                <w:rFonts w:cs="Arial"/>
                <w:sz w:val="20"/>
                <w:szCs w:val="20"/>
              </w:rPr>
            </w:r>
            <w:r w:rsidRPr="00B75A91">
              <w:rPr>
                <w:rFonts w:cs="Arial"/>
                <w:sz w:val="20"/>
                <w:szCs w:val="20"/>
              </w:rPr>
              <w:fldChar w:fldCharType="separate"/>
            </w:r>
            <w:r w:rsidR="00047581">
              <w:rPr>
                <w:rFonts w:cs="Arial"/>
                <w:sz w:val="20"/>
                <w:szCs w:val="20"/>
              </w:rPr>
              <w:t>10</w:t>
            </w:r>
            <w:r w:rsidRPr="00B75A91">
              <w:rPr>
                <w:rFonts w:cs="Arial"/>
                <w:sz w:val="20"/>
                <w:szCs w:val="20"/>
              </w:rPr>
              <w:fldChar w:fldCharType="end"/>
            </w:r>
            <w:r w:rsidRPr="00B75A91">
              <w:rPr>
                <w:rFonts w:cs="Arial"/>
                <w:sz w:val="20"/>
                <w:szCs w:val="20"/>
              </w:rPr>
              <w:t xml:space="preserve"> –</w:t>
            </w:r>
            <w:r w:rsidRPr="00B75A91">
              <w:rPr>
                <w:rFonts w:cs="Arial"/>
                <w:sz w:val="20"/>
                <w:szCs w:val="20"/>
              </w:rPr>
              <w:fldChar w:fldCharType="begin"/>
            </w:r>
            <w:r w:rsidRPr="00B75A91">
              <w:rPr>
                <w:rFonts w:cs="Arial"/>
                <w:sz w:val="20"/>
                <w:szCs w:val="20"/>
              </w:rPr>
              <w:instrText xml:space="preserve"> REF _Ref426443223 \h </w:instrText>
            </w:r>
            <w:r>
              <w:rPr>
                <w:rFonts w:cs="Arial"/>
                <w:sz w:val="20"/>
                <w:szCs w:val="20"/>
              </w:rPr>
              <w:instrText xml:space="preserve"> \* MERGEFORMAT </w:instrText>
            </w:r>
            <w:r w:rsidRPr="00B75A91">
              <w:rPr>
                <w:rFonts w:cs="Arial"/>
                <w:sz w:val="20"/>
                <w:szCs w:val="20"/>
              </w:rPr>
            </w:r>
            <w:r w:rsidRPr="00B75A91">
              <w:rPr>
                <w:rFonts w:cs="Arial"/>
                <w:sz w:val="20"/>
                <w:szCs w:val="20"/>
              </w:rPr>
              <w:fldChar w:fldCharType="separate"/>
            </w:r>
            <w:r w:rsidR="00047581" w:rsidRPr="00047581">
              <w:rPr>
                <w:sz w:val="20"/>
                <w:szCs w:val="20"/>
              </w:rPr>
              <w:t>How would consumers perceive fortified nut- and seed-based beverages?</w:t>
            </w:r>
            <w:r w:rsidRPr="00B75A91">
              <w:rPr>
                <w:rFonts w:cs="Arial"/>
                <w:sz w:val="20"/>
                <w:szCs w:val="20"/>
              </w:rPr>
              <w:fldChar w:fldCharType="end"/>
            </w:r>
          </w:p>
        </w:tc>
      </w:tr>
      <w:tr w:rsidR="00B75A91" w:rsidRPr="00F3545E" w14:paraId="70E26521" w14:textId="77777777" w:rsidTr="00733E40">
        <w:trPr>
          <w:cantSplit/>
        </w:trPr>
        <w:tc>
          <w:tcPr>
            <w:tcW w:w="1588" w:type="pct"/>
          </w:tcPr>
          <w:p w14:paraId="108F728D" w14:textId="59DDB173" w:rsidR="00B75A91" w:rsidRPr="00F3545E" w:rsidRDefault="00B75A91" w:rsidP="00D20A1E">
            <w:pPr>
              <w:widowControl/>
              <w:rPr>
                <w:rFonts w:cs="Arial"/>
                <w:sz w:val="20"/>
                <w:szCs w:val="20"/>
              </w:rPr>
            </w:pPr>
            <w:r w:rsidRPr="00F3545E">
              <w:rPr>
                <w:rFonts w:cs="Arial"/>
                <w:sz w:val="20"/>
                <w:szCs w:val="20"/>
              </w:rPr>
              <w:t>Product characteristics</w:t>
            </w:r>
          </w:p>
        </w:tc>
        <w:tc>
          <w:tcPr>
            <w:tcW w:w="1823" w:type="pct"/>
          </w:tcPr>
          <w:p w14:paraId="6A2A375A" w14:textId="51BFCC73" w:rsidR="00B75A91" w:rsidRPr="00F3545E" w:rsidRDefault="00B75A91" w:rsidP="00D20A1E">
            <w:pPr>
              <w:widowControl/>
              <w:rPr>
                <w:rFonts w:cs="Arial"/>
                <w:sz w:val="20"/>
                <w:szCs w:val="20"/>
              </w:rPr>
            </w:pPr>
            <w:r w:rsidRPr="00F3545E">
              <w:rPr>
                <w:rFonts w:cs="Arial"/>
                <w:sz w:val="20"/>
                <w:szCs w:val="20"/>
              </w:rPr>
              <w:t xml:space="preserve">Do </w:t>
            </w:r>
            <w:r>
              <w:rPr>
                <w:rFonts w:cs="Arial"/>
                <w:sz w:val="20"/>
                <w:szCs w:val="20"/>
              </w:rPr>
              <w:t xml:space="preserve">nut- </w:t>
            </w:r>
            <w:r w:rsidRPr="00F3545E">
              <w:rPr>
                <w:rFonts w:cs="Arial"/>
                <w:sz w:val="20"/>
                <w:szCs w:val="20"/>
              </w:rPr>
              <w:t>and seed-</w:t>
            </w:r>
            <w:r>
              <w:rPr>
                <w:rFonts w:cs="Arial"/>
                <w:sz w:val="20"/>
                <w:szCs w:val="20"/>
              </w:rPr>
              <w:t>based</w:t>
            </w:r>
            <w:r w:rsidRPr="00F3545E">
              <w:rPr>
                <w:rFonts w:cs="Arial"/>
                <w:sz w:val="20"/>
                <w:szCs w:val="20"/>
              </w:rPr>
              <w:t xml:space="preserve"> beverages have similar appearance and texture to </w:t>
            </w:r>
            <w:r>
              <w:rPr>
                <w:rFonts w:cs="Arial"/>
                <w:sz w:val="20"/>
                <w:szCs w:val="20"/>
              </w:rPr>
              <w:t>cow’s</w:t>
            </w:r>
            <w:r w:rsidRPr="00F3545E">
              <w:rPr>
                <w:rFonts w:cs="Arial"/>
                <w:sz w:val="20"/>
                <w:szCs w:val="20"/>
              </w:rPr>
              <w:t xml:space="preserve"> milk?</w:t>
            </w:r>
          </w:p>
        </w:tc>
        <w:tc>
          <w:tcPr>
            <w:tcW w:w="1589" w:type="pct"/>
          </w:tcPr>
          <w:p w14:paraId="709A775F" w14:textId="75419DA6" w:rsidR="00B75A91" w:rsidRPr="00F3545E" w:rsidRDefault="00B75A91" w:rsidP="00D20A1E">
            <w:pPr>
              <w:widowControl/>
              <w:rPr>
                <w:rFonts w:cs="Arial"/>
                <w:sz w:val="20"/>
                <w:szCs w:val="20"/>
              </w:rPr>
            </w:pPr>
            <w:r w:rsidRPr="00F3545E">
              <w:rPr>
                <w:rFonts w:cs="Arial"/>
                <w:sz w:val="20"/>
                <w:szCs w:val="20"/>
              </w:rPr>
              <w:t xml:space="preserve">Section </w:t>
            </w:r>
            <w:r w:rsidRPr="00F3545E">
              <w:rPr>
                <w:rFonts w:cs="Arial"/>
                <w:sz w:val="20"/>
                <w:szCs w:val="20"/>
              </w:rPr>
              <w:fldChar w:fldCharType="begin"/>
            </w:r>
            <w:r w:rsidRPr="00F3545E">
              <w:rPr>
                <w:rFonts w:cs="Arial"/>
                <w:sz w:val="20"/>
                <w:szCs w:val="20"/>
              </w:rPr>
              <w:instrText xml:space="preserve"> REF _Ref417476359 \r \h </w:instrText>
            </w:r>
            <w:r>
              <w:rPr>
                <w:rFonts w:cs="Arial"/>
                <w:sz w:val="20"/>
                <w:szCs w:val="20"/>
              </w:rPr>
              <w:instrText xml:space="preserve"> \* MERGEFORMAT </w:instrText>
            </w:r>
            <w:r w:rsidRPr="00F3545E">
              <w:rPr>
                <w:rFonts w:cs="Arial"/>
                <w:sz w:val="20"/>
                <w:szCs w:val="20"/>
              </w:rPr>
            </w:r>
            <w:r w:rsidRPr="00F3545E">
              <w:rPr>
                <w:rFonts w:cs="Arial"/>
                <w:sz w:val="20"/>
                <w:szCs w:val="20"/>
              </w:rPr>
              <w:fldChar w:fldCharType="separate"/>
            </w:r>
            <w:r w:rsidR="00047581">
              <w:rPr>
                <w:rFonts w:cs="Arial"/>
                <w:sz w:val="20"/>
                <w:szCs w:val="20"/>
              </w:rPr>
              <w:t>6.1</w:t>
            </w:r>
            <w:r w:rsidRPr="00F3545E">
              <w:rPr>
                <w:rFonts w:cs="Arial"/>
                <w:sz w:val="20"/>
                <w:szCs w:val="20"/>
              </w:rPr>
              <w:fldChar w:fldCharType="end"/>
            </w:r>
            <w:r w:rsidRPr="00F3545E">
              <w:rPr>
                <w:rFonts w:cs="Arial"/>
                <w:sz w:val="20"/>
                <w:szCs w:val="20"/>
              </w:rPr>
              <w:t xml:space="preserve"> – </w:t>
            </w:r>
            <w:r w:rsidRPr="00F3545E">
              <w:rPr>
                <w:rFonts w:cs="Arial"/>
                <w:sz w:val="20"/>
                <w:szCs w:val="20"/>
              </w:rPr>
              <w:fldChar w:fldCharType="begin"/>
            </w:r>
            <w:r w:rsidRPr="00F3545E">
              <w:rPr>
                <w:rFonts w:cs="Arial"/>
                <w:sz w:val="20"/>
                <w:szCs w:val="20"/>
              </w:rPr>
              <w:instrText xml:space="preserve"> REF _Ref417476359 \h </w:instrText>
            </w:r>
            <w:r>
              <w:rPr>
                <w:rFonts w:cs="Arial"/>
                <w:sz w:val="20"/>
                <w:szCs w:val="20"/>
              </w:rPr>
              <w:instrText xml:space="preserve"> \* MERGEFORMAT </w:instrText>
            </w:r>
            <w:r w:rsidRPr="00F3545E">
              <w:rPr>
                <w:rFonts w:cs="Arial"/>
                <w:sz w:val="20"/>
                <w:szCs w:val="20"/>
              </w:rPr>
            </w:r>
            <w:r w:rsidRPr="00F3545E">
              <w:rPr>
                <w:rFonts w:cs="Arial"/>
                <w:sz w:val="20"/>
                <w:szCs w:val="20"/>
              </w:rPr>
              <w:fldChar w:fldCharType="separate"/>
            </w:r>
            <w:r w:rsidR="00047581" w:rsidRPr="00047581">
              <w:rPr>
                <w:sz w:val="20"/>
                <w:szCs w:val="20"/>
              </w:rPr>
              <w:t>How are nut- and seed-based beverages produced?</w:t>
            </w:r>
            <w:r w:rsidRPr="00F3545E">
              <w:rPr>
                <w:rFonts w:cs="Arial"/>
                <w:sz w:val="20"/>
                <w:szCs w:val="20"/>
              </w:rPr>
              <w:fldChar w:fldCharType="end"/>
            </w:r>
            <w:r w:rsidRPr="00F3545E">
              <w:rPr>
                <w:rFonts w:cs="Arial"/>
                <w:sz w:val="20"/>
                <w:szCs w:val="20"/>
              </w:rPr>
              <w:t xml:space="preserve"> </w:t>
            </w:r>
          </w:p>
        </w:tc>
      </w:tr>
      <w:tr w:rsidR="00B75A91" w:rsidRPr="00F3545E" w14:paraId="1E03C539" w14:textId="77777777" w:rsidTr="00733E40">
        <w:trPr>
          <w:cantSplit/>
        </w:trPr>
        <w:tc>
          <w:tcPr>
            <w:tcW w:w="1588" w:type="pct"/>
          </w:tcPr>
          <w:p w14:paraId="4C383CF5" w14:textId="6CB1110B" w:rsidR="00B75A91" w:rsidRPr="00F3545E" w:rsidRDefault="00B75A91" w:rsidP="00D20A1E">
            <w:pPr>
              <w:widowControl/>
              <w:rPr>
                <w:rFonts w:cs="Arial"/>
                <w:sz w:val="20"/>
                <w:szCs w:val="20"/>
              </w:rPr>
            </w:pPr>
            <w:r w:rsidRPr="00F3545E">
              <w:rPr>
                <w:rFonts w:cs="Arial"/>
                <w:sz w:val="20"/>
                <w:szCs w:val="20"/>
              </w:rPr>
              <w:t>Effects of processing and storage on the added vitamins and minerals</w:t>
            </w:r>
          </w:p>
        </w:tc>
        <w:tc>
          <w:tcPr>
            <w:tcW w:w="1823" w:type="pct"/>
          </w:tcPr>
          <w:p w14:paraId="24876071" w14:textId="3CCC31FC" w:rsidR="00B75A91" w:rsidRPr="00F3545E" w:rsidRDefault="00B75A91" w:rsidP="00D20A1E">
            <w:pPr>
              <w:widowControl/>
              <w:rPr>
                <w:rFonts w:cs="Arial"/>
                <w:sz w:val="20"/>
                <w:szCs w:val="20"/>
              </w:rPr>
            </w:pPr>
            <w:r w:rsidRPr="00F3545E">
              <w:rPr>
                <w:rFonts w:cs="Arial"/>
                <w:sz w:val="20"/>
                <w:szCs w:val="20"/>
                <w:lang w:val="en-AU"/>
              </w:rPr>
              <w:t xml:space="preserve">What is the likely effect of processing and storage on the lability of the requested vitamin and minerals in </w:t>
            </w:r>
            <w:r>
              <w:rPr>
                <w:rFonts w:cs="Arial"/>
                <w:sz w:val="20"/>
                <w:szCs w:val="20"/>
                <w:lang w:val="en-AU"/>
              </w:rPr>
              <w:t xml:space="preserve">nut- </w:t>
            </w:r>
            <w:r w:rsidRPr="00F3545E">
              <w:rPr>
                <w:rFonts w:cs="Arial"/>
                <w:sz w:val="20"/>
                <w:szCs w:val="20"/>
                <w:lang w:val="en-AU"/>
              </w:rPr>
              <w:t>and seed-based beverages?</w:t>
            </w:r>
          </w:p>
        </w:tc>
        <w:tc>
          <w:tcPr>
            <w:tcW w:w="1589" w:type="pct"/>
          </w:tcPr>
          <w:p w14:paraId="41A26288" w14:textId="0A88B26F" w:rsidR="00B75A91" w:rsidRPr="00F3545E" w:rsidRDefault="00B75A91" w:rsidP="00D20A1E">
            <w:pPr>
              <w:widowControl/>
              <w:rPr>
                <w:rFonts w:cs="Arial"/>
                <w:sz w:val="20"/>
                <w:szCs w:val="20"/>
              </w:rPr>
            </w:pPr>
            <w:r w:rsidRPr="00F3545E">
              <w:rPr>
                <w:rFonts w:cs="Arial"/>
                <w:sz w:val="20"/>
                <w:szCs w:val="20"/>
              </w:rPr>
              <w:t xml:space="preserve">Section </w:t>
            </w:r>
            <w:r w:rsidRPr="00F3545E">
              <w:rPr>
                <w:rFonts w:cs="Arial"/>
                <w:sz w:val="20"/>
                <w:szCs w:val="20"/>
              </w:rPr>
              <w:fldChar w:fldCharType="begin"/>
            </w:r>
            <w:r w:rsidRPr="00F3545E">
              <w:rPr>
                <w:rFonts w:cs="Arial"/>
                <w:sz w:val="20"/>
                <w:szCs w:val="20"/>
              </w:rPr>
              <w:instrText xml:space="preserve"> REF _Ref417476359 \r \h </w:instrText>
            </w:r>
            <w:r>
              <w:rPr>
                <w:rFonts w:cs="Arial"/>
                <w:sz w:val="20"/>
                <w:szCs w:val="20"/>
              </w:rPr>
              <w:instrText xml:space="preserve"> \* MERGEFORMAT </w:instrText>
            </w:r>
            <w:r w:rsidRPr="00F3545E">
              <w:rPr>
                <w:rFonts w:cs="Arial"/>
                <w:sz w:val="20"/>
                <w:szCs w:val="20"/>
              </w:rPr>
            </w:r>
            <w:r w:rsidRPr="00F3545E">
              <w:rPr>
                <w:rFonts w:cs="Arial"/>
                <w:sz w:val="20"/>
                <w:szCs w:val="20"/>
              </w:rPr>
              <w:fldChar w:fldCharType="separate"/>
            </w:r>
            <w:r w:rsidR="00047581">
              <w:rPr>
                <w:rFonts w:cs="Arial"/>
                <w:sz w:val="20"/>
                <w:szCs w:val="20"/>
              </w:rPr>
              <w:t>6.1</w:t>
            </w:r>
            <w:r w:rsidRPr="00F3545E">
              <w:rPr>
                <w:rFonts w:cs="Arial"/>
                <w:sz w:val="20"/>
                <w:szCs w:val="20"/>
              </w:rPr>
              <w:fldChar w:fldCharType="end"/>
            </w:r>
            <w:r w:rsidRPr="00F3545E">
              <w:rPr>
                <w:rFonts w:cs="Arial"/>
                <w:sz w:val="20"/>
                <w:szCs w:val="20"/>
              </w:rPr>
              <w:t xml:space="preserve"> – </w:t>
            </w:r>
            <w:r w:rsidRPr="00F3545E">
              <w:rPr>
                <w:rFonts w:cs="Arial"/>
                <w:sz w:val="20"/>
                <w:szCs w:val="20"/>
              </w:rPr>
              <w:fldChar w:fldCharType="begin"/>
            </w:r>
            <w:r w:rsidRPr="00F3545E">
              <w:rPr>
                <w:rFonts w:cs="Arial"/>
                <w:sz w:val="20"/>
                <w:szCs w:val="20"/>
              </w:rPr>
              <w:instrText xml:space="preserve"> REF _Ref417476359 \h </w:instrText>
            </w:r>
            <w:r>
              <w:rPr>
                <w:rFonts w:cs="Arial"/>
                <w:sz w:val="20"/>
                <w:szCs w:val="20"/>
              </w:rPr>
              <w:instrText xml:space="preserve"> \* MERGEFORMAT </w:instrText>
            </w:r>
            <w:r w:rsidRPr="00F3545E">
              <w:rPr>
                <w:rFonts w:cs="Arial"/>
                <w:sz w:val="20"/>
                <w:szCs w:val="20"/>
              </w:rPr>
            </w:r>
            <w:r w:rsidRPr="00F3545E">
              <w:rPr>
                <w:rFonts w:cs="Arial"/>
                <w:sz w:val="20"/>
                <w:szCs w:val="20"/>
              </w:rPr>
              <w:fldChar w:fldCharType="separate"/>
            </w:r>
            <w:r w:rsidR="00047581" w:rsidRPr="00047581">
              <w:rPr>
                <w:sz w:val="20"/>
                <w:szCs w:val="20"/>
              </w:rPr>
              <w:t>How are nut- and seed-based beverages produced?</w:t>
            </w:r>
            <w:r w:rsidRPr="00F3545E">
              <w:rPr>
                <w:rFonts w:cs="Arial"/>
                <w:sz w:val="20"/>
                <w:szCs w:val="20"/>
              </w:rPr>
              <w:fldChar w:fldCharType="end"/>
            </w:r>
          </w:p>
          <w:p w14:paraId="788B95EE" w14:textId="4FDE653F" w:rsidR="00B75A91" w:rsidRPr="00F3545E" w:rsidRDefault="00B75A91" w:rsidP="00D20A1E">
            <w:pPr>
              <w:widowControl/>
              <w:rPr>
                <w:rFonts w:cs="Arial"/>
                <w:sz w:val="20"/>
                <w:szCs w:val="20"/>
              </w:rPr>
            </w:pPr>
            <w:r w:rsidRPr="00F3545E">
              <w:rPr>
                <w:rFonts w:cs="Arial"/>
                <w:sz w:val="20"/>
                <w:szCs w:val="20"/>
              </w:rPr>
              <w:t xml:space="preserve">Section </w:t>
            </w:r>
            <w:r w:rsidRPr="00F3545E">
              <w:rPr>
                <w:rFonts w:cs="Arial"/>
                <w:sz w:val="20"/>
                <w:szCs w:val="20"/>
              </w:rPr>
              <w:fldChar w:fldCharType="begin"/>
            </w:r>
            <w:r w:rsidRPr="00F3545E">
              <w:rPr>
                <w:rFonts w:cs="Arial"/>
                <w:sz w:val="20"/>
                <w:szCs w:val="20"/>
              </w:rPr>
              <w:instrText xml:space="preserve"> REF _Ref421003278 \r \h </w:instrText>
            </w:r>
            <w:r>
              <w:rPr>
                <w:rFonts w:cs="Arial"/>
                <w:sz w:val="20"/>
                <w:szCs w:val="20"/>
              </w:rPr>
              <w:instrText xml:space="preserve"> \* MERGEFORMAT </w:instrText>
            </w:r>
            <w:r w:rsidRPr="00F3545E">
              <w:rPr>
                <w:rFonts w:cs="Arial"/>
                <w:sz w:val="20"/>
                <w:szCs w:val="20"/>
              </w:rPr>
            </w:r>
            <w:r w:rsidRPr="00F3545E">
              <w:rPr>
                <w:rFonts w:cs="Arial"/>
                <w:sz w:val="20"/>
                <w:szCs w:val="20"/>
              </w:rPr>
              <w:fldChar w:fldCharType="separate"/>
            </w:r>
            <w:r w:rsidR="00047581">
              <w:rPr>
                <w:rFonts w:cs="Arial"/>
                <w:sz w:val="20"/>
                <w:szCs w:val="20"/>
              </w:rPr>
              <w:t>6.2</w:t>
            </w:r>
            <w:r w:rsidRPr="00F3545E">
              <w:rPr>
                <w:rFonts w:cs="Arial"/>
                <w:sz w:val="20"/>
                <w:szCs w:val="20"/>
              </w:rPr>
              <w:fldChar w:fldCharType="end"/>
            </w:r>
            <w:r w:rsidRPr="00F3545E">
              <w:rPr>
                <w:rFonts w:cs="Arial"/>
                <w:sz w:val="20"/>
                <w:szCs w:val="20"/>
              </w:rPr>
              <w:t xml:space="preserve"> – </w:t>
            </w:r>
            <w:r w:rsidRPr="00F3545E">
              <w:rPr>
                <w:rFonts w:cs="Arial"/>
                <w:sz w:val="20"/>
                <w:szCs w:val="20"/>
              </w:rPr>
              <w:fldChar w:fldCharType="begin"/>
            </w:r>
            <w:r w:rsidRPr="00F3545E">
              <w:rPr>
                <w:rFonts w:cs="Arial"/>
                <w:sz w:val="20"/>
                <w:szCs w:val="20"/>
              </w:rPr>
              <w:instrText xml:space="preserve"> REF _Ref421003286 \h </w:instrText>
            </w:r>
            <w:r>
              <w:rPr>
                <w:rFonts w:cs="Arial"/>
                <w:sz w:val="20"/>
                <w:szCs w:val="20"/>
              </w:rPr>
              <w:instrText xml:space="preserve"> \* MERGEFORMAT </w:instrText>
            </w:r>
            <w:r w:rsidRPr="00F3545E">
              <w:rPr>
                <w:rFonts w:cs="Arial"/>
                <w:sz w:val="20"/>
                <w:szCs w:val="20"/>
              </w:rPr>
            </w:r>
            <w:r w:rsidRPr="00F3545E">
              <w:rPr>
                <w:rFonts w:cs="Arial"/>
                <w:sz w:val="20"/>
                <w:szCs w:val="20"/>
              </w:rPr>
              <w:fldChar w:fldCharType="separate"/>
            </w:r>
            <w:r w:rsidR="00047581" w:rsidRPr="00047581">
              <w:rPr>
                <w:sz w:val="20"/>
                <w:szCs w:val="20"/>
              </w:rPr>
              <w:t>Stability of added vitamins and minerals in nut- and seed-based beverages</w:t>
            </w:r>
            <w:r w:rsidRPr="00F3545E">
              <w:rPr>
                <w:rFonts w:cs="Arial"/>
                <w:sz w:val="20"/>
                <w:szCs w:val="20"/>
              </w:rPr>
              <w:fldChar w:fldCharType="end"/>
            </w:r>
          </w:p>
        </w:tc>
      </w:tr>
      <w:tr w:rsidR="00B75A91" w:rsidRPr="00F3545E" w14:paraId="45A02E81" w14:textId="77777777" w:rsidTr="00733E40">
        <w:trPr>
          <w:cantSplit/>
        </w:trPr>
        <w:tc>
          <w:tcPr>
            <w:tcW w:w="1588" w:type="pct"/>
            <w:tcBorders>
              <w:bottom w:val="single" w:sz="4" w:space="0" w:color="000000"/>
            </w:tcBorders>
          </w:tcPr>
          <w:p w14:paraId="54B22B5C" w14:textId="20277B56" w:rsidR="00B75A91" w:rsidRPr="00F3545E" w:rsidRDefault="00B75A91" w:rsidP="00D20A1E">
            <w:pPr>
              <w:widowControl/>
              <w:rPr>
                <w:rFonts w:cs="Arial"/>
                <w:sz w:val="20"/>
                <w:szCs w:val="20"/>
              </w:rPr>
            </w:pPr>
            <w:r w:rsidRPr="00F3545E">
              <w:rPr>
                <w:rFonts w:cs="Arial"/>
                <w:sz w:val="20"/>
                <w:szCs w:val="20"/>
              </w:rPr>
              <w:t>Bioavailability of the added vitamins and minerals</w:t>
            </w:r>
          </w:p>
        </w:tc>
        <w:tc>
          <w:tcPr>
            <w:tcW w:w="1823" w:type="pct"/>
          </w:tcPr>
          <w:p w14:paraId="52365152" w14:textId="03E74F2D" w:rsidR="00B75A91" w:rsidRPr="00F3545E" w:rsidRDefault="00B75A91" w:rsidP="00D20A1E">
            <w:pPr>
              <w:widowControl/>
              <w:rPr>
                <w:rFonts w:cs="Arial"/>
                <w:sz w:val="20"/>
                <w:szCs w:val="20"/>
              </w:rPr>
            </w:pPr>
            <w:r w:rsidRPr="00F3545E">
              <w:rPr>
                <w:rFonts w:cs="Arial"/>
                <w:sz w:val="20"/>
                <w:szCs w:val="20"/>
              </w:rPr>
              <w:t xml:space="preserve">Are there any constituents in </w:t>
            </w:r>
            <w:r>
              <w:rPr>
                <w:rFonts w:cs="Arial"/>
                <w:sz w:val="20"/>
                <w:szCs w:val="20"/>
              </w:rPr>
              <w:t xml:space="preserve">nut- </w:t>
            </w:r>
            <w:r w:rsidRPr="00F3545E">
              <w:rPr>
                <w:rFonts w:cs="Arial"/>
                <w:sz w:val="20"/>
                <w:szCs w:val="20"/>
              </w:rPr>
              <w:t>and seed-based beverages that could bind the added vitamins and minerals and prevent their absorption?</w:t>
            </w:r>
          </w:p>
        </w:tc>
        <w:tc>
          <w:tcPr>
            <w:tcW w:w="1589" w:type="pct"/>
          </w:tcPr>
          <w:p w14:paraId="08DA9C05" w14:textId="4914F1F5" w:rsidR="00B75A91" w:rsidRPr="003012D0" w:rsidRDefault="00B75A91" w:rsidP="00D20A1E">
            <w:pPr>
              <w:keepNext/>
              <w:keepLines/>
              <w:widowControl/>
              <w:rPr>
                <w:rFonts w:cs="Arial"/>
                <w:sz w:val="20"/>
                <w:szCs w:val="20"/>
              </w:rPr>
            </w:pPr>
            <w:r w:rsidRPr="003012D0">
              <w:rPr>
                <w:rFonts w:cs="Arial"/>
                <w:sz w:val="20"/>
                <w:szCs w:val="20"/>
              </w:rPr>
              <w:t xml:space="preserve">Section </w:t>
            </w:r>
            <w:r w:rsidRPr="003012D0">
              <w:rPr>
                <w:rFonts w:cs="Arial"/>
                <w:sz w:val="20"/>
                <w:szCs w:val="20"/>
              </w:rPr>
              <w:fldChar w:fldCharType="begin"/>
            </w:r>
            <w:r w:rsidRPr="003012D0">
              <w:rPr>
                <w:rFonts w:cs="Arial"/>
                <w:sz w:val="20"/>
                <w:szCs w:val="20"/>
              </w:rPr>
              <w:instrText xml:space="preserve"> REF _Ref422210342 \r \h </w:instrText>
            </w:r>
            <w:r>
              <w:rPr>
                <w:rFonts w:cs="Arial"/>
                <w:sz w:val="20"/>
                <w:szCs w:val="20"/>
              </w:rPr>
              <w:instrText xml:space="preserve"> \* MERGEFORMAT </w:instrText>
            </w:r>
            <w:r w:rsidRPr="003012D0">
              <w:rPr>
                <w:rFonts w:cs="Arial"/>
                <w:sz w:val="20"/>
                <w:szCs w:val="20"/>
              </w:rPr>
            </w:r>
            <w:r w:rsidRPr="003012D0">
              <w:rPr>
                <w:rFonts w:cs="Arial"/>
                <w:sz w:val="20"/>
                <w:szCs w:val="20"/>
              </w:rPr>
              <w:fldChar w:fldCharType="separate"/>
            </w:r>
            <w:r w:rsidR="00047581">
              <w:rPr>
                <w:rFonts w:cs="Arial"/>
                <w:sz w:val="20"/>
                <w:szCs w:val="20"/>
              </w:rPr>
              <w:t>7</w:t>
            </w:r>
            <w:r w:rsidRPr="003012D0">
              <w:rPr>
                <w:rFonts w:cs="Arial"/>
                <w:sz w:val="20"/>
                <w:szCs w:val="20"/>
              </w:rPr>
              <w:fldChar w:fldCharType="end"/>
            </w:r>
            <w:r w:rsidRPr="003012D0">
              <w:rPr>
                <w:rFonts w:cs="Arial"/>
                <w:sz w:val="20"/>
                <w:szCs w:val="20"/>
              </w:rPr>
              <w:t xml:space="preserve"> – </w:t>
            </w:r>
            <w:r w:rsidRPr="003012D0">
              <w:rPr>
                <w:rFonts w:cs="Arial"/>
                <w:sz w:val="20"/>
                <w:szCs w:val="20"/>
              </w:rPr>
              <w:fldChar w:fldCharType="begin"/>
            </w:r>
            <w:r w:rsidRPr="003012D0">
              <w:rPr>
                <w:rFonts w:cs="Arial"/>
                <w:sz w:val="20"/>
                <w:szCs w:val="20"/>
              </w:rPr>
              <w:instrText xml:space="preserve"> REF _Ref422210348 \h </w:instrText>
            </w:r>
            <w:r>
              <w:rPr>
                <w:rFonts w:cs="Arial"/>
                <w:sz w:val="20"/>
                <w:szCs w:val="20"/>
              </w:rPr>
              <w:instrText xml:space="preserve"> \* MERGEFORMAT </w:instrText>
            </w:r>
            <w:r w:rsidRPr="003012D0">
              <w:rPr>
                <w:rFonts w:cs="Arial"/>
                <w:sz w:val="20"/>
                <w:szCs w:val="20"/>
              </w:rPr>
            </w:r>
            <w:r w:rsidRPr="003012D0">
              <w:rPr>
                <w:rFonts w:cs="Arial"/>
                <w:sz w:val="20"/>
                <w:szCs w:val="20"/>
              </w:rPr>
              <w:fldChar w:fldCharType="separate"/>
            </w:r>
            <w:r w:rsidR="00047581" w:rsidRPr="00047581">
              <w:rPr>
                <w:sz w:val="20"/>
                <w:szCs w:val="20"/>
                <w:lang w:val="en-AU"/>
              </w:rPr>
              <w:t>Absorption of added vitamins and minerals from plant-based milk substitutes</w:t>
            </w:r>
            <w:r w:rsidRPr="003012D0">
              <w:rPr>
                <w:rFonts w:cs="Arial"/>
                <w:sz w:val="20"/>
                <w:szCs w:val="20"/>
              </w:rPr>
              <w:fldChar w:fldCharType="end"/>
            </w:r>
          </w:p>
        </w:tc>
      </w:tr>
      <w:tr w:rsidR="00B75A91" w:rsidRPr="00F3545E" w14:paraId="7B0C8BB5" w14:textId="77777777" w:rsidTr="00733E40">
        <w:trPr>
          <w:cantSplit/>
        </w:trPr>
        <w:tc>
          <w:tcPr>
            <w:tcW w:w="1588" w:type="pct"/>
            <w:tcBorders>
              <w:bottom w:val="nil"/>
            </w:tcBorders>
          </w:tcPr>
          <w:p w14:paraId="1F94CFD1" w14:textId="61D90C22" w:rsidR="00B75A91" w:rsidRPr="00F3545E" w:rsidRDefault="00B75A91" w:rsidP="00D20A1E">
            <w:pPr>
              <w:keepNext/>
              <w:keepLines/>
              <w:widowControl/>
              <w:rPr>
                <w:rFonts w:cs="Arial"/>
                <w:sz w:val="20"/>
                <w:szCs w:val="20"/>
              </w:rPr>
            </w:pPr>
            <w:r w:rsidRPr="00F3545E">
              <w:rPr>
                <w:rFonts w:cs="Arial"/>
                <w:sz w:val="20"/>
                <w:szCs w:val="20"/>
              </w:rPr>
              <w:lastRenderedPageBreak/>
              <w:t>Dietary intakes of the requested vitamins and minerals</w:t>
            </w:r>
          </w:p>
        </w:tc>
        <w:tc>
          <w:tcPr>
            <w:tcW w:w="1823" w:type="pct"/>
          </w:tcPr>
          <w:p w14:paraId="2AF55327" w14:textId="19D8D100" w:rsidR="00B75A91" w:rsidRPr="00F3545E" w:rsidRDefault="00B75A91" w:rsidP="00D20A1E">
            <w:pPr>
              <w:keepNext/>
              <w:keepLines/>
              <w:widowControl/>
              <w:rPr>
                <w:rFonts w:cs="Arial"/>
                <w:sz w:val="20"/>
                <w:szCs w:val="20"/>
              </w:rPr>
            </w:pPr>
            <w:r w:rsidRPr="00F3545E">
              <w:rPr>
                <w:rFonts w:cs="Arial"/>
                <w:sz w:val="20"/>
                <w:szCs w:val="20"/>
              </w:rPr>
              <w:t xml:space="preserve">What are the differences in the dietary intakes of the requested vitamins and minerals between milk consumers and unfortified </w:t>
            </w:r>
            <w:r>
              <w:rPr>
                <w:rFonts w:cs="Arial"/>
                <w:sz w:val="20"/>
                <w:szCs w:val="20"/>
              </w:rPr>
              <w:t xml:space="preserve">nut- </w:t>
            </w:r>
            <w:r w:rsidRPr="00F3545E">
              <w:rPr>
                <w:rFonts w:cs="Arial"/>
                <w:sz w:val="20"/>
                <w:szCs w:val="20"/>
              </w:rPr>
              <w:t>and seed-based beverages consumers for all population groups?</w:t>
            </w:r>
          </w:p>
        </w:tc>
        <w:tc>
          <w:tcPr>
            <w:tcW w:w="1589" w:type="pct"/>
          </w:tcPr>
          <w:p w14:paraId="2083CAEC" w14:textId="6BDB9466" w:rsidR="00B75A91" w:rsidRPr="009752FB" w:rsidRDefault="00B75A91" w:rsidP="00D20A1E">
            <w:pPr>
              <w:keepNext/>
              <w:keepLines/>
              <w:widowControl/>
              <w:rPr>
                <w:rFonts w:cs="Arial"/>
                <w:sz w:val="20"/>
                <w:szCs w:val="20"/>
              </w:rPr>
            </w:pPr>
            <w:r>
              <w:rPr>
                <w:rFonts w:cs="Arial"/>
                <w:sz w:val="20"/>
                <w:szCs w:val="20"/>
              </w:rPr>
              <w:t xml:space="preserve">Differences between the general population (dairy and non-dairy consumers) and non-dairy consumers are provided in </w:t>
            </w:r>
            <w:r w:rsidRPr="009752FB">
              <w:rPr>
                <w:rFonts w:cs="Arial"/>
                <w:sz w:val="20"/>
                <w:szCs w:val="20"/>
              </w:rPr>
              <w:t xml:space="preserve">Section </w:t>
            </w:r>
            <w:r w:rsidRPr="009752FB">
              <w:rPr>
                <w:rFonts w:cs="Arial"/>
                <w:sz w:val="20"/>
                <w:szCs w:val="20"/>
              </w:rPr>
              <w:fldChar w:fldCharType="begin"/>
            </w:r>
            <w:r w:rsidRPr="009752FB">
              <w:rPr>
                <w:rFonts w:cs="Arial"/>
                <w:sz w:val="20"/>
                <w:szCs w:val="20"/>
              </w:rPr>
              <w:instrText xml:space="preserve"> REF _Ref421178382 \r \h </w:instrText>
            </w:r>
            <w:r>
              <w:rPr>
                <w:rFonts w:cs="Arial"/>
                <w:sz w:val="20"/>
                <w:szCs w:val="20"/>
              </w:rPr>
              <w:instrText xml:space="preserve"> \* MERGEFORMAT </w:instrText>
            </w:r>
            <w:r w:rsidRPr="009752FB">
              <w:rPr>
                <w:rFonts w:cs="Arial"/>
                <w:sz w:val="20"/>
                <w:szCs w:val="20"/>
              </w:rPr>
            </w:r>
            <w:r w:rsidRPr="009752FB">
              <w:rPr>
                <w:rFonts w:cs="Arial"/>
                <w:sz w:val="20"/>
                <w:szCs w:val="20"/>
              </w:rPr>
              <w:fldChar w:fldCharType="separate"/>
            </w:r>
            <w:r w:rsidR="00047581">
              <w:rPr>
                <w:rFonts w:cs="Arial"/>
                <w:sz w:val="20"/>
                <w:szCs w:val="20"/>
              </w:rPr>
              <w:t>8.2.1</w:t>
            </w:r>
            <w:r w:rsidRPr="009752FB">
              <w:rPr>
                <w:rFonts w:cs="Arial"/>
                <w:sz w:val="20"/>
                <w:szCs w:val="20"/>
              </w:rPr>
              <w:fldChar w:fldCharType="end"/>
            </w:r>
            <w:r w:rsidRPr="009752FB">
              <w:rPr>
                <w:rFonts w:cs="Arial"/>
                <w:sz w:val="20"/>
                <w:szCs w:val="20"/>
              </w:rPr>
              <w:t xml:space="preserve"> – </w:t>
            </w:r>
            <w:r w:rsidRPr="009752FB">
              <w:rPr>
                <w:rFonts w:cs="Arial"/>
                <w:sz w:val="20"/>
                <w:szCs w:val="20"/>
              </w:rPr>
              <w:fldChar w:fldCharType="begin"/>
            </w:r>
            <w:r w:rsidRPr="009752FB">
              <w:rPr>
                <w:rFonts w:cs="Arial"/>
                <w:sz w:val="20"/>
                <w:szCs w:val="20"/>
              </w:rPr>
              <w:instrText xml:space="preserve"> REF _Ref421178372 \h </w:instrText>
            </w:r>
            <w:r>
              <w:rPr>
                <w:rFonts w:cs="Arial"/>
                <w:sz w:val="20"/>
                <w:szCs w:val="20"/>
              </w:rPr>
              <w:instrText xml:space="preserve"> \* MERGEFORMAT </w:instrText>
            </w:r>
            <w:r w:rsidRPr="009752FB">
              <w:rPr>
                <w:rFonts w:cs="Arial"/>
                <w:sz w:val="20"/>
                <w:szCs w:val="20"/>
              </w:rPr>
            </w:r>
            <w:r w:rsidRPr="009752FB">
              <w:rPr>
                <w:rFonts w:cs="Arial"/>
                <w:sz w:val="20"/>
                <w:szCs w:val="20"/>
              </w:rPr>
              <w:fldChar w:fldCharType="separate"/>
            </w:r>
            <w:r w:rsidR="00047581" w:rsidRPr="00047581">
              <w:rPr>
                <w:sz w:val="20"/>
                <w:szCs w:val="20"/>
              </w:rPr>
              <w:t>Vitamin and mineral intakes</w:t>
            </w:r>
            <w:r w:rsidRPr="009752FB">
              <w:rPr>
                <w:rFonts w:cs="Arial"/>
                <w:sz w:val="20"/>
                <w:szCs w:val="20"/>
              </w:rPr>
              <w:fldChar w:fldCharType="end"/>
            </w:r>
            <w:r>
              <w:rPr>
                <w:rFonts w:cs="Arial"/>
                <w:sz w:val="20"/>
                <w:szCs w:val="20"/>
              </w:rPr>
              <w:t>.</w:t>
            </w:r>
          </w:p>
        </w:tc>
      </w:tr>
      <w:tr w:rsidR="00B75A91" w:rsidRPr="00F3545E" w14:paraId="1523A8A8" w14:textId="77777777" w:rsidTr="00733E40">
        <w:trPr>
          <w:cantSplit/>
        </w:trPr>
        <w:tc>
          <w:tcPr>
            <w:tcW w:w="1588" w:type="pct"/>
            <w:tcBorders>
              <w:top w:val="nil"/>
              <w:bottom w:val="nil"/>
            </w:tcBorders>
          </w:tcPr>
          <w:p w14:paraId="7248EAB1" w14:textId="5EDD5390" w:rsidR="00B75A91" w:rsidRPr="00F3545E" w:rsidRDefault="00B75A91" w:rsidP="00D20A1E">
            <w:pPr>
              <w:keepNext/>
              <w:keepLines/>
              <w:widowControl/>
              <w:rPr>
                <w:rFonts w:cs="Arial"/>
                <w:sz w:val="20"/>
                <w:szCs w:val="20"/>
              </w:rPr>
            </w:pPr>
          </w:p>
        </w:tc>
        <w:tc>
          <w:tcPr>
            <w:tcW w:w="1823" w:type="pct"/>
          </w:tcPr>
          <w:p w14:paraId="72606C07" w14:textId="20CE17DA" w:rsidR="00B75A91" w:rsidRPr="00F3545E" w:rsidRDefault="00B75A91" w:rsidP="00D20A1E">
            <w:pPr>
              <w:keepNext/>
              <w:keepLines/>
              <w:widowControl/>
              <w:rPr>
                <w:rFonts w:cs="Arial"/>
                <w:sz w:val="20"/>
                <w:szCs w:val="20"/>
              </w:rPr>
            </w:pPr>
            <w:r w:rsidRPr="00F3545E">
              <w:rPr>
                <w:rFonts w:cs="Arial"/>
                <w:sz w:val="20"/>
                <w:szCs w:val="20"/>
              </w:rPr>
              <w:t>What is the difference in the dietary intake of macronutrients of young children (aged 2</w:t>
            </w:r>
            <w:r w:rsidRPr="00F3545E">
              <w:rPr>
                <w:rFonts w:cs="Arial"/>
                <w:sz w:val="20"/>
                <w:szCs w:val="20"/>
              </w:rPr>
              <w:noBreakHyphen/>
              <w:t xml:space="preserve">5 years) consuming </w:t>
            </w:r>
            <w:r>
              <w:rPr>
                <w:rFonts w:cs="Arial"/>
                <w:sz w:val="20"/>
                <w:szCs w:val="20"/>
              </w:rPr>
              <w:t xml:space="preserve">nut- </w:t>
            </w:r>
            <w:r w:rsidRPr="00F3545E">
              <w:rPr>
                <w:rFonts w:cs="Arial"/>
                <w:sz w:val="20"/>
                <w:szCs w:val="20"/>
              </w:rPr>
              <w:t>and seed-based beverages without milk or legume-based beverages, compared to those consuming milk?</w:t>
            </w:r>
          </w:p>
        </w:tc>
        <w:tc>
          <w:tcPr>
            <w:tcW w:w="1589" w:type="pct"/>
          </w:tcPr>
          <w:p w14:paraId="781D3FC0" w14:textId="27305CA1" w:rsidR="00B75A91" w:rsidRPr="009752FB" w:rsidRDefault="00B75A91" w:rsidP="00D20A1E">
            <w:pPr>
              <w:keepNext/>
              <w:keepLines/>
              <w:widowControl/>
              <w:rPr>
                <w:rFonts w:cs="Arial"/>
                <w:sz w:val="20"/>
                <w:szCs w:val="20"/>
              </w:rPr>
            </w:pPr>
            <w:r w:rsidRPr="009752FB">
              <w:rPr>
                <w:rFonts w:cs="Arial"/>
                <w:sz w:val="20"/>
                <w:szCs w:val="20"/>
              </w:rPr>
              <w:t>Due to the low number of Australian non-dairy consumers aged 2</w:t>
            </w:r>
            <w:r>
              <w:rPr>
                <w:rFonts w:cs="Arial"/>
                <w:sz w:val="20"/>
                <w:szCs w:val="20"/>
              </w:rPr>
              <w:t>–</w:t>
            </w:r>
            <w:r w:rsidRPr="009752FB">
              <w:rPr>
                <w:rFonts w:cs="Arial"/>
                <w:sz w:val="20"/>
                <w:szCs w:val="20"/>
              </w:rPr>
              <w:t xml:space="preserve">4 years, nutrient intakes of these consumers should be interpreted as a guide only. See Section </w:t>
            </w:r>
            <w:r w:rsidRPr="009752FB">
              <w:rPr>
                <w:rFonts w:cs="Arial"/>
                <w:sz w:val="20"/>
                <w:szCs w:val="20"/>
              </w:rPr>
              <w:fldChar w:fldCharType="begin"/>
            </w:r>
            <w:r w:rsidRPr="009752FB">
              <w:rPr>
                <w:rFonts w:cs="Arial"/>
                <w:sz w:val="20"/>
                <w:szCs w:val="20"/>
              </w:rPr>
              <w:instrText xml:space="preserve"> REF _Ref420331166 \r \h </w:instrText>
            </w:r>
            <w:r>
              <w:rPr>
                <w:rFonts w:cs="Arial"/>
                <w:sz w:val="20"/>
                <w:szCs w:val="20"/>
              </w:rPr>
              <w:instrText xml:space="preserve"> \* MERGEFORMAT </w:instrText>
            </w:r>
            <w:r w:rsidRPr="009752FB">
              <w:rPr>
                <w:rFonts w:cs="Arial"/>
                <w:sz w:val="20"/>
                <w:szCs w:val="20"/>
              </w:rPr>
            </w:r>
            <w:r w:rsidRPr="009752FB">
              <w:rPr>
                <w:rFonts w:cs="Arial"/>
                <w:sz w:val="20"/>
                <w:szCs w:val="20"/>
              </w:rPr>
              <w:fldChar w:fldCharType="separate"/>
            </w:r>
            <w:r w:rsidR="00047581">
              <w:rPr>
                <w:rFonts w:cs="Arial"/>
                <w:sz w:val="20"/>
                <w:szCs w:val="20"/>
              </w:rPr>
              <w:t>8.2.1.1</w:t>
            </w:r>
            <w:r w:rsidRPr="009752FB">
              <w:rPr>
                <w:rFonts w:cs="Arial"/>
                <w:sz w:val="20"/>
                <w:szCs w:val="20"/>
              </w:rPr>
              <w:fldChar w:fldCharType="end"/>
            </w:r>
            <w:r w:rsidRPr="009752FB">
              <w:rPr>
                <w:rFonts w:cs="Arial"/>
                <w:sz w:val="20"/>
                <w:szCs w:val="20"/>
              </w:rPr>
              <w:t xml:space="preserve"> – </w:t>
            </w:r>
            <w:r w:rsidRPr="009752FB">
              <w:rPr>
                <w:rFonts w:cs="Arial"/>
                <w:sz w:val="20"/>
                <w:szCs w:val="20"/>
              </w:rPr>
              <w:fldChar w:fldCharType="begin"/>
            </w:r>
            <w:r w:rsidRPr="009752FB">
              <w:rPr>
                <w:rFonts w:cs="Arial"/>
                <w:sz w:val="20"/>
                <w:szCs w:val="20"/>
              </w:rPr>
              <w:instrText xml:space="preserve"> REF _Ref420331166 \h </w:instrText>
            </w:r>
            <w:r>
              <w:rPr>
                <w:rFonts w:cs="Arial"/>
                <w:sz w:val="20"/>
                <w:szCs w:val="20"/>
              </w:rPr>
              <w:instrText xml:space="preserve"> \* MERGEFORMAT </w:instrText>
            </w:r>
            <w:r w:rsidRPr="009752FB">
              <w:rPr>
                <w:rFonts w:cs="Arial"/>
                <w:sz w:val="20"/>
                <w:szCs w:val="20"/>
              </w:rPr>
            </w:r>
            <w:r w:rsidRPr="009752FB">
              <w:rPr>
                <w:rFonts w:cs="Arial"/>
                <w:sz w:val="20"/>
                <w:szCs w:val="20"/>
              </w:rPr>
              <w:fldChar w:fldCharType="separate"/>
            </w:r>
            <w:r w:rsidR="00047581" w:rsidRPr="00047581">
              <w:rPr>
                <w:sz w:val="20"/>
                <w:szCs w:val="20"/>
                <w:lang w:eastAsia="en-AU"/>
              </w:rPr>
              <w:t>Vitamin and mineral dietary intake assessments for non-dairy consumers, based on the cereal-based beverages assessment (A500)</w:t>
            </w:r>
            <w:r w:rsidRPr="009752FB">
              <w:rPr>
                <w:rFonts w:cs="Arial"/>
                <w:sz w:val="20"/>
                <w:szCs w:val="20"/>
              </w:rPr>
              <w:fldChar w:fldCharType="end"/>
            </w:r>
            <w:r w:rsidRPr="009752FB">
              <w:rPr>
                <w:rFonts w:cs="Arial"/>
                <w:sz w:val="20"/>
                <w:szCs w:val="20"/>
              </w:rPr>
              <w:t>.</w:t>
            </w:r>
          </w:p>
        </w:tc>
      </w:tr>
      <w:tr w:rsidR="00B75A91" w:rsidRPr="00F3545E" w14:paraId="034267B7" w14:textId="77777777" w:rsidTr="00733E40">
        <w:trPr>
          <w:cantSplit/>
        </w:trPr>
        <w:tc>
          <w:tcPr>
            <w:tcW w:w="1588" w:type="pct"/>
            <w:tcBorders>
              <w:top w:val="nil"/>
            </w:tcBorders>
          </w:tcPr>
          <w:p w14:paraId="486C0A5D" w14:textId="2A934928" w:rsidR="00B75A91" w:rsidRPr="00F3545E" w:rsidRDefault="00B75A91" w:rsidP="00D20A1E">
            <w:pPr>
              <w:keepNext/>
              <w:keepLines/>
              <w:widowControl/>
              <w:rPr>
                <w:rFonts w:cs="Arial"/>
                <w:sz w:val="20"/>
                <w:szCs w:val="20"/>
              </w:rPr>
            </w:pPr>
          </w:p>
        </w:tc>
        <w:tc>
          <w:tcPr>
            <w:tcW w:w="1823" w:type="pct"/>
          </w:tcPr>
          <w:p w14:paraId="73D661E1" w14:textId="4BFE6383" w:rsidR="00B75A91" w:rsidRPr="00F3545E" w:rsidRDefault="00B75A91" w:rsidP="00D20A1E">
            <w:pPr>
              <w:keepNext/>
              <w:keepLines/>
              <w:widowControl/>
              <w:rPr>
                <w:rFonts w:cs="Arial"/>
                <w:sz w:val="20"/>
                <w:szCs w:val="20"/>
              </w:rPr>
            </w:pPr>
            <w:r w:rsidRPr="00F3545E">
              <w:rPr>
                <w:rFonts w:cs="Arial"/>
                <w:sz w:val="20"/>
                <w:szCs w:val="20"/>
              </w:rPr>
              <w:t xml:space="preserve">What is the risk of excess dietary intake of the requested vitamins and minerals for all population groups if added to </w:t>
            </w:r>
            <w:r>
              <w:rPr>
                <w:rFonts w:cs="Arial"/>
                <w:sz w:val="20"/>
                <w:szCs w:val="20"/>
              </w:rPr>
              <w:t xml:space="preserve">nut- </w:t>
            </w:r>
            <w:r w:rsidRPr="00F3545E">
              <w:rPr>
                <w:rFonts w:cs="Arial"/>
                <w:sz w:val="20"/>
                <w:szCs w:val="20"/>
              </w:rPr>
              <w:t>and seed-based beverages?</w:t>
            </w:r>
          </w:p>
        </w:tc>
        <w:tc>
          <w:tcPr>
            <w:tcW w:w="1589" w:type="pct"/>
          </w:tcPr>
          <w:p w14:paraId="0275FB9D" w14:textId="4DD27D87" w:rsidR="00B75A91" w:rsidRPr="009752FB" w:rsidRDefault="00B75A91" w:rsidP="00D20A1E">
            <w:pPr>
              <w:keepNext/>
              <w:keepLines/>
              <w:widowControl/>
              <w:rPr>
                <w:rFonts w:cs="Arial"/>
                <w:sz w:val="20"/>
                <w:szCs w:val="20"/>
              </w:rPr>
            </w:pPr>
            <w:r w:rsidRPr="009752FB">
              <w:rPr>
                <w:rFonts w:cs="Arial"/>
                <w:sz w:val="20"/>
                <w:szCs w:val="20"/>
              </w:rPr>
              <w:t xml:space="preserve">Section </w:t>
            </w:r>
            <w:r w:rsidRPr="009752FB">
              <w:rPr>
                <w:rFonts w:cs="Arial"/>
                <w:sz w:val="20"/>
                <w:szCs w:val="20"/>
              </w:rPr>
              <w:fldChar w:fldCharType="begin"/>
            </w:r>
            <w:r w:rsidRPr="009752FB">
              <w:rPr>
                <w:rFonts w:cs="Arial"/>
                <w:sz w:val="20"/>
                <w:szCs w:val="20"/>
              </w:rPr>
              <w:instrText xml:space="preserve"> REF _Ref421178600 \r \h </w:instrText>
            </w:r>
            <w:r>
              <w:rPr>
                <w:rFonts w:cs="Arial"/>
                <w:sz w:val="20"/>
                <w:szCs w:val="20"/>
              </w:rPr>
              <w:instrText xml:space="preserve"> \* MERGEFORMAT </w:instrText>
            </w:r>
            <w:r w:rsidRPr="009752FB">
              <w:rPr>
                <w:rFonts w:cs="Arial"/>
                <w:sz w:val="20"/>
                <w:szCs w:val="20"/>
              </w:rPr>
            </w:r>
            <w:r w:rsidRPr="009752FB">
              <w:rPr>
                <w:rFonts w:cs="Arial"/>
                <w:sz w:val="20"/>
                <w:szCs w:val="20"/>
              </w:rPr>
              <w:fldChar w:fldCharType="separate"/>
            </w:r>
            <w:r w:rsidR="00047581">
              <w:rPr>
                <w:rFonts w:cs="Arial"/>
                <w:sz w:val="20"/>
                <w:szCs w:val="20"/>
              </w:rPr>
              <w:t>9</w:t>
            </w:r>
            <w:r w:rsidRPr="009752FB">
              <w:rPr>
                <w:rFonts w:cs="Arial"/>
                <w:sz w:val="20"/>
                <w:szCs w:val="20"/>
              </w:rPr>
              <w:fldChar w:fldCharType="end"/>
            </w:r>
            <w:r w:rsidRPr="009752FB">
              <w:rPr>
                <w:rFonts w:cs="Arial"/>
                <w:sz w:val="20"/>
                <w:szCs w:val="20"/>
              </w:rPr>
              <w:t xml:space="preserve"> –</w:t>
            </w:r>
            <w:r>
              <w:rPr>
                <w:rFonts w:cs="Arial"/>
                <w:sz w:val="20"/>
                <w:szCs w:val="20"/>
              </w:rPr>
              <w:t xml:space="preserve"> </w:t>
            </w:r>
            <w:r w:rsidRPr="009752FB">
              <w:rPr>
                <w:rFonts w:cs="Arial"/>
                <w:sz w:val="20"/>
                <w:szCs w:val="20"/>
              </w:rPr>
              <w:fldChar w:fldCharType="begin"/>
            </w:r>
            <w:r w:rsidRPr="009752FB">
              <w:rPr>
                <w:rFonts w:cs="Arial"/>
                <w:sz w:val="20"/>
                <w:szCs w:val="20"/>
              </w:rPr>
              <w:instrText xml:space="preserve"> REF _Ref421178608 \h </w:instrText>
            </w:r>
            <w:r>
              <w:rPr>
                <w:rFonts w:cs="Arial"/>
                <w:sz w:val="20"/>
                <w:szCs w:val="20"/>
              </w:rPr>
              <w:instrText xml:space="preserve"> \* MERGEFORMAT </w:instrText>
            </w:r>
            <w:r w:rsidRPr="009752FB">
              <w:rPr>
                <w:rFonts w:cs="Arial"/>
                <w:sz w:val="20"/>
                <w:szCs w:val="20"/>
              </w:rPr>
            </w:r>
            <w:r w:rsidRPr="009752FB">
              <w:rPr>
                <w:rFonts w:cs="Arial"/>
                <w:sz w:val="20"/>
                <w:szCs w:val="20"/>
              </w:rPr>
              <w:fldChar w:fldCharType="separate"/>
            </w:r>
            <w:r w:rsidR="00047581" w:rsidRPr="00047581">
              <w:rPr>
                <w:sz w:val="20"/>
                <w:szCs w:val="20"/>
              </w:rPr>
              <w:t>Risk of excess nutrient intakes</w:t>
            </w:r>
            <w:r w:rsidRPr="009752FB">
              <w:rPr>
                <w:rFonts w:cs="Arial"/>
                <w:sz w:val="20"/>
                <w:szCs w:val="20"/>
              </w:rPr>
              <w:fldChar w:fldCharType="end"/>
            </w:r>
          </w:p>
        </w:tc>
      </w:tr>
    </w:tbl>
    <w:p w14:paraId="23E33007" w14:textId="46ECD6FC" w:rsidR="00511A29" w:rsidRPr="00E203C2" w:rsidRDefault="00511A29" w:rsidP="00D20A1E">
      <w:pPr>
        <w:widowControl/>
      </w:pPr>
    </w:p>
    <w:sectPr w:rsidR="00511A29" w:rsidRPr="00E203C2" w:rsidSect="00932BFD">
      <w:pgSz w:w="16838" w:h="11906" w:orient="landscape"/>
      <w:pgMar w:top="1440" w:right="1440" w:bottom="1440" w:left="1440" w:header="709" w:footer="709" w:gutter="0"/>
      <w:pgBorders w:offsetFrom="page">
        <w:top w:val="single" w:sz="2" w:space="6" w:color="FFFFFF" w:themeColor="accent5" w:themeTint="00" w:themeShade="00" w:shadow="1" w:frame="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D9B66" w14:textId="77777777" w:rsidR="00AB53A3" w:rsidRDefault="00AB53A3">
      <w:r>
        <w:separator/>
      </w:r>
    </w:p>
  </w:endnote>
  <w:endnote w:type="continuationSeparator" w:id="0">
    <w:p w14:paraId="34810ED5" w14:textId="77777777" w:rsidR="00AB53A3" w:rsidRDefault="00AB53A3">
      <w:r>
        <w:continuationSeparator/>
      </w:r>
    </w:p>
  </w:endnote>
  <w:endnote w:type="continuationNotice" w:id="1">
    <w:p w14:paraId="105AFAE0" w14:textId="77777777" w:rsidR="00AB53A3" w:rsidRDefault="00AB5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B01F0" w14:textId="77777777" w:rsidR="00AB53A3" w:rsidRDefault="00AB53A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1B01F1" w14:textId="77777777" w:rsidR="00AB53A3" w:rsidRDefault="00AB5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B01F2" w14:textId="77777777" w:rsidR="00AB53A3" w:rsidRDefault="00AB53A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3B53">
      <w:rPr>
        <w:rStyle w:val="PageNumber"/>
        <w:noProof/>
      </w:rPr>
      <w:t>9</w:t>
    </w:r>
    <w:r>
      <w:rPr>
        <w:rStyle w:val="PageNumber"/>
      </w:rPr>
      <w:fldChar w:fldCharType="end"/>
    </w:r>
  </w:p>
  <w:p w14:paraId="381B01F3" w14:textId="77777777" w:rsidR="00AB53A3" w:rsidRDefault="00AB53A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75A6B" w14:textId="77777777" w:rsidR="00BE2575" w:rsidRDefault="00BE2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39CC3" w14:textId="77777777" w:rsidR="00AB53A3" w:rsidRDefault="00AB53A3">
      <w:r>
        <w:separator/>
      </w:r>
    </w:p>
  </w:footnote>
  <w:footnote w:type="continuationSeparator" w:id="0">
    <w:p w14:paraId="55C4ACB1" w14:textId="77777777" w:rsidR="00AB53A3" w:rsidRDefault="00AB53A3">
      <w:r>
        <w:continuationSeparator/>
      </w:r>
    </w:p>
  </w:footnote>
  <w:footnote w:type="continuationNotice" w:id="1">
    <w:p w14:paraId="31DB8229" w14:textId="77777777" w:rsidR="00AB53A3" w:rsidRDefault="00AB53A3"/>
  </w:footnote>
  <w:footnote w:id="2">
    <w:p w14:paraId="251B8481" w14:textId="5966E80F" w:rsidR="00AB53A3" w:rsidRPr="00B5353D" w:rsidRDefault="00AB53A3" w:rsidP="00CE1D8E">
      <w:pPr>
        <w:pStyle w:val="FootnoteText"/>
        <w:rPr>
          <w:sz w:val="18"/>
          <w:lang w:val="en-AU"/>
        </w:rPr>
      </w:pPr>
      <w:r w:rsidRPr="00B5353D">
        <w:rPr>
          <w:rStyle w:val="FootnoteReference"/>
          <w:sz w:val="18"/>
        </w:rPr>
        <w:footnoteRef/>
      </w:r>
      <w:r w:rsidRPr="00B5353D">
        <w:rPr>
          <w:sz w:val="18"/>
        </w:rPr>
        <w:t xml:space="preserve"> </w:t>
      </w:r>
      <w:r w:rsidRPr="00B9098C">
        <w:rPr>
          <w:sz w:val="18"/>
        </w:rPr>
        <w:t xml:space="preserve">As per categories in </w:t>
      </w:r>
      <w:r w:rsidRPr="00B9098C">
        <w:rPr>
          <w:sz w:val="18"/>
          <w:lang w:val="en-AU"/>
        </w:rPr>
        <w:t>Section S17-4 of the revised Code</w:t>
      </w:r>
    </w:p>
  </w:footnote>
  <w:footnote w:id="3">
    <w:p w14:paraId="1E74C523" w14:textId="77777777" w:rsidR="00AB53A3" w:rsidRPr="00B5353D" w:rsidRDefault="00AB53A3" w:rsidP="005D7054">
      <w:pPr>
        <w:pStyle w:val="FootnoteText"/>
        <w:rPr>
          <w:sz w:val="18"/>
          <w:lang w:val="en-AU"/>
        </w:rPr>
      </w:pPr>
      <w:r w:rsidRPr="00B5353D">
        <w:rPr>
          <w:rStyle w:val="FootnoteReference"/>
          <w:sz w:val="18"/>
        </w:rPr>
        <w:footnoteRef/>
      </w:r>
      <w:r w:rsidRPr="00B5353D">
        <w:rPr>
          <w:sz w:val="18"/>
        </w:rPr>
        <w:t xml:space="preserve"> For A500, a ‘non-dairy’ consumer was defined as a 1995 AusNNS or 1997 NZNNS survey respondent who did not eat milk, milk yoghurt, cream, milk cheese, frozen and unfrozen milk desserts, dairy spreads, butter, oil/cream base sauces or pizza. Additionally, for Australian respondents, a ‘non-dairy consumer’ did not eat milk-based meal replacements, infant custards or yoghurts or relevant dairy-based sauces.</w:t>
      </w:r>
    </w:p>
  </w:footnote>
  <w:footnote w:id="4">
    <w:p w14:paraId="4537CAC6" w14:textId="77777777" w:rsidR="00AB53A3" w:rsidRPr="00BD7B1C" w:rsidRDefault="00AB53A3" w:rsidP="00C03610">
      <w:pPr>
        <w:pStyle w:val="FootnoteText"/>
        <w:rPr>
          <w:lang w:val="en-AU"/>
        </w:rPr>
      </w:pPr>
      <w:r w:rsidRPr="00051D04">
        <w:rPr>
          <w:rStyle w:val="FootnoteReference"/>
          <w:sz w:val="18"/>
        </w:rPr>
        <w:footnoteRef/>
      </w:r>
      <w:r w:rsidRPr="00051D04">
        <w:rPr>
          <w:sz w:val="18"/>
        </w:rPr>
        <w:t xml:space="preserve"> </w:t>
      </w:r>
      <w:r w:rsidRPr="00051D04">
        <w:rPr>
          <w:sz w:val="18"/>
          <w:lang w:val="en-AU"/>
        </w:rPr>
        <w:t>Terminology as per Retail World Pty Ltd publication</w:t>
      </w:r>
    </w:p>
  </w:footnote>
  <w:footnote w:id="5">
    <w:p w14:paraId="452D6651" w14:textId="77777777" w:rsidR="00AB53A3" w:rsidRPr="005076F8" w:rsidRDefault="00AB53A3" w:rsidP="004E6FAB">
      <w:pPr>
        <w:pStyle w:val="FootnoteText"/>
        <w:rPr>
          <w:sz w:val="18"/>
          <w:lang w:val="en-AU"/>
        </w:rPr>
      </w:pPr>
      <w:r w:rsidRPr="005076F8">
        <w:rPr>
          <w:rStyle w:val="FootnoteReference"/>
          <w:sz w:val="18"/>
        </w:rPr>
        <w:footnoteRef/>
      </w:r>
      <w:r w:rsidRPr="005076F8">
        <w:rPr>
          <w:sz w:val="18"/>
        </w:rPr>
        <w:t xml:space="preserve"> </w:t>
      </w:r>
      <w:r w:rsidRPr="005076F8">
        <w:rPr>
          <w:sz w:val="18"/>
          <w:lang w:val="en-AU"/>
        </w:rPr>
        <w:t>Four questions were asked, relating to: the cholesterol content of soy milk; soy milk as a reasonable alternative to cow’s milk for people allergic to cow’s milk; nutritional content of soy milk compared to cow’s milk; health benefits of soy milk compared to cow’s milk.</w:t>
      </w:r>
    </w:p>
  </w:footnote>
  <w:footnote w:id="6">
    <w:p w14:paraId="44C215C7" w14:textId="77777777" w:rsidR="00AB53A3" w:rsidRPr="00EB2669" w:rsidRDefault="00AB53A3" w:rsidP="00A16296">
      <w:pPr>
        <w:pStyle w:val="FootnoteText"/>
        <w:rPr>
          <w:lang w:val="en-AU"/>
        </w:rPr>
      </w:pPr>
      <w:r w:rsidRPr="005076F8">
        <w:rPr>
          <w:rStyle w:val="FootnoteReference"/>
          <w:sz w:val="18"/>
        </w:rPr>
        <w:footnoteRef/>
      </w:r>
      <w:r w:rsidRPr="005076F8">
        <w:rPr>
          <w:sz w:val="18"/>
        </w:rPr>
        <w:t xml:space="preserve"> Milk is regarded as a complete protein as it contains all essential amino acids. Whey protein is more soluble than casein and is highly bioavailable. Whey protein has the highest biological value of all protein sources.</w:t>
      </w:r>
    </w:p>
  </w:footnote>
  <w:footnote w:id="7">
    <w:p w14:paraId="6A90EC66" w14:textId="77777777" w:rsidR="00AB53A3" w:rsidRPr="004771AC" w:rsidRDefault="00AB53A3" w:rsidP="00792561">
      <w:pPr>
        <w:pStyle w:val="FootnoteText"/>
        <w:rPr>
          <w:lang w:val="en-AU"/>
        </w:rPr>
      </w:pPr>
      <w:r w:rsidRPr="00513153">
        <w:rPr>
          <w:rStyle w:val="FootnoteReference"/>
          <w:sz w:val="18"/>
        </w:rPr>
        <w:footnoteRef/>
      </w:r>
      <w:r w:rsidRPr="00513153">
        <w:rPr>
          <w:sz w:val="18"/>
        </w:rPr>
        <w:t xml:space="preserve"> </w:t>
      </w:r>
      <w:r w:rsidRPr="00513153">
        <w:rPr>
          <w:sz w:val="18"/>
          <w:lang w:val="en-AU"/>
        </w:rPr>
        <w:t>Phytate is the salt form of phytic acid, also known as inositol hexakisphosphate. Phosphorous contained in phytic acid can be released by hydrolysis under certain processing conditions or in digestion by the enzyme phytase.</w:t>
      </w:r>
    </w:p>
  </w:footnote>
  <w:footnote w:id="8">
    <w:p w14:paraId="50017293" w14:textId="17230F71" w:rsidR="00AB53A3" w:rsidRPr="00513153" w:rsidRDefault="00AB53A3" w:rsidP="00E53F99">
      <w:pPr>
        <w:pStyle w:val="FootnoteText"/>
        <w:rPr>
          <w:sz w:val="18"/>
          <w:lang w:val="en-AU"/>
        </w:rPr>
      </w:pPr>
      <w:r w:rsidRPr="00513153">
        <w:rPr>
          <w:rStyle w:val="FootnoteReference"/>
          <w:sz w:val="18"/>
        </w:rPr>
        <w:footnoteRef/>
      </w:r>
      <w:r w:rsidRPr="00513153">
        <w:rPr>
          <w:sz w:val="18"/>
        </w:rPr>
        <w:t xml:space="preserve"> ‘</w:t>
      </w:r>
      <w:r w:rsidRPr="00513153">
        <w:rPr>
          <w:sz w:val="18"/>
          <w:lang w:val="en-AU"/>
        </w:rPr>
        <w:t>Milk’ includes fluid milk, evaporated milk, condensed milk and milk powder (including undiluted and dry forms) from cows, sheep and goats, irrespective of fat content. Milkshakes, flavoured milks and milk used in recipes are not included.</w:t>
      </w:r>
    </w:p>
  </w:footnote>
  <w:footnote w:id="9">
    <w:p w14:paraId="2DF19CF6" w14:textId="1B231C83" w:rsidR="00AB53A3" w:rsidRPr="00C82B8E" w:rsidRDefault="00AB53A3">
      <w:pPr>
        <w:pStyle w:val="FootnoteText"/>
        <w:rPr>
          <w:lang w:val="en-AU"/>
        </w:rPr>
      </w:pPr>
      <w:r w:rsidRPr="00513153">
        <w:rPr>
          <w:rStyle w:val="FootnoteReference"/>
          <w:sz w:val="18"/>
        </w:rPr>
        <w:footnoteRef/>
      </w:r>
      <w:r w:rsidRPr="00513153">
        <w:rPr>
          <w:sz w:val="18"/>
        </w:rPr>
        <w:t xml:space="preserve"> These age groups are different to those listed in </w:t>
      </w:r>
      <w:r w:rsidRPr="00513153">
        <w:rPr>
          <w:sz w:val="18"/>
        </w:rPr>
        <w:fldChar w:fldCharType="begin"/>
      </w:r>
      <w:r w:rsidRPr="00513153">
        <w:rPr>
          <w:sz w:val="18"/>
        </w:rPr>
        <w:instrText xml:space="preserve"> REF _Ref417649119 \h </w:instrText>
      </w:r>
      <w:r>
        <w:rPr>
          <w:sz w:val="18"/>
        </w:rPr>
        <w:instrText xml:space="preserve"> \* MERGEFORMAT </w:instrText>
      </w:r>
      <w:r w:rsidRPr="00513153">
        <w:rPr>
          <w:sz w:val="18"/>
        </w:rPr>
      </w:r>
      <w:r w:rsidRPr="00513153">
        <w:rPr>
          <w:sz w:val="18"/>
        </w:rPr>
        <w:fldChar w:fldCharType="separate"/>
      </w:r>
      <w:r w:rsidRPr="00513153">
        <w:rPr>
          <w:sz w:val="18"/>
        </w:rPr>
        <w:t>Table A1.</w:t>
      </w:r>
      <w:r w:rsidRPr="00513153">
        <w:rPr>
          <w:noProof/>
          <w:sz w:val="18"/>
        </w:rPr>
        <w:t>4</w:t>
      </w:r>
      <w:r w:rsidRPr="00513153">
        <w:rPr>
          <w:sz w:val="18"/>
        </w:rPr>
        <w:fldChar w:fldCharType="end"/>
      </w:r>
      <w:r w:rsidRPr="00513153">
        <w:rPr>
          <w:sz w:val="18"/>
        </w:rPr>
        <w:t>. These are groups are as per the A500 report on cereal-based beverages.</w:t>
      </w:r>
    </w:p>
  </w:footnote>
  <w:footnote w:id="10">
    <w:p w14:paraId="09F6CB7A" w14:textId="4CCD2128" w:rsidR="00AB53A3" w:rsidRPr="00AD6712" w:rsidRDefault="00AB53A3">
      <w:pPr>
        <w:pStyle w:val="FootnoteText"/>
        <w:rPr>
          <w:lang w:val="en-AU"/>
        </w:rPr>
      </w:pPr>
      <w:r w:rsidRPr="0023423F">
        <w:rPr>
          <w:rStyle w:val="FootnoteReference"/>
          <w:sz w:val="18"/>
        </w:rPr>
        <w:footnoteRef/>
      </w:r>
      <w:r w:rsidRPr="0023423F">
        <w:rPr>
          <w:sz w:val="18"/>
        </w:rPr>
        <w:t xml:space="preserve"> This assessment (A1104) used a revised methodology for assessing iodine intakes for the 1997 NZNNS to allow a comparison between the 2008 NZANS and the 1997 NZ NNS. The A500 assessment of iodine intakes used a different methodology for assessing iodine intakes for the 1997 NZNNS.</w:t>
      </w:r>
    </w:p>
  </w:footnote>
  <w:footnote w:id="11">
    <w:p w14:paraId="50C024EA" w14:textId="77777777" w:rsidR="00AB53A3" w:rsidRPr="001D0FBF" w:rsidRDefault="00AB53A3" w:rsidP="00DD3AC7">
      <w:pPr>
        <w:pStyle w:val="FootnoteText"/>
        <w:rPr>
          <w:sz w:val="18"/>
          <w:szCs w:val="18"/>
          <w:lang w:val="en-AU"/>
        </w:rPr>
      </w:pPr>
      <w:r w:rsidRPr="001D0FBF">
        <w:rPr>
          <w:rStyle w:val="FootnoteReference"/>
          <w:sz w:val="18"/>
          <w:szCs w:val="18"/>
        </w:rPr>
        <w:footnoteRef/>
      </w:r>
      <w:r w:rsidRPr="001D0FBF">
        <w:rPr>
          <w:sz w:val="18"/>
          <w:szCs w:val="18"/>
        </w:rPr>
        <w:t xml:space="preserve"> The Upper L</w:t>
      </w:r>
      <w:r>
        <w:rPr>
          <w:sz w:val="18"/>
          <w:szCs w:val="18"/>
        </w:rPr>
        <w:t>evel</w:t>
      </w:r>
      <w:r w:rsidRPr="001D0FBF">
        <w:rPr>
          <w:sz w:val="18"/>
          <w:szCs w:val="18"/>
        </w:rPr>
        <w:t xml:space="preserve"> is defined as “…The highest average daily nutrient intake level likely to pose no adverse health effects to almost all individuals in the general population….” (NHMRC and NZ MOH 2006)</w:t>
      </w:r>
    </w:p>
  </w:footnote>
  <w:footnote w:id="12">
    <w:p w14:paraId="56F472E6" w14:textId="6601F90D" w:rsidR="00AB53A3" w:rsidRPr="001D0FBF" w:rsidRDefault="00AB53A3">
      <w:pPr>
        <w:pStyle w:val="FootnoteText"/>
        <w:rPr>
          <w:sz w:val="18"/>
          <w:szCs w:val="18"/>
          <w:lang w:val="en-AU"/>
        </w:rPr>
      </w:pPr>
      <w:r w:rsidRPr="001D0FBF">
        <w:rPr>
          <w:rStyle w:val="FootnoteReference"/>
          <w:sz w:val="18"/>
          <w:szCs w:val="18"/>
        </w:rPr>
        <w:footnoteRef/>
      </w:r>
      <w:r w:rsidRPr="001D0FBF">
        <w:rPr>
          <w:sz w:val="18"/>
          <w:szCs w:val="18"/>
        </w:rPr>
        <w:t xml:space="preserve"> The Provisional Maximum Tolerable Daily Intake is an indication of “…the safe level of intake of a contaminant with no cumulative properties…” (WHO 2009).</w:t>
      </w:r>
    </w:p>
  </w:footnote>
  <w:footnote w:id="13">
    <w:p w14:paraId="70F79F2D" w14:textId="77777777" w:rsidR="00AB53A3" w:rsidRPr="0023423F" w:rsidRDefault="00AB53A3" w:rsidP="00FA41E0">
      <w:pPr>
        <w:pStyle w:val="FootnoteText"/>
        <w:rPr>
          <w:sz w:val="18"/>
          <w:lang w:val="en-AU"/>
        </w:rPr>
      </w:pPr>
      <w:r w:rsidRPr="0023423F">
        <w:rPr>
          <w:rStyle w:val="FootnoteReference"/>
          <w:sz w:val="18"/>
        </w:rPr>
        <w:footnoteRef/>
      </w:r>
      <w:r w:rsidRPr="0023423F">
        <w:rPr>
          <w:sz w:val="18"/>
        </w:rPr>
        <w:t xml:space="preserve"> </w:t>
      </w:r>
      <w:r w:rsidRPr="0023423F">
        <w:rPr>
          <w:sz w:val="18"/>
          <w:lang w:val="en-AU"/>
        </w:rPr>
        <w:t>Of the respondents who were asked about whole milk, and of the respondents who were asked about reduced-fat milk, respectively.</w:t>
      </w:r>
    </w:p>
  </w:footnote>
  <w:footnote w:id="14">
    <w:p w14:paraId="66A264C7" w14:textId="77777777" w:rsidR="00AB53A3" w:rsidRPr="0023423F" w:rsidRDefault="00AB53A3" w:rsidP="00FA41E0">
      <w:pPr>
        <w:pStyle w:val="FootnoteText"/>
        <w:rPr>
          <w:sz w:val="18"/>
          <w:lang w:val="en-AU"/>
        </w:rPr>
      </w:pPr>
      <w:r w:rsidRPr="0023423F">
        <w:rPr>
          <w:rStyle w:val="FootnoteReference"/>
          <w:sz w:val="18"/>
        </w:rPr>
        <w:footnoteRef/>
      </w:r>
      <w:r w:rsidRPr="0023423F">
        <w:rPr>
          <w:sz w:val="18"/>
        </w:rPr>
        <w:t xml:space="preserve"> </w:t>
      </w:r>
      <w:r w:rsidRPr="0023423F">
        <w:rPr>
          <w:sz w:val="18"/>
          <w:lang w:val="en-AU"/>
        </w:rPr>
        <w:t>There were nine diseases examined in the study: blindness; diabetes; kidney stones; high blood pressure; heart problems; cancer; high cholesterol; obesity; asthma.</w:t>
      </w:r>
    </w:p>
  </w:footnote>
  <w:footnote w:id="15">
    <w:p w14:paraId="7F0101A1" w14:textId="77777777" w:rsidR="00AB53A3" w:rsidRPr="0023423F" w:rsidRDefault="00AB53A3" w:rsidP="00FA41E0">
      <w:pPr>
        <w:pStyle w:val="FootnoteText"/>
        <w:rPr>
          <w:sz w:val="18"/>
          <w:lang w:val="en-AU"/>
        </w:rPr>
      </w:pPr>
      <w:r w:rsidRPr="0023423F">
        <w:rPr>
          <w:rStyle w:val="FootnoteReference"/>
          <w:sz w:val="18"/>
        </w:rPr>
        <w:footnoteRef/>
      </w:r>
      <w:r w:rsidRPr="0023423F">
        <w:rPr>
          <w:sz w:val="18"/>
        </w:rPr>
        <w:t xml:space="preserve"> </w:t>
      </w:r>
      <w:r w:rsidRPr="0023423F">
        <w:rPr>
          <w:sz w:val="18"/>
          <w:lang w:val="en-AU"/>
        </w:rPr>
        <w:t>There were five allergy-type factors examined in the study: allergy; mucus; asthma; hay fever; lactose intolerance.</w:t>
      </w:r>
    </w:p>
  </w:footnote>
  <w:footnote w:id="16">
    <w:p w14:paraId="64A8676F" w14:textId="77777777" w:rsidR="00AB53A3" w:rsidRPr="00D0243D" w:rsidRDefault="00AB53A3" w:rsidP="00FA41E0">
      <w:pPr>
        <w:pStyle w:val="FootnoteText"/>
        <w:rPr>
          <w:lang w:val="en-AU"/>
        </w:rPr>
      </w:pPr>
      <w:r w:rsidRPr="0023423F">
        <w:rPr>
          <w:rStyle w:val="FootnoteReference"/>
          <w:sz w:val="18"/>
        </w:rPr>
        <w:footnoteRef/>
      </w:r>
      <w:r w:rsidRPr="0023423F">
        <w:rPr>
          <w:sz w:val="18"/>
        </w:rPr>
        <w:t xml:space="preserve"> </w:t>
      </w:r>
      <w:r w:rsidRPr="0023423F">
        <w:rPr>
          <w:sz w:val="18"/>
          <w:lang w:val="en-AU"/>
        </w:rPr>
        <w:t>There were four diseases examined in the study: cancer; blindness; menopausal problems; anaemia.</w:t>
      </w:r>
    </w:p>
  </w:footnote>
  <w:footnote w:id="17">
    <w:p w14:paraId="282388D1" w14:textId="0CDD483C" w:rsidR="00AB53A3" w:rsidRPr="001E67B0" w:rsidRDefault="00AB53A3">
      <w:pPr>
        <w:pStyle w:val="FootnoteText"/>
        <w:rPr>
          <w:lang w:val="en-AU"/>
        </w:rPr>
      </w:pPr>
      <w:r w:rsidRPr="0023423F">
        <w:rPr>
          <w:rStyle w:val="FootnoteReference"/>
          <w:sz w:val="18"/>
        </w:rPr>
        <w:footnoteRef/>
      </w:r>
      <w:r w:rsidRPr="0023423F">
        <w:rPr>
          <w:sz w:val="18"/>
        </w:rPr>
        <w:t xml:space="preserve"> ‘Milk’ includes fluid milk, evaporated milk, condensed milk and milk powder (including undiluted and dry forms) from cows, sheep and goats, irrespective of fat content. Milkshakes, flavoured milks and milk used in recipes are not included.</w:t>
      </w:r>
    </w:p>
  </w:footnote>
  <w:footnote w:id="18">
    <w:p w14:paraId="28C304FA" w14:textId="4C0C4F6E" w:rsidR="00AB53A3" w:rsidRPr="001E67B0" w:rsidRDefault="00AB53A3">
      <w:pPr>
        <w:pStyle w:val="FootnoteText"/>
        <w:rPr>
          <w:lang w:val="en-AU"/>
        </w:rPr>
      </w:pPr>
      <w:r>
        <w:rPr>
          <w:rStyle w:val="FootnoteReference"/>
        </w:rPr>
        <w:footnoteRef/>
      </w:r>
      <w:r>
        <w:t xml:space="preserve"> ‘</w:t>
      </w:r>
      <w:r>
        <w:rPr>
          <w:lang w:val="en-AU"/>
        </w:rPr>
        <w:t xml:space="preserve">Milk’ includes </w:t>
      </w:r>
      <w:r w:rsidRPr="00E53F99">
        <w:rPr>
          <w:lang w:val="en-AU"/>
        </w:rPr>
        <w:t>fluid milk, evaporated milk, condensed milk and milk powder</w:t>
      </w:r>
      <w:r>
        <w:rPr>
          <w:lang w:val="en-AU"/>
        </w:rPr>
        <w:t xml:space="preserve"> </w:t>
      </w:r>
      <w:r w:rsidRPr="00E53F99">
        <w:rPr>
          <w:lang w:val="en-AU"/>
        </w:rPr>
        <w:t>(including undiluted and dry forms)</w:t>
      </w:r>
      <w:r>
        <w:rPr>
          <w:lang w:val="en-AU"/>
        </w:rPr>
        <w:t xml:space="preserve"> from cows, sheep and goats, irrespective of fat content</w:t>
      </w:r>
      <w:r w:rsidRPr="00E53F99">
        <w:rPr>
          <w:lang w:val="en-AU"/>
        </w:rPr>
        <w:t>. Milkshakes, flavoured milks and milk used in recipes are not included</w:t>
      </w:r>
      <w:r>
        <w:rPr>
          <w:lang w:val="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80E75" w14:textId="77777777" w:rsidR="00BE2575" w:rsidRDefault="00BE25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B01EF" w14:textId="678513F4" w:rsidR="00AB53A3" w:rsidRPr="007D03EA" w:rsidRDefault="00AB53A3" w:rsidP="007D03EA">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B01F4" w14:textId="77777777" w:rsidR="00AB53A3" w:rsidRDefault="00AB53A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919C8"/>
    <w:multiLevelType w:val="multilevel"/>
    <w:tmpl w:val="94BA14EA"/>
    <w:lvl w:ilvl="0">
      <w:start w:val="2"/>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04DB9"/>
    <w:multiLevelType w:val="hybridMultilevel"/>
    <w:tmpl w:val="4C6E99CE"/>
    <w:lvl w:ilvl="0" w:tplc="EFFE8504">
      <w:start w:val="1997"/>
      <w:numFmt w:val="bullet"/>
      <w:lvlText w:val=""/>
      <w:lvlJc w:val="left"/>
      <w:pPr>
        <w:ind w:left="720" w:hanging="360"/>
      </w:pPr>
      <w:rPr>
        <w:rFonts w:ascii="Wingdings 2" w:eastAsia="Times New Roman" w:hAnsi="Wingdings 2"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D2B08"/>
    <w:multiLevelType w:val="multilevel"/>
    <w:tmpl w:val="2820A7F4"/>
    <w:lvl w:ilvl="0">
      <w:start w:val="1"/>
      <w:numFmt w:val="decimal"/>
      <w:lvlText w:val="%1"/>
      <w:lvlJc w:val="left"/>
      <w:pPr>
        <w:ind w:left="851" w:hanging="851"/>
      </w:pPr>
      <w:rPr>
        <w:rFonts w:hint="default"/>
      </w:rPr>
    </w:lvl>
    <w:lvl w:ilvl="1">
      <w:start w:val="1"/>
      <w:numFmt w:val="decimal"/>
      <w:lvlText w:val="%1.%2"/>
      <w:lvlJc w:val="left"/>
      <w:pPr>
        <w:ind w:left="6096" w:hanging="851"/>
      </w:pPr>
      <w:rPr>
        <w:rFonts w:hint="default"/>
      </w:rPr>
    </w:lvl>
    <w:lvl w:ilvl="2">
      <w:start w:val="1"/>
      <w:numFmt w:val="decimal"/>
      <w:lvlText w:val="%1.%2.%3"/>
      <w:lvlJc w:val="left"/>
      <w:pPr>
        <w:ind w:left="567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09A40250"/>
    <w:multiLevelType w:val="hybridMultilevel"/>
    <w:tmpl w:val="ED34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BD5BC5"/>
    <w:multiLevelType w:val="hybridMultilevel"/>
    <w:tmpl w:val="9154F196"/>
    <w:lvl w:ilvl="0" w:tplc="0C09001B">
      <w:start w:val="1"/>
      <w:numFmt w:val="lowerRoman"/>
      <w:lvlText w:val="%1."/>
      <w:lvlJc w:val="right"/>
      <w:pPr>
        <w:ind w:left="720" w:hanging="360"/>
      </w:pPr>
      <w:rPr>
        <w:rFonts w:hint="default"/>
      </w:rPr>
    </w:lvl>
    <w:lvl w:ilvl="1" w:tplc="0C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8531EF"/>
    <w:multiLevelType w:val="hybridMultilevel"/>
    <w:tmpl w:val="C05E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446879"/>
    <w:multiLevelType w:val="hybridMultilevel"/>
    <w:tmpl w:val="9154F196"/>
    <w:lvl w:ilvl="0" w:tplc="0C09001B">
      <w:start w:val="1"/>
      <w:numFmt w:val="lowerRoman"/>
      <w:lvlText w:val="%1."/>
      <w:lvlJc w:val="right"/>
      <w:pPr>
        <w:ind w:left="720" w:hanging="360"/>
      </w:pPr>
      <w:rPr>
        <w:rFonts w:hint="default"/>
      </w:rPr>
    </w:lvl>
    <w:lvl w:ilvl="1" w:tplc="0C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8482A86"/>
    <w:multiLevelType w:val="hybridMultilevel"/>
    <w:tmpl w:val="4BB8354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304481"/>
    <w:multiLevelType w:val="hybridMultilevel"/>
    <w:tmpl w:val="54CEE2D6"/>
    <w:lvl w:ilvl="0" w:tplc="51A0D4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BB58B0"/>
    <w:multiLevelType w:val="hybridMultilevel"/>
    <w:tmpl w:val="4EB6285C"/>
    <w:lvl w:ilvl="0" w:tplc="9D0EC74C">
      <w:start w:val="2011"/>
      <w:numFmt w:val="bullet"/>
      <w:lvlText w:val=""/>
      <w:lvlJc w:val="left"/>
      <w:pPr>
        <w:ind w:left="720" w:hanging="360"/>
      </w:pPr>
      <w:rPr>
        <w:rFonts w:ascii="Wingdings" w:eastAsia="Times New Roman" w:hAnsi="Wingdings" w:cs="Arial" w:hint="default"/>
        <w: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CA3801"/>
    <w:multiLevelType w:val="hybridMultilevel"/>
    <w:tmpl w:val="10C477A6"/>
    <w:lvl w:ilvl="0" w:tplc="775EE5B6">
      <w:start w:val="2011"/>
      <w:numFmt w:val="bullet"/>
      <w:lvlText w:val=""/>
      <w:lvlJc w:val="left"/>
      <w:pPr>
        <w:ind w:left="720" w:hanging="360"/>
      </w:pPr>
      <w:rPr>
        <w:rFonts w:ascii="Wingdings" w:eastAsia="Times New Roman" w:hAnsi="Wingdings" w:cs="Arial" w:hint="default"/>
        <w: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C21787"/>
    <w:multiLevelType w:val="multilevel"/>
    <w:tmpl w:val="343A18A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8487062"/>
    <w:multiLevelType w:val="singleLevel"/>
    <w:tmpl w:val="A2D678D6"/>
    <w:lvl w:ilvl="0">
      <w:start w:val="1"/>
      <w:numFmt w:val="bullet"/>
      <w:lvlText w:val=""/>
      <w:lvlJc w:val="left"/>
      <w:pPr>
        <w:tabs>
          <w:tab w:val="num" w:pos="360"/>
        </w:tabs>
        <w:ind w:left="360" w:hanging="360"/>
      </w:pPr>
      <w:rPr>
        <w:rFonts w:ascii="Symbol" w:hAnsi="Symbol" w:cs="Times New Roman" w:hint="default"/>
        <w:color w:val="auto"/>
        <w:sz w:val="12"/>
        <w:szCs w:val="12"/>
      </w:rPr>
    </w:lvl>
  </w:abstractNum>
  <w:abstractNum w:abstractNumId="16">
    <w:nsid w:val="3F2240CC"/>
    <w:multiLevelType w:val="hybridMultilevel"/>
    <w:tmpl w:val="8FA05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49905464"/>
    <w:multiLevelType w:val="multilevel"/>
    <w:tmpl w:val="875C4338"/>
    <w:lvl w:ilvl="0">
      <w:start w:val="2"/>
      <w:numFmt w:val="decimal"/>
      <w:lvlText w:val="%1"/>
      <w:lvlJc w:val="left"/>
      <w:pPr>
        <w:tabs>
          <w:tab w:val="num" w:pos="855"/>
        </w:tabs>
        <w:ind w:left="855" w:hanging="855"/>
      </w:pPr>
      <w:rPr>
        <w:rFonts w:hint="default"/>
      </w:rPr>
    </w:lvl>
    <w:lvl w:ilvl="1">
      <w:start w:val="5"/>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B9552F6"/>
    <w:multiLevelType w:val="hybridMultilevel"/>
    <w:tmpl w:val="3DDA4E0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CB73BEC"/>
    <w:multiLevelType w:val="hybridMultilevel"/>
    <w:tmpl w:val="2AAC90F4"/>
    <w:lvl w:ilvl="0" w:tplc="0C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8F11C0"/>
    <w:multiLevelType w:val="hybridMultilevel"/>
    <w:tmpl w:val="309AD912"/>
    <w:lvl w:ilvl="0" w:tplc="0C09001B">
      <w:start w:val="1"/>
      <w:numFmt w:val="lowerRoman"/>
      <w:lvlText w:val="%1."/>
      <w:lvlJc w:val="righ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F36349E"/>
    <w:multiLevelType w:val="multilevel"/>
    <w:tmpl w:val="C47083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6F32AAA"/>
    <w:multiLevelType w:val="hybridMultilevel"/>
    <w:tmpl w:val="CBEE144A"/>
    <w:lvl w:ilvl="0" w:tplc="436AB3F2">
      <w:start w:val="87"/>
      <w:numFmt w:val="bullet"/>
      <w:lvlText w:val=""/>
      <w:lvlJc w:val="left"/>
      <w:pPr>
        <w:ind w:left="720" w:hanging="360"/>
      </w:pPr>
      <w:rPr>
        <w:rFonts w:ascii="Wingdings 2" w:eastAsia="Times New Roman" w:hAnsi="Wingdings 2" w:cs="Times New Roman" w:hint="default"/>
        <w: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3878CC"/>
    <w:multiLevelType w:val="hybridMultilevel"/>
    <w:tmpl w:val="97F2987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B20469"/>
    <w:multiLevelType w:val="hybridMultilevel"/>
    <w:tmpl w:val="9CA4D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18"/>
  </w:num>
  <w:num w:numId="4">
    <w:abstractNumId w:val="8"/>
  </w:num>
  <w:num w:numId="5">
    <w:abstractNumId w:val="7"/>
  </w:num>
  <w:num w:numId="6">
    <w:abstractNumId w:val="14"/>
  </w:num>
  <w:num w:numId="7">
    <w:abstractNumId w:val="22"/>
  </w:num>
  <w:num w:numId="8">
    <w:abstractNumId w:val="21"/>
  </w:num>
  <w:num w:numId="9">
    <w:abstractNumId w:val="20"/>
  </w:num>
  <w:num w:numId="10">
    <w:abstractNumId w:val="26"/>
  </w:num>
  <w:num w:numId="11">
    <w:abstractNumId w:val="16"/>
  </w:num>
  <w:num w:numId="12">
    <w:abstractNumId w:val="3"/>
  </w:num>
  <w:num w:numId="13">
    <w:abstractNumId w:val="5"/>
  </w:num>
  <w:num w:numId="14">
    <w:abstractNumId w:val="15"/>
  </w:num>
  <w:num w:numId="15">
    <w:abstractNumId w:val="1"/>
  </w:num>
  <w:num w:numId="16">
    <w:abstractNumId w:val="9"/>
  </w:num>
  <w:num w:numId="17">
    <w:abstractNumId w:val="25"/>
  </w:num>
  <w:num w:numId="18">
    <w:abstractNumId w:val="23"/>
  </w:num>
  <w:num w:numId="19">
    <w:abstractNumId w:val="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
  </w:num>
  <w:num w:numId="23">
    <w:abstractNumId w:val="24"/>
  </w:num>
  <w:num w:numId="24">
    <w:abstractNumId w:val="10"/>
  </w:num>
  <w:num w:numId="25">
    <w:abstractNumId w:val="13"/>
  </w:num>
  <w:num w:numId="26">
    <w:abstractNumId w:val="12"/>
  </w:num>
  <w:num w:numId="27">
    <w:abstractNumId w:val="4"/>
  </w:num>
  <w:num w:numId="2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fsict.foodstandards.gov.au\RefMan_12\Styles\FSANZ 2011.os&lt;/Style&gt;&lt;LeftDelim&gt;{&lt;/LeftDelim&gt;&lt;RightDelim&gt;}&lt;/RightDelim&gt;&lt;FontName&gt;Arial&lt;/FontName&gt;&lt;FontSize&gt;11&lt;/FontSize&gt;&lt;ReflistTitle&gt;References&lt;/ReflistTitle&gt;&lt;StartingRefnum&gt;1&lt;/StartingRefnum&gt;&lt;FirstLineIndent&gt;0&lt;/FirstLineIndent&gt;&lt;HangingIndent&gt;0&lt;/HangingIndent&gt;&lt;LineSpacing&gt;0&lt;/LineSpacing&gt;&lt;SpaceAfter&gt;1&lt;/SpaceAfter&gt;&lt;ReflistOrder&gt;5&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dietarymodellingreferences&lt;/item&gt;&lt;/Libraries&gt;&lt;/ENLibraries&gt;"/>
  </w:docVars>
  <w:rsids>
    <w:rsidRoot w:val="005F7342"/>
    <w:rsid w:val="00001936"/>
    <w:rsid w:val="00001CF2"/>
    <w:rsid w:val="0000247B"/>
    <w:rsid w:val="0000469B"/>
    <w:rsid w:val="00004C1E"/>
    <w:rsid w:val="00005565"/>
    <w:rsid w:val="00007B09"/>
    <w:rsid w:val="00015EAD"/>
    <w:rsid w:val="0001620E"/>
    <w:rsid w:val="00016BB8"/>
    <w:rsid w:val="00017956"/>
    <w:rsid w:val="00020572"/>
    <w:rsid w:val="000205F1"/>
    <w:rsid w:val="000221A2"/>
    <w:rsid w:val="00023B0B"/>
    <w:rsid w:val="00023D0F"/>
    <w:rsid w:val="00026ED4"/>
    <w:rsid w:val="000277AF"/>
    <w:rsid w:val="000278D3"/>
    <w:rsid w:val="000319E4"/>
    <w:rsid w:val="00035FF3"/>
    <w:rsid w:val="0004259A"/>
    <w:rsid w:val="000428F0"/>
    <w:rsid w:val="000435EF"/>
    <w:rsid w:val="00045FF4"/>
    <w:rsid w:val="0004607A"/>
    <w:rsid w:val="00046BF0"/>
    <w:rsid w:val="00047581"/>
    <w:rsid w:val="0005045C"/>
    <w:rsid w:val="00050701"/>
    <w:rsid w:val="00050B1C"/>
    <w:rsid w:val="00050BE9"/>
    <w:rsid w:val="00051021"/>
    <w:rsid w:val="00051D04"/>
    <w:rsid w:val="00051ED9"/>
    <w:rsid w:val="00053771"/>
    <w:rsid w:val="00053C65"/>
    <w:rsid w:val="00055FC3"/>
    <w:rsid w:val="00055FCB"/>
    <w:rsid w:val="00056852"/>
    <w:rsid w:val="00057181"/>
    <w:rsid w:val="0005763B"/>
    <w:rsid w:val="000613A6"/>
    <w:rsid w:val="00061783"/>
    <w:rsid w:val="00062F23"/>
    <w:rsid w:val="000635B2"/>
    <w:rsid w:val="00063EC6"/>
    <w:rsid w:val="0006404E"/>
    <w:rsid w:val="0006473A"/>
    <w:rsid w:val="00064B2D"/>
    <w:rsid w:val="00064C03"/>
    <w:rsid w:val="00065F1F"/>
    <w:rsid w:val="0006675C"/>
    <w:rsid w:val="00070535"/>
    <w:rsid w:val="00071529"/>
    <w:rsid w:val="00072328"/>
    <w:rsid w:val="000731E5"/>
    <w:rsid w:val="000749FA"/>
    <w:rsid w:val="00075BB7"/>
    <w:rsid w:val="00075E2F"/>
    <w:rsid w:val="00076D33"/>
    <w:rsid w:val="00091431"/>
    <w:rsid w:val="00092CDA"/>
    <w:rsid w:val="00093115"/>
    <w:rsid w:val="00094C56"/>
    <w:rsid w:val="00096B9E"/>
    <w:rsid w:val="00097BB0"/>
    <w:rsid w:val="000A1543"/>
    <w:rsid w:val="000A277E"/>
    <w:rsid w:val="000A27E9"/>
    <w:rsid w:val="000A3D8B"/>
    <w:rsid w:val="000A52BD"/>
    <w:rsid w:val="000A54D9"/>
    <w:rsid w:val="000A5DF8"/>
    <w:rsid w:val="000A6BE3"/>
    <w:rsid w:val="000A7D42"/>
    <w:rsid w:val="000B3E26"/>
    <w:rsid w:val="000B5631"/>
    <w:rsid w:val="000B694C"/>
    <w:rsid w:val="000B6AF2"/>
    <w:rsid w:val="000C20F5"/>
    <w:rsid w:val="000C55D5"/>
    <w:rsid w:val="000C78B5"/>
    <w:rsid w:val="000C7E8F"/>
    <w:rsid w:val="000D5096"/>
    <w:rsid w:val="000D6FD4"/>
    <w:rsid w:val="000D7A11"/>
    <w:rsid w:val="000E0AE4"/>
    <w:rsid w:val="000E1CD4"/>
    <w:rsid w:val="000E391D"/>
    <w:rsid w:val="000E3DBC"/>
    <w:rsid w:val="000E630B"/>
    <w:rsid w:val="000E631B"/>
    <w:rsid w:val="000E67DA"/>
    <w:rsid w:val="000E7369"/>
    <w:rsid w:val="000F14B4"/>
    <w:rsid w:val="000F245F"/>
    <w:rsid w:val="000F361A"/>
    <w:rsid w:val="000F7133"/>
    <w:rsid w:val="000F78C4"/>
    <w:rsid w:val="000F7FA2"/>
    <w:rsid w:val="001033C8"/>
    <w:rsid w:val="001035E7"/>
    <w:rsid w:val="00103A50"/>
    <w:rsid w:val="00103D2A"/>
    <w:rsid w:val="001041DE"/>
    <w:rsid w:val="00105311"/>
    <w:rsid w:val="00105DA3"/>
    <w:rsid w:val="00106652"/>
    <w:rsid w:val="00110982"/>
    <w:rsid w:val="00111C3B"/>
    <w:rsid w:val="00113CE3"/>
    <w:rsid w:val="00115BA3"/>
    <w:rsid w:val="00116B93"/>
    <w:rsid w:val="00117522"/>
    <w:rsid w:val="00117682"/>
    <w:rsid w:val="00117D3B"/>
    <w:rsid w:val="001300D3"/>
    <w:rsid w:val="00130522"/>
    <w:rsid w:val="0013265E"/>
    <w:rsid w:val="00132771"/>
    <w:rsid w:val="00132AC8"/>
    <w:rsid w:val="0013540E"/>
    <w:rsid w:val="001410C2"/>
    <w:rsid w:val="00141F8E"/>
    <w:rsid w:val="0014344B"/>
    <w:rsid w:val="00143F90"/>
    <w:rsid w:val="00147296"/>
    <w:rsid w:val="0015367F"/>
    <w:rsid w:val="001542D8"/>
    <w:rsid w:val="001569C7"/>
    <w:rsid w:val="00164740"/>
    <w:rsid w:val="00164971"/>
    <w:rsid w:val="00164E0F"/>
    <w:rsid w:val="00167A71"/>
    <w:rsid w:val="00167BB9"/>
    <w:rsid w:val="00171383"/>
    <w:rsid w:val="00172326"/>
    <w:rsid w:val="001723FA"/>
    <w:rsid w:val="00172643"/>
    <w:rsid w:val="00172F67"/>
    <w:rsid w:val="00173E7E"/>
    <w:rsid w:val="001747FC"/>
    <w:rsid w:val="0017489F"/>
    <w:rsid w:val="00177B20"/>
    <w:rsid w:val="00177B46"/>
    <w:rsid w:val="00180C41"/>
    <w:rsid w:val="0018210D"/>
    <w:rsid w:val="0018296F"/>
    <w:rsid w:val="00182C4C"/>
    <w:rsid w:val="00184252"/>
    <w:rsid w:val="00186AD5"/>
    <w:rsid w:val="00190340"/>
    <w:rsid w:val="0019611C"/>
    <w:rsid w:val="0019614A"/>
    <w:rsid w:val="001961C4"/>
    <w:rsid w:val="00196601"/>
    <w:rsid w:val="00197D8D"/>
    <w:rsid w:val="001A1A75"/>
    <w:rsid w:val="001A2497"/>
    <w:rsid w:val="001A391C"/>
    <w:rsid w:val="001A5579"/>
    <w:rsid w:val="001A79F8"/>
    <w:rsid w:val="001A7E9A"/>
    <w:rsid w:val="001B0D0C"/>
    <w:rsid w:val="001B1617"/>
    <w:rsid w:val="001B6632"/>
    <w:rsid w:val="001B78A9"/>
    <w:rsid w:val="001C0522"/>
    <w:rsid w:val="001C0773"/>
    <w:rsid w:val="001C27A3"/>
    <w:rsid w:val="001C28A7"/>
    <w:rsid w:val="001C41FB"/>
    <w:rsid w:val="001C5295"/>
    <w:rsid w:val="001C5FF9"/>
    <w:rsid w:val="001C6EB4"/>
    <w:rsid w:val="001D0FBF"/>
    <w:rsid w:val="001D50C7"/>
    <w:rsid w:val="001E09FA"/>
    <w:rsid w:val="001E565E"/>
    <w:rsid w:val="001E67B0"/>
    <w:rsid w:val="001F190E"/>
    <w:rsid w:val="001F2E0C"/>
    <w:rsid w:val="00200F32"/>
    <w:rsid w:val="00200FDF"/>
    <w:rsid w:val="00201D88"/>
    <w:rsid w:val="00202465"/>
    <w:rsid w:val="00203540"/>
    <w:rsid w:val="002037BA"/>
    <w:rsid w:val="00204FBB"/>
    <w:rsid w:val="00206636"/>
    <w:rsid w:val="00206BD9"/>
    <w:rsid w:val="002076F3"/>
    <w:rsid w:val="002100AB"/>
    <w:rsid w:val="00211886"/>
    <w:rsid w:val="0021237F"/>
    <w:rsid w:val="00213CE2"/>
    <w:rsid w:val="00215AB0"/>
    <w:rsid w:val="0021612B"/>
    <w:rsid w:val="002163E9"/>
    <w:rsid w:val="0022083A"/>
    <w:rsid w:val="00220BDE"/>
    <w:rsid w:val="00221D07"/>
    <w:rsid w:val="00222961"/>
    <w:rsid w:val="00227E4A"/>
    <w:rsid w:val="00231497"/>
    <w:rsid w:val="002321CC"/>
    <w:rsid w:val="0023423F"/>
    <w:rsid w:val="0023662C"/>
    <w:rsid w:val="00236C73"/>
    <w:rsid w:val="00237123"/>
    <w:rsid w:val="00237768"/>
    <w:rsid w:val="00240F5F"/>
    <w:rsid w:val="0024582E"/>
    <w:rsid w:val="00245C56"/>
    <w:rsid w:val="0025056D"/>
    <w:rsid w:val="002547EF"/>
    <w:rsid w:val="00255B7D"/>
    <w:rsid w:val="00256D65"/>
    <w:rsid w:val="00257740"/>
    <w:rsid w:val="0026334B"/>
    <w:rsid w:val="002664F2"/>
    <w:rsid w:val="0027057E"/>
    <w:rsid w:val="00271EF7"/>
    <w:rsid w:val="00271F00"/>
    <w:rsid w:val="00273A80"/>
    <w:rsid w:val="002745A5"/>
    <w:rsid w:val="00275934"/>
    <w:rsid w:val="00275E61"/>
    <w:rsid w:val="002776FD"/>
    <w:rsid w:val="002812BB"/>
    <w:rsid w:val="002814BC"/>
    <w:rsid w:val="00281691"/>
    <w:rsid w:val="00282D8E"/>
    <w:rsid w:val="0028671E"/>
    <w:rsid w:val="002871F0"/>
    <w:rsid w:val="00287BE5"/>
    <w:rsid w:val="0029029E"/>
    <w:rsid w:val="0029204E"/>
    <w:rsid w:val="00292EF1"/>
    <w:rsid w:val="00293AD0"/>
    <w:rsid w:val="00293DCD"/>
    <w:rsid w:val="0029631C"/>
    <w:rsid w:val="002971A1"/>
    <w:rsid w:val="002A0194"/>
    <w:rsid w:val="002A0739"/>
    <w:rsid w:val="002A284C"/>
    <w:rsid w:val="002A3187"/>
    <w:rsid w:val="002A3AFE"/>
    <w:rsid w:val="002A5D90"/>
    <w:rsid w:val="002A5F8B"/>
    <w:rsid w:val="002A7117"/>
    <w:rsid w:val="002A7F6C"/>
    <w:rsid w:val="002B08CE"/>
    <w:rsid w:val="002B0D92"/>
    <w:rsid w:val="002B0FDD"/>
    <w:rsid w:val="002B5795"/>
    <w:rsid w:val="002B6513"/>
    <w:rsid w:val="002B6C62"/>
    <w:rsid w:val="002C0262"/>
    <w:rsid w:val="002C0676"/>
    <w:rsid w:val="002C12BB"/>
    <w:rsid w:val="002C166F"/>
    <w:rsid w:val="002C312E"/>
    <w:rsid w:val="002C57D3"/>
    <w:rsid w:val="002C5AF9"/>
    <w:rsid w:val="002D05EC"/>
    <w:rsid w:val="002D17E4"/>
    <w:rsid w:val="002D1F0F"/>
    <w:rsid w:val="002D2BCE"/>
    <w:rsid w:val="002D409C"/>
    <w:rsid w:val="002D5DAF"/>
    <w:rsid w:val="002D6809"/>
    <w:rsid w:val="002E5289"/>
    <w:rsid w:val="002E6552"/>
    <w:rsid w:val="002E7A6D"/>
    <w:rsid w:val="002F385B"/>
    <w:rsid w:val="002F3F6C"/>
    <w:rsid w:val="002F45F6"/>
    <w:rsid w:val="002F4D40"/>
    <w:rsid w:val="002F4F4A"/>
    <w:rsid w:val="002F6488"/>
    <w:rsid w:val="003012D0"/>
    <w:rsid w:val="00302F8C"/>
    <w:rsid w:val="003042DC"/>
    <w:rsid w:val="0030749A"/>
    <w:rsid w:val="0030752B"/>
    <w:rsid w:val="00310174"/>
    <w:rsid w:val="00310C28"/>
    <w:rsid w:val="00312D3F"/>
    <w:rsid w:val="00314970"/>
    <w:rsid w:val="003152C3"/>
    <w:rsid w:val="00316FF4"/>
    <w:rsid w:val="00317483"/>
    <w:rsid w:val="00320839"/>
    <w:rsid w:val="00320CAA"/>
    <w:rsid w:val="003213A6"/>
    <w:rsid w:val="003213F9"/>
    <w:rsid w:val="00321767"/>
    <w:rsid w:val="00321FCF"/>
    <w:rsid w:val="003225C1"/>
    <w:rsid w:val="00323DBF"/>
    <w:rsid w:val="00323E4C"/>
    <w:rsid w:val="00325755"/>
    <w:rsid w:val="00326E1B"/>
    <w:rsid w:val="003309A8"/>
    <w:rsid w:val="00332B12"/>
    <w:rsid w:val="00334B26"/>
    <w:rsid w:val="003378C6"/>
    <w:rsid w:val="00342C41"/>
    <w:rsid w:val="003438F2"/>
    <w:rsid w:val="00351B07"/>
    <w:rsid w:val="00352CF2"/>
    <w:rsid w:val="00352D12"/>
    <w:rsid w:val="00353A99"/>
    <w:rsid w:val="00353B84"/>
    <w:rsid w:val="00354AAC"/>
    <w:rsid w:val="00354FA1"/>
    <w:rsid w:val="00355686"/>
    <w:rsid w:val="00356E40"/>
    <w:rsid w:val="00357D32"/>
    <w:rsid w:val="003611F3"/>
    <w:rsid w:val="00361FC0"/>
    <w:rsid w:val="003634EF"/>
    <w:rsid w:val="0036354C"/>
    <w:rsid w:val="00364841"/>
    <w:rsid w:val="00371B29"/>
    <w:rsid w:val="0037203C"/>
    <w:rsid w:val="00374C03"/>
    <w:rsid w:val="00375406"/>
    <w:rsid w:val="00375717"/>
    <w:rsid w:val="0037656B"/>
    <w:rsid w:val="00383392"/>
    <w:rsid w:val="0038515D"/>
    <w:rsid w:val="003854D4"/>
    <w:rsid w:val="0039057C"/>
    <w:rsid w:val="00391769"/>
    <w:rsid w:val="003942BB"/>
    <w:rsid w:val="003953E1"/>
    <w:rsid w:val="003956B3"/>
    <w:rsid w:val="00396D4A"/>
    <w:rsid w:val="003A1086"/>
    <w:rsid w:val="003A165A"/>
    <w:rsid w:val="003A4289"/>
    <w:rsid w:val="003A4CBA"/>
    <w:rsid w:val="003A547E"/>
    <w:rsid w:val="003A549B"/>
    <w:rsid w:val="003A68BE"/>
    <w:rsid w:val="003A7739"/>
    <w:rsid w:val="003B14C9"/>
    <w:rsid w:val="003B1805"/>
    <w:rsid w:val="003B2ECE"/>
    <w:rsid w:val="003B3C9D"/>
    <w:rsid w:val="003B4843"/>
    <w:rsid w:val="003B4882"/>
    <w:rsid w:val="003B67F6"/>
    <w:rsid w:val="003B70FA"/>
    <w:rsid w:val="003B78E0"/>
    <w:rsid w:val="003C4114"/>
    <w:rsid w:val="003C4969"/>
    <w:rsid w:val="003C6DFB"/>
    <w:rsid w:val="003C6E9A"/>
    <w:rsid w:val="003D3D36"/>
    <w:rsid w:val="003D414C"/>
    <w:rsid w:val="003D608F"/>
    <w:rsid w:val="003D7FCE"/>
    <w:rsid w:val="003E3927"/>
    <w:rsid w:val="003E41D5"/>
    <w:rsid w:val="003E44E3"/>
    <w:rsid w:val="003E46BA"/>
    <w:rsid w:val="003E52E3"/>
    <w:rsid w:val="003E672C"/>
    <w:rsid w:val="003E7D22"/>
    <w:rsid w:val="003F1195"/>
    <w:rsid w:val="003F2752"/>
    <w:rsid w:val="003F30F6"/>
    <w:rsid w:val="003F4745"/>
    <w:rsid w:val="003F74C1"/>
    <w:rsid w:val="003F7686"/>
    <w:rsid w:val="00400F8A"/>
    <w:rsid w:val="00403561"/>
    <w:rsid w:val="00405B1A"/>
    <w:rsid w:val="00405B7C"/>
    <w:rsid w:val="0040653E"/>
    <w:rsid w:val="00410C1B"/>
    <w:rsid w:val="00410C76"/>
    <w:rsid w:val="00411907"/>
    <w:rsid w:val="004123F3"/>
    <w:rsid w:val="00413CA8"/>
    <w:rsid w:val="00414FC1"/>
    <w:rsid w:val="0041745F"/>
    <w:rsid w:val="00417EE3"/>
    <w:rsid w:val="004207EB"/>
    <w:rsid w:val="00420A7C"/>
    <w:rsid w:val="00420C7B"/>
    <w:rsid w:val="00420EDC"/>
    <w:rsid w:val="0042221C"/>
    <w:rsid w:val="00430238"/>
    <w:rsid w:val="00432858"/>
    <w:rsid w:val="00432951"/>
    <w:rsid w:val="00435E83"/>
    <w:rsid w:val="00436599"/>
    <w:rsid w:val="00436875"/>
    <w:rsid w:val="00437276"/>
    <w:rsid w:val="004432CE"/>
    <w:rsid w:val="0044598C"/>
    <w:rsid w:val="00451FD7"/>
    <w:rsid w:val="0045266E"/>
    <w:rsid w:val="00455E4A"/>
    <w:rsid w:val="00456B54"/>
    <w:rsid w:val="00456C6D"/>
    <w:rsid w:val="00457C7B"/>
    <w:rsid w:val="00462460"/>
    <w:rsid w:val="00463E24"/>
    <w:rsid w:val="004644F5"/>
    <w:rsid w:val="00464560"/>
    <w:rsid w:val="00464643"/>
    <w:rsid w:val="00465F63"/>
    <w:rsid w:val="0046659C"/>
    <w:rsid w:val="00474F5F"/>
    <w:rsid w:val="00476F9F"/>
    <w:rsid w:val="004771AC"/>
    <w:rsid w:val="00477999"/>
    <w:rsid w:val="00482C99"/>
    <w:rsid w:val="004839B3"/>
    <w:rsid w:val="00486793"/>
    <w:rsid w:val="00486D06"/>
    <w:rsid w:val="0049393D"/>
    <w:rsid w:val="004A01F2"/>
    <w:rsid w:val="004A1E68"/>
    <w:rsid w:val="004A2037"/>
    <w:rsid w:val="004A2447"/>
    <w:rsid w:val="004A323D"/>
    <w:rsid w:val="004A372C"/>
    <w:rsid w:val="004A4E63"/>
    <w:rsid w:val="004A518D"/>
    <w:rsid w:val="004B0691"/>
    <w:rsid w:val="004B233E"/>
    <w:rsid w:val="004B2899"/>
    <w:rsid w:val="004B52B6"/>
    <w:rsid w:val="004B7C8C"/>
    <w:rsid w:val="004C20FC"/>
    <w:rsid w:val="004C246E"/>
    <w:rsid w:val="004C2CE7"/>
    <w:rsid w:val="004C3DA7"/>
    <w:rsid w:val="004C75EA"/>
    <w:rsid w:val="004D00DF"/>
    <w:rsid w:val="004D10E7"/>
    <w:rsid w:val="004D16D2"/>
    <w:rsid w:val="004D1FE3"/>
    <w:rsid w:val="004D20F4"/>
    <w:rsid w:val="004D2222"/>
    <w:rsid w:val="004D53D9"/>
    <w:rsid w:val="004D7864"/>
    <w:rsid w:val="004D7DC4"/>
    <w:rsid w:val="004E00C2"/>
    <w:rsid w:val="004E04BF"/>
    <w:rsid w:val="004E161F"/>
    <w:rsid w:val="004E22D4"/>
    <w:rsid w:val="004E23E1"/>
    <w:rsid w:val="004E3D4B"/>
    <w:rsid w:val="004E53A1"/>
    <w:rsid w:val="004E5557"/>
    <w:rsid w:val="004E59C3"/>
    <w:rsid w:val="004E6FAB"/>
    <w:rsid w:val="004E7AD0"/>
    <w:rsid w:val="004F0F10"/>
    <w:rsid w:val="004F4DA4"/>
    <w:rsid w:val="004F4F98"/>
    <w:rsid w:val="004F5844"/>
    <w:rsid w:val="004F69F6"/>
    <w:rsid w:val="004F79AC"/>
    <w:rsid w:val="00500D42"/>
    <w:rsid w:val="00500DB2"/>
    <w:rsid w:val="00501719"/>
    <w:rsid w:val="005017CF"/>
    <w:rsid w:val="00501FBA"/>
    <w:rsid w:val="00504DCF"/>
    <w:rsid w:val="005076F8"/>
    <w:rsid w:val="005077E9"/>
    <w:rsid w:val="00510A3C"/>
    <w:rsid w:val="00511410"/>
    <w:rsid w:val="00511A29"/>
    <w:rsid w:val="00511C24"/>
    <w:rsid w:val="0051232E"/>
    <w:rsid w:val="005126AF"/>
    <w:rsid w:val="00513153"/>
    <w:rsid w:val="00513B0B"/>
    <w:rsid w:val="00516218"/>
    <w:rsid w:val="00516E9A"/>
    <w:rsid w:val="005207D8"/>
    <w:rsid w:val="00520B82"/>
    <w:rsid w:val="00520B89"/>
    <w:rsid w:val="005215D7"/>
    <w:rsid w:val="0053379D"/>
    <w:rsid w:val="00533CE6"/>
    <w:rsid w:val="0053464E"/>
    <w:rsid w:val="00536E90"/>
    <w:rsid w:val="00540936"/>
    <w:rsid w:val="00541C82"/>
    <w:rsid w:val="005420A9"/>
    <w:rsid w:val="00542453"/>
    <w:rsid w:val="00544687"/>
    <w:rsid w:val="00544B2F"/>
    <w:rsid w:val="005465CF"/>
    <w:rsid w:val="00550347"/>
    <w:rsid w:val="005535F8"/>
    <w:rsid w:val="00554E1B"/>
    <w:rsid w:val="00555981"/>
    <w:rsid w:val="00556D6C"/>
    <w:rsid w:val="005571C6"/>
    <w:rsid w:val="0056032E"/>
    <w:rsid w:val="00561487"/>
    <w:rsid w:val="00562917"/>
    <w:rsid w:val="00563071"/>
    <w:rsid w:val="00563C47"/>
    <w:rsid w:val="0056428C"/>
    <w:rsid w:val="0056635E"/>
    <w:rsid w:val="00575A17"/>
    <w:rsid w:val="00575B49"/>
    <w:rsid w:val="00577019"/>
    <w:rsid w:val="00577B04"/>
    <w:rsid w:val="00577EF3"/>
    <w:rsid w:val="00580DD2"/>
    <w:rsid w:val="00580EA6"/>
    <w:rsid w:val="00584930"/>
    <w:rsid w:val="00584C14"/>
    <w:rsid w:val="00584E8B"/>
    <w:rsid w:val="00586228"/>
    <w:rsid w:val="00586D02"/>
    <w:rsid w:val="005902EB"/>
    <w:rsid w:val="00590395"/>
    <w:rsid w:val="00590581"/>
    <w:rsid w:val="0059197F"/>
    <w:rsid w:val="0059292D"/>
    <w:rsid w:val="00593AE6"/>
    <w:rsid w:val="00593CD9"/>
    <w:rsid w:val="00594D53"/>
    <w:rsid w:val="00597D82"/>
    <w:rsid w:val="005A06D2"/>
    <w:rsid w:val="005A1D97"/>
    <w:rsid w:val="005A356B"/>
    <w:rsid w:val="005A720E"/>
    <w:rsid w:val="005B05B9"/>
    <w:rsid w:val="005B06AF"/>
    <w:rsid w:val="005B075D"/>
    <w:rsid w:val="005B0EE9"/>
    <w:rsid w:val="005B174B"/>
    <w:rsid w:val="005B6AF4"/>
    <w:rsid w:val="005B7A73"/>
    <w:rsid w:val="005C04CB"/>
    <w:rsid w:val="005C0F8A"/>
    <w:rsid w:val="005C49F8"/>
    <w:rsid w:val="005C7941"/>
    <w:rsid w:val="005D0C15"/>
    <w:rsid w:val="005D16AD"/>
    <w:rsid w:val="005D61AA"/>
    <w:rsid w:val="005D6CAA"/>
    <w:rsid w:val="005D7054"/>
    <w:rsid w:val="005D72E1"/>
    <w:rsid w:val="005D7392"/>
    <w:rsid w:val="005E6E16"/>
    <w:rsid w:val="005E722D"/>
    <w:rsid w:val="005F23B8"/>
    <w:rsid w:val="005F2EB6"/>
    <w:rsid w:val="005F400E"/>
    <w:rsid w:val="005F467C"/>
    <w:rsid w:val="005F5A98"/>
    <w:rsid w:val="005F6AD6"/>
    <w:rsid w:val="005F7342"/>
    <w:rsid w:val="00602956"/>
    <w:rsid w:val="00602EEF"/>
    <w:rsid w:val="00603A08"/>
    <w:rsid w:val="00604539"/>
    <w:rsid w:val="006066E9"/>
    <w:rsid w:val="00606E10"/>
    <w:rsid w:val="00607ED2"/>
    <w:rsid w:val="00610A3C"/>
    <w:rsid w:val="0061129E"/>
    <w:rsid w:val="0061523E"/>
    <w:rsid w:val="00615610"/>
    <w:rsid w:val="00615F5D"/>
    <w:rsid w:val="00620ABC"/>
    <w:rsid w:val="00620B42"/>
    <w:rsid w:val="006219AF"/>
    <w:rsid w:val="00623B24"/>
    <w:rsid w:val="00623EE7"/>
    <w:rsid w:val="00625999"/>
    <w:rsid w:val="00625F4B"/>
    <w:rsid w:val="00626845"/>
    <w:rsid w:val="00627804"/>
    <w:rsid w:val="00627F48"/>
    <w:rsid w:val="00630C23"/>
    <w:rsid w:val="00630E03"/>
    <w:rsid w:val="0063204C"/>
    <w:rsid w:val="00632796"/>
    <w:rsid w:val="00634924"/>
    <w:rsid w:val="006413B5"/>
    <w:rsid w:val="00645EB3"/>
    <w:rsid w:val="006460AB"/>
    <w:rsid w:val="00650752"/>
    <w:rsid w:val="006516D5"/>
    <w:rsid w:val="006517F1"/>
    <w:rsid w:val="00651B51"/>
    <w:rsid w:val="00652D75"/>
    <w:rsid w:val="0065306E"/>
    <w:rsid w:val="00653F20"/>
    <w:rsid w:val="00654F61"/>
    <w:rsid w:val="00660E89"/>
    <w:rsid w:val="006620C5"/>
    <w:rsid w:val="00662A81"/>
    <w:rsid w:val="00663FCF"/>
    <w:rsid w:val="00664749"/>
    <w:rsid w:val="006652A2"/>
    <w:rsid w:val="0066573E"/>
    <w:rsid w:val="00666652"/>
    <w:rsid w:val="00675B47"/>
    <w:rsid w:val="006760B7"/>
    <w:rsid w:val="006820F5"/>
    <w:rsid w:val="00682AD5"/>
    <w:rsid w:val="00683CE9"/>
    <w:rsid w:val="006841C6"/>
    <w:rsid w:val="00685A65"/>
    <w:rsid w:val="006865B9"/>
    <w:rsid w:val="00686EE1"/>
    <w:rsid w:val="00687C12"/>
    <w:rsid w:val="00687DF0"/>
    <w:rsid w:val="00690206"/>
    <w:rsid w:val="006908C0"/>
    <w:rsid w:val="00690AD9"/>
    <w:rsid w:val="00691A6D"/>
    <w:rsid w:val="00692FC7"/>
    <w:rsid w:val="006937FF"/>
    <w:rsid w:val="0069755B"/>
    <w:rsid w:val="006A06A9"/>
    <w:rsid w:val="006A48A7"/>
    <w:rsid w:val="006A4F2C"/>
    <w:rsid w:val="006A5920"/>
    <w:rsid w:val="006A5EAE"/>
    <w:rsid w:val="006A6BF6"/>
    <w:rsid w:val="006A7D9F"/>
    <w:rsid w:val="006B0233"/>
    <w:rsid w:val="006B063D"/>
    <w:rsid w:val="006B178C"/>
    <w:rsid w:val="006B2784"/>
    <w:rsid w:val="006B3BA3"/>
    <w:rsid w:val="006B4933"/>
    <w:rsid w:val="006B4BA1"/>
    <w:rsid w:val="006B5EBE"/>
    <w:rsid w:val="006C0458"/>
    <w:rsid w:val="006C08B1"/>
    <w:rsid w:val="006C0CD8"/>
    <w:rsid w:val="006C28FF"/>
    <w:rsid w:val="006C2FB7"/>
    <w:rsid w:val="006C356A"/>
    <w:rsid w:val="006C3654"/>
    <w:rsid w:val="006C38CB"/>
    <w:rsid w:val="006C5CF5"/>
    <w:rsid w:val="006C6E9D"/>
    <w:rsid w:val="006D573B"/>
    <w:rsid w:val="006D608F"/>
    <w:rsid w:val="006E110D"/>
    <w:rsid w:val="006E47A6"/>
    <w:rsid w:val="006E623F"/>
    <w:rsid w:val="006E68E8"/>
    <w:rsid w:val="006E6F30"/>
    <w:rsid w:val="006F0052"/>
    <w:rsid w:val="006F4A82"/>
    <w:rsid w:val="006F52FC"/>
    <w:rsid w:val="006F5B44"/>
    <w:rsid w:val="006F6E1D"/>
    <w:rsid w:val="006F7E6E"/>
    <w:rsid w:val="0070373B"/>
    <w:rsid w:val="00703DC1"/>
    <w:rsid w:val="00705B8A"/>
    <w:rsid w:val="00705E1C"/>
    <w:rsid w:val="00706F53"/>
    <w:rsid w:val="0071151A"/>
    <w:rsid w:val="0071286D"/>
    <w:rsid w:val="007132B0"/>
    <w:rsid w:val="007139FA"/>
    <w:rsid w:val="007170C2"/>
    <w:rsid w:val="00717DE8"/>
    <w:rsid w:val="0072004A"/>
    <w:rsid w:val="00720DF5"/>
    <w:rsid w:val="007218EC"/>
    <w:rsid w:val="00724F32"/>
    <w:rsid w:val="00724FA4"/>
    <w:rsid w:val="00725534"/>
    <w:rsid w:val="007268FF"/>
    <w:rsid w:val="00726BE0"/>
    <w:rsid w:val="00727DE4"/>
    <w:rsid w:val="0073007B"/>
    <w:rsid w:val="0073022E"/>
    <w:rsid w:val="00730800"/>
    <w:rsid w:val="00733041"/>
    <w:rsid w:val="00733E40"/>
    <w:rsid w:val="00735D92"/>
    <w:rsid w:val="00736F1D"/>
    <w:rsid w:val="00740353"/>
    <w:rsid w:val="007414BE"/>
    <w:rsid w:val="0074387A"/>
    <w:rsid w:val="00743A0D"/>
    <w:rsid w:val="007466F6"/>
    <w:rsid w:val="00746BA2"/>
    <w:rsid w:val="00752E01"/>
    <w:rsid w:val="00753554"/>
    <w:rsid w:val="007565D1"/>
    <w:rsid w:val="00757104"/>
    <w:rsid w:val="007602AA"/>
    <w:rsid w:val="007612E6"/>
    <w:rsid w:val="00761A5D"/>
    <w:rsid w:val="007652EF"/>
    <w:rsid w:val="0076559A"/>
    <w:rsid w:val="00765EFA"/>
    <w:rsid w:val="0076694A"/>
    <w:rsid w:val="00772269"/>
    <w:rsid w:val="00772BDC"/>
    <w:rsid w:val="00773701"/>
    <w:rsid w:val="007745D2"/>
    <w:rsid w:val="00774977"/>
    <w:rsid w:val="007749A7"/>
    <w:rsid w:val="00780792"/>
    <w:rsid w:val="00780B89"/>
    <w:rsid w:val="007815BE"/>
    <w:rsid w:val="007819FC"/>
    <w:rsid w:val="00782000"/>
    <w:rsid w:val="0078216F"/>
    <w:rsid w:val="00784B1C"/>
    <w:rsid w:val="0078650E"/>
    <w:rsid w:val="00791980"/>
    <w:rsid w:val="00791EB9"/>
    <w:rsid w:val="007923BD"/>
    <w:rsid w:val="00792561"/>
    <w:rsid w:val="0079269D"/>
    <w:rsid w:val="00792DB4"/>
    <w:rsid w:val="007937F5"/>
    <w:rsid w:val="00795A30"/>
    <w:rsid w:val="00795E64"/>
    <w:rsid w:val="007960A5"/>
    <w:rsid w:val="0079680F"/>
    <w:rsid w:val="00796C80"/>
    <w:rsid w:val="007A065F"/>
    <w:rsid w:val="007A4057"/>
    <w:rsid w:val="007A44B4"/>
    <w:rsid w:val="007A50E7"/>
    <w:rsid w:val="007A5F81"/>
    <w:rsid w:val="007A6B50"/>
    <w:rsid w:val="007A6CDC"/>
    <w:rsid w:val="007A7D3D"/>
    <w:rsid w:val="007B078B"/>
    <w:rsid w:val="007B1988"/>
    <w:rsid w:val="007B225D"/>
    <w:rsid w:val="007B3C9A"/>
    <w:rsid w:val="007B59AD"/>
    <w:rsid w:val="007C174F"/>
    <w:rsid w:val="007C1C64"/>
    <w:rsid w:val="007C36E2"/>
    <w:rsid w:val="007C3B9A"/>
    <w:rsid w:val="007C5821"/>
    <w:rsid w:val="007D03EA"/>
    <w:rsid w:val="007D30B4"/>
    <w:rsid w:val="007D689D"/>
    <w:rsid w:val="007D7E06"/>
    <w:rsid w:val="007E3E7D"/>
    <w:rsid w:val="007E44C7"/>
    <w:rsid w:val="007E48BC"/>
    <w:rsid w:val="007E49A1"/>
    <w:rsid w:val="007E54EE"/>
    <w:rsid w:val="007E79F7"/>
    <w:rsid w:val="007E7D35"/>
    <w:rsid w:val="007F0DE0"/>
    <w:rsid w:val="007F1B4C"/>
    <w:rsid w:val="007F2DF3"/>
    <w:rsid w:val="007F3630"/>
    <w:rsid w:val="007F6F80"/>
    <w:rsid w:val="0080053B"/>
    <w:rsid w:val="00800DF2"/>
    <w:rsid w:val="00804C57"/>
    <w:rsid w:val="008059A8"/>
    <w:rsid w:val="00806398"/>
    <w:rsid w:val="00806D66"/>
    <w:rsid w:val="00807559"/>
    <w:rsid w:val="00807B5E"/>
    <w:rsid w:val="00807CD3"/>
    <w:rsid w:val="008125CC"/>
    <w:rsid w:val="00812799"/>
    <w:rsid w:val="0081457F"/>
    <w:rsid w:val="0082067E"/>
    <w:rsid w:val="00821C73"/>
    <w:rsid w:val="00824E49"/>
    <w:rsid w:val="0083118F"/>
    <w:rsid w:val="00832515"/>
    <w:rsid w:val="00833389"/>
    <w:rsid w:val="00833671"/>
    <w:rsid w:val="0083579F"/>
    <w:rsid w:val="00836181"/>
    <w:rsid w:val="00840866"/>
    <w:rsid w:val="0084242B"/>
    <w:rsid w:val="00842C65"/>
    <w:rsid w:val="008450BC"/>
    <w:rsid w:val="0085334B"/>
    <w:rsid w:val="00853988"/>
    <w:rsid w:val="00853C1F"/>
    <w:rsid w:val="00855136"/>
    <w:rsid w:val="008551EC"/>
    <w:rsid w:val="00855483"/>
    <w:rsid w:val="008562E8"/>
    <w:rsid w:val="008602BA"/>
    <w:rsid w:val="00862F3F"/>
    <w:rsid w:val="00865D6B"/>
    <w:rsid w:val="00867E8A"/>
    <w:rsid w:val="00870214"/>
    <w:rsid w:val="0087100D"/>
    <w:rsid w:val="00871339"/>
    <w:rsid w:val="00874E24"/>
    <w:rsid w:val="00876703"/>
    <w:rsid w:val="00877CD5"/>
    <w:rsid w:val="00883CA5"/>
    <w:rsid w:val="00884A1E"/>
    <w:rsid w:val="00885C51"/>
    <w:rsid w:val="00885EB0"/>
    <w:rsid w:val="00886463"/>
    <w:rsid w:val="00887327"/>
    <w:rsid w:val="00887F32"/>
    <w:rsid w:val="0089052C"/>
    <w:rsid w:val="0089190B"/>
    <w:rsid w:val="00891F4B"/>
    <w:rsid w:val="0089264A"/>
    <w:rsid w:val="00893E40"/>
    <w:rsid w:val="00896B85"/>
    <w:rsid w:val="00897B8C"/>
    <w:rsid w:val="008A115C"/>
    <w:rsid w:val="008A22BE"/>
    <w:rsid w:val="008A3D24"/>
    <w:rsid w:val="008B056A"/>
    <w:rsid w:val="008B2A67"/>
    <w:rsid w:val="008B3054"/>
    <w:rsid w:val="008B4E0E"/>
    <w:rsid w:val="008B5270"/>
    <w:rsid w:val="008B5806"/>
    <w:rsid w:val="008C1B36"/>
    <w:rsid w:val="008C2C35"/>
    <w:rsid w:val="008C436D"/>
    <w:rsid w:val="008C4948"/>
    <w:rsid w:val="008C4C41"/>
    <w:rsid w:val="008C6C17"/>
    <w:rsid w:val="008C6D4C"/>
    <w:rsid w:val="008D06C6"/>
    <w:rsid w:val="008D09BB"/>
    <w:rsid w:val="008D16A1"/>
    <w:rsid w:val="008D3FE9"/>
    <w:rsid w:val="008D513C"/>
    <w:rsid w:val="008D629B"/>
    <w:rsid w:val="008E0DBA"/>
    <w:rsid w:val="008E2114"/>
    <w:rsid w:val="008E35D7"/>
    <w:rsid w:val="008E56CB"/>
    <w:rsid w:val="008E5967"/>
    <w:rsid w:val="008E5CF4"/>
    <w:rsid w:val="008E6250"/>
    <w:rsid w:val="008F0975"/>
    <w:rsid w:val="008F7ECD"/>
    <w:rsid w:val="0090138C"/>
    <w:rsid w:val="00901588"/>
    <w:rsid w:val="00902AF6"/>
    <w:rsid w:val="00903E9C"/>
    <w:rsid w:val="00905285"/>
    <w:rsid w:val="00905316"/>
    <w:rsid w:val="00910228"/>
    <w:rsid w:val="00910A5E"/>
    <w:rsid w:val="0091202E"/>
    <w:rsid w:val="00914112"/>
    <w:rsid w:val="00914CEA"/>
    <w:rsid w:val="00915605"/>
    <w:rsid w:val="00915A9B"/>
    <w:rsid w:val="00916F87"/>
    <w:rsid w:val="00917CAF"/>
    <w:rsid w:val="00920249"/>
    <w:rsid w:val="00920BB5"/>
    <w:rsid w:val="00923893"/>
    <w:rsid w:val="009241D8"/>
    <w:rsid w:val="00924C80"/>
    <w:rsid w:val="00924E3C"/>
    <w:rsid w:val="0092538A"/>
    <w:rsid w:val="00931DF7"/>
    <w:rsid w:val="00932BFD"/>
    <w:rsid w:val="00932CBE"/>
    <w:rsid w:val="00932F14"/>
    <w:rsid w:val="00933E58"/>
    <w:rsid w:val="00933F62"/>
    <w:rsid w:val="00934B60"/>
    <w:rsid w:val="00937158"/>
    <w:rsid w:val="009409E3"/>
    <w:rsid w:val="0094247F"/>
    <w:rsid w:val="00942D60"/>
    <w:rsid w:val="00944321"/>
    <w:rsid w:val="00945EA1"/>
    <w:rsid w:val="009463F9"/>
    <w:rsid w:val="00946908"/>
    <w:rsid w:val="0095455E"/>
    <w:rsid w:val="00954E58"/>
    <w:rsid w:val="009553C7"/>
    <w:rsid w:val="00955A74"/>
    <w:rsid w:val="00960AFA"/>
    <w:rsid w:val="00962E9C"/>
    <w:rsid w:val="0096523B"/>
    <w:rsid w:val="00965716"/>
    <w:rsid w:val="00965B6B"/>
    <w:rsid w:val="009661B8"/>
    <w:rsid w:val="00966928"/>
    <w:rsid w:val="00966EE3"/>
    <w:rsid w:val="009672A0"/>
    <w:rsid w:val="009706D4"/>
    <w:rsid w:val="00971590"/>
    <w:rsid w:val="00972D06"/>
    <w:rsid w:val="00974F44"/>
    <w:rsid w:val="009752FB"/>
    <w:rsid w:val="00977A37"/>
    <w:rsid w:val="00977A53"/>
    <w:rsid w:val="00982559"/>
    <w:rsid w:val="009844C8"/>
    <w:rsid w:val="00985881"/>
    <w:rsid w:val="00986A77"/>
    <w:rsid w:val="009919AF"/>
    <w:rsid w:val="009932F6"/>
    <w:rsid w:val="00995E9E"/>
    <w:rsid w:val="00997C55"/>
    <w:rsid w:val="00997D86"/>
    <w:rsid w:val="009A191F"/>
    <w:rsid w:val="009A1DF3"/>
    <w:rsid w:val="009A391C"/>
    <w:rsid w:val="009A50F2"/>
    <w:rsid w:val="009B26AD"/>
    <w:rsid w:val="009B508A"/>
    <w:rsid w:val="009B5A47"/>
    <w:rsid w:val="009B6B4A"/>
    <w:rsid w:val="009C06A7"/>
    <w:rsid w:val="009C1B54"/>
    <w:rsid w:val="009C2DC9"/>
    <w:rsid w:val="009C2E41"/>
    <w:rsid w:val="009C47E1"/>
    <w:rsid w:val="009C5091"/>
    <w:rsid w:val="009C6A9A"/>
    <w:rsid w:val="009D00A9"/>
    <w:rsid w:val="009D0705"/>
    <w:rsid w:val="009D0BA0"/>
    <w:rsid w:val="009D1ED7"/>
    <w:rsid w:val="009D306D"/>
    <w:rsid w:val="009D4634"/>
    <w:rsid w:val="009D78AB"/>
    <w:rsid w:val="009D7B76"/>
    <w:rsid w:val="009D7C62"/>
    <w:rsid w:val="009E0A61"/>
    <w:rsid w:val="009E1B98"/>
    <w:rsid w:val="009E3010"/>
    <w:rsid w:val="009E5DE2"/>
    <w:rsid w:val="009E718E"/>
    <w:rsid w:val="009F007E"/>
    <w:rsid w:val="009F1FD6"/>
    <w:rsid w:val="009F2A60"/>
    <w:rsid w:val="009F4562"/>
    <w:rsid w:val="009F5131"/>
    <w:rsid w:val="009F60FE"/>
    <w:rsid w:val="009F7065"/>
    <w:rsid w:val="009F7DC3"/>
    <w:rsid w:val="00A004E1"/>
    <w:rsid w:val="00A0451E"/>
    <w:rsid w:val="00A05207"/>
    <w:rsid w:val="00A14C40"/>
    <w:rsid w:val="00A14E82"/>
    <w:rsid w:val="00A16296"/>
    <w:rsid w:val="00A16B4B"/>
    <w:rsid w:val="00A20F2A"/>
    <w:rsid w:val="00A212DD"/>
    <w:rsid w:val="00A21841"/>
    <w:rsid w:val="00A23DA1"/>
    <w:rsid w:val="00A240DE"/>
    <w:rsid w:val="00A24781"/>
    <w:rsid w:val="00A3162F"/>
    <w:rsid w:val="00A34A47"/>
    <w:rsid w:val="00A36B68"/>
    <w:rsid w:val="00A378E8"/>
    <w:rsid w:val="00A37B2D"/>
    <w:rsid w:val="00A4175D"/>
    <w:rsid w:val="00A42DE3"/>
    <w:rsid w:val="00A44143"/>
    <w:rsid w:val="00A447B3"/>
    <w:rsid w:val="00A47DD7"/>
    <w:rsid w:val="00A47FA9"/>
    <w:rsid w:val="00A509B1"/>
    <w:rsid w:val="00A53C15"/>
    <w:rsid w:val="00A54ED8"/>
    <w:rsid w:val="00A556F3"/>
    <w:rsid w:val="00A55EC3"/>
    <w:rsid w:val="00A563AE"/>
    <w:rsid w:val="00A5695F"/>
    <w:rsid w:val="00A56DC7"/>
    <w:rsid w:val="00A57CE8"/>
    <w:rsid w:val="00A6272C"/>
    <w:rsid w:val="00A62EBB"/>
    <w:rsid w:val="00A65C5B"/>
    <w:rsid w:val="00A70ED5"/>
    <w:rsid w:val="00A721AE"/>
    <w:rsid w:val="00A7276F"/>
    <w:rsid w:val="00A73025"/>
    <w:rsid w:val="00A73D12"/>
    <w:rsid w:val="00A74FD1"/>
    <w:rsid w:val="00A76861"/>
    <w:rsid w:val="00A804C6"/>
    <w:rsid w:val="00A83C42"/>
    <w:rsid w:val="00A84570"/>
    <w:rsid w:val="00A84A58"/>
    <w:rsid w:val="00A85760"/>
    <w:rsid w:val="00A86593"/>
    <w:rsid w:val="00A90360"/>
    <w:rsid w:val="00A90784"/>
    <w:rsid w:val="00A90CC7"/>
    <w:rsid w:val="00A92E94"/>
    <w:rsid w:val="00A9367F"/>
    <w:rsid w:val="00A94991"/>
    <w:rsid w:val="00A96795"/>
    <w:rsid w:val="00A96A77"/>
    <w:rsid w:val="00A9713A"/>
    <w:rsid w:val="00AA10D8"/>
    <w:rsid w:val="00AA25A8"/>
    <w:rsid w:val="00AA2DA3"/>
    <w:rsid w:val="00AA36FB"/>
    <w:rsid w:val="00AA40D6"/>
    <w:rsid w:val="00AA5021"/>
    <w:rsid w:val="00AB0CAD"/>
    <w:rsid w:val="00AB1A3E"/>
    <w:rsid w:val="00AB266C"/>
    <w:rsid w:val="00AB49F0"/>
    <w:rsid w:val="00AB53A3"/>
    <w:rsid w:val="00AB5E2C"/>
    <w:rsid w:val="00AB6199"/>
    <w:rsid w:val="00AB721A"/>
    <w:rsid w:val="00AC44B5"/>
    <w:rsid w:val="00AD191F"/>
    <w:rsid w:val="00AD26B2"/>
    <w:rsid w:val="00AD33AC"/>
    <w:rsid w:val="00AD6712"/>
    <w:rsid w:val="00AD6E0D"/>
    <w:rsid w:val="00AE23AB"/>
    <w:rsid w:val="00AE4577"/>
    <w:rsid w:val="00AE7AAC"/>
    <w:rsid w:val="00AF06FC"/>
    <w:rsid w:val="00AF0B50"/>
    <w:rsid w:val="00AF1EDB"/>
    <w:rsid w:val="00AF3391"/>
    <w:rsid w:val="00AF387F"/>
    <w:rsid w:val="00AF4FCB"/>
    <w:rsid w:val="00AF5FA2"/>
    <w:rsid w:val="00B00E7F"/>
    <w:rsid w:val="00B0391F"/>
    <w:rsid w:val="00B03B50"/>
    <w:rsid w:val="00B045CE"/>
    <w:rsid w:val="00B104B5"/>
    <w:rsid w:val="00B11C28"/>
    <w:rsid w:val="00B12F1E"/>
    <w:rsid w:val="00B141C8"/>
    <w:rsid w:val="00B14797"/>
    <w:rsid w:val="00B16DB8"/>
    <w:rsid w:val="00B173DA"/>
    <w:rsid w:val="00B21CB1"/>
    <w:rsid w:val="00B21DCC"/>
    <w:rsid w:val="00B25F37"/>
    <w:rsid w:val="00B27228"/>
    <w:rsid w:val="00B2739A"/>
    <w:rsid w:val="00B31406"/>
    <w:rsid w:val="00B31E9E"/>
    <w:rsid w:val="00B35BEF"/>
    <w:rsid w:val="00B37BF0"/>
    <w:rsid w:val="00B41EA2"/>
    <w:rsid w:val="00B428C9"/>
    <w:rsid w:val="00B44422"/>
    <w:rsid w:val="00B4525E"/>
    <w:rsid w:val="00B46EA0"/>
    <w:rsid w:val="00B52089"/>
    <w:rsid w:val="00B52CE5"/>
    <w:rsid w:val="00B5353D"/>
    <w:rsid w:val="00B542CA"/>
    <w:rsid w:val="00B54C75"/>
    <w:rsid w:val="00B614AD"/>
    <w:rsid w:val="00B6328D"/>
    <w:rsid w:val="00B643E1"/>
    <w:rsid w:val="00B6449C"/>
    <w:rsid w:val="00B66274"/>
    <w:rsid w:val="00B6627F"/>
    <w:rsid w:val="00B66810"/>
    <w:rsid w:val="00B67409"/>
    <w:rsid w:val="00B674C7"/>
    <w:rsid w:val="00B67F72"/>
    <w:rsid w:val="00B72B30"/>
    <w:rsid w:val="00B731D3"/>
    <w:rsid w:val="00B74193"/>
    <w:rsid w:val="00B744EF"/>
    <w:rsid w:val="00B75A91"/>
    <w:rsid w:val="00B75C32"/>
    <w:rsid w:val="00B76882"/>
    <w:rsid w:val="00B8267C"/>
    <w:rsid w:val="00B8382C"/>
    <w:rsid w:val="00B839A3"/>
    <w:rsid w:val="00B84AC9"/>
    <w:rsid w:val="00B87D4D"/>
    <w:rsid w:val="00B902BD"/>
    <w:rsid w:val="00B9098C"/>
    <w:rsid w:val="00B95420"/>
    <w:rsid w:val="00B9687B"/>
    <w:rsid w:val="00B968E4"/>
    <w:rsid w:val="00BA1426"/>
    <w:rsid w:val="00BA1795"/>
    <w:rsid w:val="00BA2010"/>
    <w:rsid w:val="00BA24E2"/>
    <w:rsid w:val="00BA32A2"/>
    <w:rsid w:val="00BA3E18"/>
    <w:rsid w:val="00BA467B"/>
    <w:rsid w:val="00BA7F25"/>
    <w:rsid w:val="00BB4A00"/>
    <w:rsid w:val="00BB4C75"/>
    <w:rsid w:val="00BC1A2F"/>
    <w:rsid w:val="00BC2D60"/>
    <w:rsid w:val="00BC31B9"/>
    <w:rsid w:val="00BC547A"/>
    <w:rsid w:val="00BC5892"/>
    <w:rsid w:val="00BC60CB"/>
    <w:rsid w:val="00BD0F28"/>
    <w:rsid w:val="00BD1AD4"/>
    <w:rsid w:val="00BD2A39"/>
    <w:rsid w:val="00BD2E80"/>
    <w:rsid w:val="00BD2FB4"/>
    <w:rsid w:val="00BD53F5"/>
    <w:rsid w:val="00BD6754"/>
    <w:rsid w:val="00BD6858"/>
    <w:rsid w:val="00BD70EA"/>
    <w:rsid w:val="00BE03CE"/>
    <w:rsid w:val="00BE11B8"/>
    <w:rsid w:val="00BE2575"/>
    <w:rsid w:val="00BE299C"/>
    <w:rsid w:val="00BF04C8"/>
    <w:rsid w:val="00BF1A87"/>
    <w:rsid w:val="00BF396B"/>
    <w:rsid w:val="00BF3F3F"/>
    <w:rsid w:val="00BF4F51"/>
    <w:rsid w:val="00BF5AE0"/>
    <w:rsid w:val="00BF6238"/>
    <w:rsid w:val="00BF7984"/>
    <w:rsid w:val="00BF7FF0"/>
    <w:rsid w:val="00C005BF"/>
    <w:rsid w:val="00C00894"/>
    <w:rsid w:val="00C01AA0"/>
    <w:rsid w:val="00C03610"/>
    <w:rsid w:val="00C04AA3"/>
    <w:rsid w:val="00C057F4"/>
    <w:rsid w:val="00C05A0D"/>
    <w:rsid w:val="00C05F72"/>
    <w:rsid w:val="00C06CE1"/>
    <w:rsid w:val="00C07F9E"/>
    <w:rsid w:val="00C10A5B"/>
    <w:rsid w:val="00C12502"/>
    <w:rsid w:val="00C143C0"/>
    <w:rsid w:val="00C1462C"/>
    <w:rsid w:val="00C16371"/>
    <w:rsid w:val="00C177FC"/>
    <w:rsid w:val="00C22129"/>
    <w:rsid w:val="00C26356"/>
    <w:rsid w:val="00C32758"/>
    <w:rsid w:val="00C3275B"/>
    <w:rsid w:val="00C35535"/>
    <w:rsid w:val="00C36578"/>
    <w:rsid w:val="00C37157"/>
    <w:rsid w:val="00C37FD1"/>
    <w:rsid w:val="00C40AA5"/>
    <w:rsid w:val="00C414F3"/>
    <w:rsid w:val="00C417E8"/>
    <w:rsid w:val="00C43B93"/>
    <w:rsid w:val="00C46A29"/>
    <w:rsid w:val="00C46F70"/>
    <w:rsid w:val="00C476D0"/>
    <w:rsid w:val="00C533EA"/>
    <w:rsid w:val="00C56C52"/>
    <w:rsid w:val="00C56CAD"/>
    <w:rsid w:val="00C57BFF"/>
    <w:rsid w:val="00C57CF5"/>
    <w:rsid w:val="00C60E73"/>
    <w:rsid w:val="00C6153B"/>
    <w:rsid w:val="00C617A9"/>
    <w:rsid w:val="00C61AC1"/>
    <w:rsid w:val="00C667B6"/>
    <w:rsid w:val="00C7010D"/>
    <w:rsid w:val="00C702B6"/>
    <w:rsid w:val="00C70D2D"/>
    <w:rsid w:val="00C71D3C"/>
    <w:rsid w:val="00C72A75"/>
    <w:rsid w:val="00C72CBC"/>
    <w:rsid w:val="00C74833"/>
    <w:rsid w:val="00C74AA3"/>
    <w:rsid w:val="00C760AF"/>
    <w:rsid w:val="00C81284"/>
    <w:rsid w:val="00C81F05"/>
    <w:rsid w:val="00C82B8E"/>
    <w:rsid w:val="00C836E3"/>
    <w:rsid w:val="00C849CC"/>
    <w:rsid w:val="00C84AA3"/>
    <w:rsid w:val="00C86577"/>
    <w:rsid w:val="00C8750F"/>
    <w:rsid w:val="00C87806"/>
    <w:rsid w:val="00C87F81"/>
    <w:rsid w:val="00C901EA"/>
    <w:rsid w:val="00C902F2"/>
    <w:rsid w:val="00C906F3"/>
    <w:rsid w:val="00C915A2"/>
    <w:rsid w:val="00C92E07"/>
    <w:rsid w:val="00C9324E"/>
    <w:rsid w:val="00C93E2A"/>
    <w:rsid w:val="00C96832"/>
    <w:rsid w:val="00C96868"/>
    <w:rsid w:val="00CA0416"/>
    <w:rsid w:val="00CA0919"/>
    <w:rsid w:val="00CA312E"/>
    <w:rsid w:val="00CA36B6"/>
    <w:rsid w:val="00CA45D5"/>
    <w:rsid w:val="00CA4C2F"/>
    <w:rsid w:val="00CA74A8"/>
    <w:rsid w:val="00CB0DD5"/>
    <w:rsid w:val="00CB1CB0"/>
    <w:rsid w:val="00CB2F97"/>
    <w:rsid w:val="00CC03C0"/>
    <w:rsid w:val="00CC34E5"/>
    <w:rsid w:val="00CC40C8"/>
    <w:rsid w:val="00CC4FE7"/>
    <w:rsid w:val="00CC560B"/>
    <w:rsid w:val="00CC75E2"/>
    <w:rsid w:val="00CD07E0"/>
    <w:rsid w:val="00CD1778"/>
    <w:rsid w:val="00CD3949"/>
    <w:rsid w:val="00CD3F2E"/>
    <w:rsid w:val="00CD46EB"/>
    <w:rsid w:val="00CD6108"/>
    <w:rsid w:val="00CD7EBF"/>
    <w:rsid w:val="00CE0939"/>
    <w:rsid w:val="00CE17EB"/>
    <w:rsid w:val="00CE1D8E"/>
    <w:rsid w:val="00CE49EB"/>
    <w:rsid w:val="00CE519E"/>
    <w:rsid w:val="00CE51D3"/>
    <w:rsid w:val="00CE6284"/>
    <w:rsid w:val="00CE7048"/>
    <w:rsid w:val="00CE7BF6"/>
    <w:rsid w:val="00CF118D"/>
    <w:rsid w:val="00CF3F52"/>
    <w:rsid w:val="00CF4FBC"/>
    <w:rsid w:val="00CF5114"/>
    <w:rsid w:val="00D03354"/>
    <w:rsid w:val="00D038E2"/>
    <w:rsid w:val="00D03DB0"/>
    <w:rsid w:val="00D047ED"/>
    <w:rsid w:val="00D056F1"/>
    <w:rsid w:val="00D057C5"/>
    <w:rsid w:val="00D05855"/>
    <w:rsid w:val="00D05C8A"/>
    <w:rsid w:val="00D10630"/>
    <w:rsid w:val="00D11171"/>
    <w:rsid w:val="00D1269A"/>
    <w:rsid w:val="00D12F73"/>
    <w:rsid w:val="00D14C65"/>
    <w:rsid w:val="00D17133"/>
    <w:rsid w:val="00D20304"/>
    <w:rsid w:val="00D20A1E"/>
    <w:rsid w:val="00D21B5E"/>
    <w:rsid w:val="00D22F3C"/>
    <w:rsid w:val="00D23DB6"/>
    <w:rsid w:val="00D24122"/>
    <w:rsid w:val="00D24F7B"/>
    <w:rsid w:val="00D25B21"/>
    <w:rsid w:val="00D2655B"/>
    <w:rsid w:val="00D26CEF"/>
    <w:rsid w:val="00D26EC8"/>
    <w:rsid w:val="00D332F4"/>
    <w:rsid w:val="00D33726"/>
    <w:rsid w:val="00D33EA2"/>
    <w:rsid w:val="00D3490B"/>
    <w:rsid w:val="00D370CC"/>
    <w:rsid w:val="00D374E6"/>
    <w:rsid w:val="00D41170"/>
    <w:rsid w:val="00D437A9"/>
    <w:rsid w:val="00D43FE6"/>
    <w:rsid w:val="00D4401D"/>
    <w:rsid w:val="00D4569D"/>
    <w:rsid w:val="00D46360"/>
    <w:rsid w:val="00D466D8"/>
    <w:rsid w:val="00D479BF"/>
    <w:rsid w:val="00D47E75"/>
    <w:rsid w:val="00D515CB"/>
    <w:rsid w:val="00D51A95"/>
    <w:rsid w:val="00D52544"/>
    <w:rsid w:val="00D538AE"/>
    <w:rsid w:val="00D54554"/>
    <w:rsid w:val="00D571EE"/>
    <w:rsid w:val="00D57F8F"/>
    <w:rsid w:val="00D60568"/>
    <w:rsid w:val="00D60EE0"/>
    <w:rsid w:val="00D610BC"/>
    <w:rsid w:val="00D65110"/>
    <w:rsid w:val="00D6754B"/>
    <w:rsid w:val="00D67594"/>
    <w:rsid w:val="00D70C7A"/>
    <w:rsid w:val="00D7150C"/>
    <w:rsid w:val="00D73233"/>
    <w:rsid w:val="00D73355"/>
    <w:rsid w:val="00D76E72"/>
    <w:rsid w:val="00D81D38"/>
    <w:rsid w:val="00D82116"/>
    <w:rsid w:val="00D83115"/>
    <w:rsid w:val="00D838FF"/>
    <w:rsid w:val="00D83DC5"/>
    <w:rsid w:val="00D84540"/>
    <w:rsid w:val="00D8726B"/>
    <w:rsid w:val="00D90B87"/>
    <w:rsid w:val="00D929CD"/>
    <w:rsid w:val="00D950A6"/>
    <w:rsid w:val="00D95B14"/>
    <w:rsid w:val="00D96B30"/>
    <w:rsid w:val="00DA10A8"/>
    <w:rsid w:val="00DA1B5B"/>
    <w:rsid w:val="00DA2D2F"/>
    <w:rsid w:val="00DA426A"/>
    <w:rsid w:val="00DA43DA"/>
    <w:rsid w:val="00DA6359"/>
    <w:rsid w:val="00DA6927"/>
    <w:rsid w:val="00DB1DE6"/>
    <w:rsid w:val="00DB1E08"/>
    <w:rsid w:val="00DB2973"/>
    <w:rsid w:val="00DB3732"/>
    <w:rsid w:val="00DC1B56"/>
    <w:rsid w:val="00DC2129"/>
    <w:rsid w:val="00DC4A1F"/>
    <w:rsid w:val="00DC6280"/>
    <w:rsid w:val="00DC6570"/>
    <w:rsid w:val="00DC765B"/>
    <w:rsid w:val="00DD3A51"/>
    <w:rsid w:val="00DD3AC7"/>
    <w:rsid w:val="00DD3C5E"/>
    <w:rsid w:val="00DD601C"/>
    <w:rsid w:val="00DE3325"/>
    <w:rsid w:val="00DE620A"/>
    <w:rsid w:val="00DF0574"/>
    <w:rsid w:val="00DF0A0E"/>
    <w:rsid w:val="00DF25C3"/>
    <w:rsid w:val="00DF2CD3"/>
    <w:rsid w:val="00DF6A58"/>
    <w:rsid w:val="00DF788C"/>
    <w:rsid w:val="00E018B0"/>
    <w:rsid w:val="00E02E60"/>
    <w:rsid w:val="00E03C32"/>
    <w:rsid w:val="00E04062"/>
    <w:rsid w:val="00E052B2"/>
    <w:rsid w:val="00E063C6"/>
    <w:rsid w:val="00E066BA"/>
    <w:rsid w:val="00E077AC"/>
    <w:rsid w:val="00E10EB7"/>
    <w:rsid w:val="00E111E8"/>
    <w:rsid w:val="00E13B53"/>
    <w:rsid w:val="00E13E04"/>
    <w:rsid w:val="00E14157"/>
    <w:rsid w:val="00E14BCD"/>
    <w:rsid w:val="00E164AB"/>
    <w:rsid w:val="00E1678C"/>
    <w:rsid w:val="00E17302"/>
    <w:rsid w:val="00E2003B"/>
    <w:rsid w:val="00E203C2"/>
    <w:rsid w:val="00E21E63"/>
    <w:rsid w:val="00E21F5E"/>
    <w:rsid w:val="00E22436"/>
    <w:rsid w:val="00E22C0D"/>
    <w:rsid w:val="00E24484"/>
    <w:rsid w:val="00E24F6F"/>
    <w:rsid w:val="00E25962"/>
    <w:rsid w:val="00E279D8"/>
    <w:rsid w:val="00E319B1"/>
    <w:rsid w:val="00E35148"/>
    <w:rsid w:val="00E3572B"/>
    <w:rsid w:val="00E35EE1"/>
    <w:rsid w:val="00E37965"/>
    <w:rsid w:val="00E4287E"/>
    <w:rsid w:val="00E43038"/>
    <w:rsid w:val="00E4307C"/>
    <w:rsid w:val="00E44DE1"/>
    <w:rsid w:val="00E44E0D"/>
    <w:rsid w:val="00E45D8E"/>
    <w:rsid w:val="00E506BB"/>
    <w:rsid w:val="00E50FFA"/>
    <w:rsid w:val="00E53ABE"/>
    <w:rsid w:val="00E53F60"/>
    <w:rsid w:val="00E53F99"/>
    <w:rsid w:val="00E5492F"/>
    <w:rsid w:val="00E55D19"/>
    <w:rsid w:val="00E56268"/>
    <w:rsid w:val="00E60E8C"/>
    <w:rsid w:val="00E62DEF"/>
    <w:rsid w:val="00E6448F"/>
    <w:rsid w:val="00E64CA6"/>
    <w:rsid w:val="00E66C93"/>
    <w:rsid w:val="00E67BB5"/>
    <w:rsid w:val="00E706F1"/>
    <w:rsid w:val="00E70A86"/>
    <w:rsid w:val="00E73DD1"/>
    <w:rsid w:val="00E777EC"/>
    <w:rsid w:val="00E807F1"/>
    <w:rsid w:val="00E80EAB"/>
    <w:rsid w:val="00E80FCD"/>
    <w:rsid w:val="00E817DB"/>
    <w:rsid w:val="00E82B66"/>
    <w:rsid w:val="00E853C7"/>
    <w:rsid w:val="00E857AB"/>
    <w:rsid w:val="00E87D28"/>
    <w:rsid w:val="00E90446"/>
    <w:rsid w:val="00E93A8F"/>
    <w:rsid w:val="00E94F53"/>
    <w:rsid w:val="00E960EE"/>
    <w:rsid w:val="00EA2389"/>
    <w:rsid w:val="00EA33F7"/>
    <w:rsid w:val="00EA3D3E"/>
    <w:rsid w:val="00EA409F"/>
    <w:rsid w:val="00EA5C1E"/>
    <w:rsid w:val="00EA780F"/>
    <w:rsid w:val="00EA7BE1"/>
    <w:rsid w:val="00EA7F2F"/>
    <w:rsid w:val="00EB2669"/>
    <w:rsid w:val="00EB66D5"/>
    <w:rsid w:val="00EC00DE"/>
    <w:rsid w:val="00EC23F2"/>
    <w:rsid w:val="00EC30E1"/>
    <w:rsid w:val="00EC3C74"/>
    <w:rsid w:val="00EC46DE"/>
    <w:rsid w:val="00EC5420"/>
    <w:rsid w:val="00ED172A"/>
    <w:rsid w:val="00ED4944"/>
    <w:rsid w:val="00ED6BE3"/>
    <w:rsid w:val="00ED6E81"/>
    <w:rsid w:val="00EE054E"/>
    <w:rsid w:val="00EE1FB8"/>
    <w:rsid w:val="00EE4A94"/>
    <w:rsid w:val="00EF1B74"/>
    <w:rsid w:val="00EF1CBB"/>
    <w:rsid w:val="00EF1EE0"/>
    <w:rsid w:val="00EF315B"/>
    <w:rsid w:val="00EF47B7"/>
    <w:rsid w:val="00EF7F40"/>
    <w:rsid w:val="00F0075B"/>
    <w:rsid w:val="00F0442C"/>
    <w:rsid w:val="00F04F8C"/>
    <w:rsid w:val="00F07155"/>
    <w:rsid w:val="00F078BA"/>
    <w:rsid w:val="00F11F6C"/>
    <w:rsid w:val="00F13537"/>
    <w:rsid w:val="00F13FF2"/>
    <w:rsid w:val="00F1400A"/>
    <w:rsid w:val="00F14BEC"/>
    <w:rsid w:val="00F156F8"/>
    <w:rsid w:val="00F157E6"/>
    <w:rsid w:val="00F17903"/>
    <w:rsid w:val="00F20D78"/>
    <w:rsid w:val="00F223AD"/>
    <w:rsid w:val="00F225C5"/>
    <w:rsid w:val="00F2500D"/>
    <w:rsid w:val="00F2587A"/>
    <w:rsid w:val="00F25CB2"/>
    <w:rsid w:val="00F3017E"/>
    <w:rsid w:val="00F30CD4"/>
    <w:rsid w:val="00F31C29"/>
    <w:rsid w:val="00F3545E"/>
    <w:rsid w:val="00F36522"/>
    <w:rsid w:val="00F36A2B"/>
    <w:rsid w:val="00F3715D"/>
    <w:rsid w:val="00F420C8"/>
    <w:rsid w:val="00F42A4C"/>
    <w:rsid w:val="00F42BE3"/>
    <w:rsid w:val="00F42D6D"/>
    <w:rsid w:val="00F43B9C"/>
    <w:rsid w:val="00F45827"/>
    <w:rsid w:val="00F46146"/>
    <w:rsid w:val="00F46FEC"/>
    <w:rsid w:val="00F47F39"/>
    <w:rsid w:val="00F5032F"/>
    <w:rsid w:val="00F50629"/>
    <w:rsid w:val="00F52D40"/>
    <w:rsid w:val="00F53FFA"/>
    <w:rsid w:val="00F54F30"/>
    <w:rsid w:val="00F550BE"/>
    <w:rsid w:val="00F562A1"/>
    <w:rsid w:val="00F604DE"/>
    <w:rsid w:val="00F625E6"/>
    <w:rsid w:val="00F6296A"/>
    <w:rsid w:val="00F64B12"/>
    <w:rsid w:val="00F72684"/>
    <w:rsid w:val="00F74FFA"/>
    <w:rsid w:val="00F8026D"/>
    <w:rsid w:val="00F8146C"/>
    <w:rsid w:val="00F82567"/>
    <w:rsid w:val="00F82DAF"/>
    <w:rsid w:val="00F82ECD"/>
    <w:rsid w:val="00F86186"/>
    <w:rsid w:val="00F87792"/>
    <w:rsid w:val="00F9071C"/>
    <w:rsid w:val="00F922AA"/>
    <w:rsid w:val="00F95C50"/>
    <w:rsid w:val="00F961DF"/>
    <w:rsid w:val="00F9621E"/>
    <w:rsid w:val="00FA0A73"/>
    <w:rsid w:val="00FA3023"/>
    <w:rsid w:val="00FA41E0"/>
    <w:rsid w:val="00FA43FA"/>
    <w:rsid w:val="00FA56B6"/>
    <w:rsid w:val="00FA79ED"/>
    <w:rsid w:val="00FA7D44"/>
    <w:rsid w:val="00FB0AB6"/>
    <w:rsid w:val="00FB1DDE"/>
    <w:rsid w:val="00FB2011"/>
    <w:rsid w:val="00FB2574"/>
    <w:rsid w:val="00FB33C1"/>
    <w:rsid w:val="00FB5248"/>
    <w:rsid w:val="00FB66DA"/>
    <w:rsid w:val="00FB7512"/>
    <w:rsid w:val="00FC1EB0"/>
    <w:rsid w:val="00FC41C1"/>
    <w:rsid w:val="00FD0DA5"/>
    <w:rsid w:val="00FD19D3"/>
    <w:rsid w:val="00FD3D4A"/>
    <w:rsid w:val="00FD45DB"/>
    <w:rsid w:val="00FD4A5E"/>
    <w:rsid w:val="00FD4CCA"/>
    <w:rsid w:val="00FD6167"/>
    <w:rsid w:val="00FD61DF"/>
    <w:rsid w:val="00FD6448"/>
    <w:rsid w:val="00FD7547"/>
    <w:rsid w:val="00FD77DE"/>
    <w:rsid w:val="00FD7A39"/>
    <w:rsid w:val="00FE032E"/>
    <w:rsid w:val="00FE2CB8"/>
    <w:rsid w:val="00FE3234"/>
    <w:rsid w:val="00FE3386"/>
    <w:rsid w:val="00FE4041"/>
    <w:rsid w:val="00FE6986"/>
    <w:rsid w:val="00FF01B2"/>
    <w:rsid w:val="00FF16A8"/>
    <w:rsid w:val="00FF2557"/>
    <w:rsid w:val="00FF32BF"/>
    <w:rsid w:val="00FF5F5C"/>
    <w:rsid w:val="00FF5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1B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footnote text" w:uiPriority="5" w:qFormat="1"/>
    <w:lsdException w:name="caption" w:semiHidden="1" w:unhideWhenUsed="1"/>
    <w:lsdException w:name="table of figures" w:uiPriority="99"/>
    <w:lsdException w:name="footnote reference" w:uiPriority="99"/>
    <w:lsdException w:name="Title" w:uiPriority="10"/>
    <w:lsdException w:name="Default Paragraph Font" w:uiPriority="1"/>
    <w:lsdException w:name="Subtitle" w:uiPriority="11"/>
    <w:lsdException w:name="Hyperlink" w:uiPriority="99"/>
    <w:lsdException w:name="FollowedHyperlink" w:uiPriority="99"/>
    <w:lsdException w:name="Strong" w:uiPriority="22"/>
    <w:lsdException w:name="Emphasis" w:uiPriority="20"/>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AF4FCB"/>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AF4FCB"/>
    <w:pPr>
      <w:widowControl/>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513153"/>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AB53A3"/>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23423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20"/>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20"/>
      </w:numPr>
      <w:spacing w:before="240" w:after="60"/>
      <w:outlineLvl w:val="6"/>
    </w:pPr>
  </w:style>
  <w:style w:type="paragraph" w:styleId="Heading8">
    <w:name w:val="heading 8"/>
    <w:basedOn w:val="Normal"/>
    <w:next w:val="Normal"/>
    <w:link w:val="Heading8Char"/>
    <w:uiPriority w:val="9"/>
    <w:unhideWhenUsed/>
    <w:rsid w:val="00B731D3"/>
    <w:pPr>
      <w:numPr>
        <w:ilvl w:val="7"/>
        <w:numId w:val="20"/>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20"/>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AF4FCB"/>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AF4FCB"/>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13153"/>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AB53A3"/>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23423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430238"/>
    <w:pPr>
      <w:ind w:left="720"/>
      <w:contextualSpacing/>
    </w:pPr>
  </w:style>
  <w:style w:type="paragraph" w:styleId="Caption">
    <w:name w:val="caption"/>
    <w:basedOn w:val="Normal"/>
    <w:next w:val="Normal"/>
    <w:unhideWhenUsed/>
    <w:rsid w:val="006B2784"/>
    <w:pPr>
      <w:spacing w:after="200"/>
    </w:pPr>
    <w:rPr>
      <w:b/>
      <w:bCs/>
      <w:color w:val="4F81BD" w:themeColor="accent1"/>
      <w:sz w:val="18"/>
      <w:szCs w:val="18"/>
    </w:rPr>
  </w:style>
  <w:style w:type="table" w:styleId="LightShading-Accent3">
    <w:name w:val="Light Shading Accent 3"/>
    <w:basedOn w:val="TableNormal"/>
    <w:uiPriority w:val="60"/>
    <w:rsid w:val="006B278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Revision">
    <w:name w:val="Revision"/>
    <w:hidden/>
    <w:uiPriority w:val="99"/>
    <w:semiHidden/>
    <w:rsid w:val="006B2784"/>
    <w:rPr>
      <w:rFonts w:ascii="Arial" w:hAnsi="Arial"/>
      <w:sz w:val="22"/>
      <w:szCs w:val="24"/>
      <w:lang w:eastAsia="en-US" w:bidi="en-US"/>
    </w:rPr>
  </w:style>
  <w:style w:type="paragraph" w:styleId="E-mailSignature">
    <w:name w:val="E-mail Signature"/>
    <w:basedOn w:val="Normal"/>
    <w:link w:val="E-mailSignatureChar"/>
    <w:rsid w:val="006B2784"/>
    <w:pPr>
      <w:widowControl/>
    </w:pPr>
    <w:rPr>
      <w:sz w:val="20"/>
      <w:szCs w:val="20"/>
      <w:lang w:val="en-AU" w:bidi="he-IL"/>
    </w:rPr>
  </w:style>
  <w:style w:type="character" w:customStyle="1" w:styleId="E-mailSignatureChar">
    <w:name w:val="E-mail Signature Char"/>
    <w:basedOn w:val="DefaultParagraphFont"/>
    <w:link w:val="E-mailSignature"/>
    <w:rsid w:val="006B2784"/>
    <w:rPr>
      <w:rFonts w:ascii="Arial" w:hAnsi="Arial"/>
      <w:lang w:val="en-AU" w:eastAsia="en-US" w:bidi="he-IL"/>
    </w:rPr>
  </w:style>
  <w:style w:type="paragraph" w:customStyle="1" w:styleId="Table">
    <w:name w:val="Table"/>
    <w:basedOn w:val="Heading4"/>
    <w:rsid w:val="006B2784"/>
    <w:pPr>
      <w:widowControl/>
      <w:spacing w:after="0"/>
      <w:ind w:left="0" w:firstLine="0"/>
    </w:pPr>
    <w:rPr>
      <w:i w:val="0"/>
      <w:sz w:val="24"/>
      <w:szCs w:val="24"/>
      <w:lang w:val="en-AU"/>
    </w:rPr>
  </w:style>
  <w:style w:type="paragraph" w:styleId="BodyText">
    <w:name w:val="Body Text"/>
    <w:basedOn w:val="Normal"/>
    <w:link w:val="BodyTextChar"/>
    <w:rsid w:val="006B2784"/>
    <w:pPr>
      <w:widowControl/>
      <w:ind w:right="-298"/>
    </w:pPr>
    <w:rPr>
      <w:rFonts w:ascii="Times New Roman" w:hAnsi="Times New Roman"/>
      <w:sz w:val="24"/>
      <w:lang w:bidi="ar-SA"/>
    </w:rPr>
  </w:style>
  <w:style w:type="character" w:customStyle="1" w:styleId="BodyTextChar">
    <w:name w:val="Body Text Char"/>
    <w:basedOn w:val="DefaultParagraphFont"/>
    <w:link w:val="BodyText"/>
    <w:rsid w:val="006B2784"/>
    <w:rPr>
      <w:rFonts w:ascii="Times New Roman" w:hAnsi="Times New Roman"/>
      <w:sz w:val="24"/>
      <w:szCs w:val="24"/>
      <w:lang w:eastAsia="en-US"/>
    </w:rPr>
  </w:style>
  <w:style w:type="paragraph" w:styleId="BodyText2">
    <w:name w:val="Body Text 2"/>
    <w:basedOn w:val="Normal"/>
    <w:link w:val="BodyText2Char"/>
    <w:rsid w:val="006B2784"/>
    <w:pPr>
      <w:widowControl/>
    </w:pPr>
    <w:rPr>
      <w:rFonts w:ascii="Times New Roman" w:hAnsi="Times New Roman"/>
      <w:i/>
      <w:iCs/>
      <w:sz w:val="24"/>
      <w:lang w:bidi="ar-SA"/>
    </w:rPr>
  </w:style>
  <w:style w:type="character" w:customStyle="1" w:styleId="BodyText2Char">
    <w:name w:val="Body Text 2 Char"/>
    <w:basedOn w:val="DefaultParagraphFont"/>
    <w:link w:val="BodyText2"/>
    <w:rsid w:val="006B2784"/>
    <w:rPr>
      <w:rFonts w:ascii="Times New Roman" w:hAnsi="Times New Roman"/>
      <w:i/>
      <w:iCs/>
      <w:sz w:val="24"/>
      <w:szCs w:val="24"/>
      <w:lang w:eastAsia="en-US"/>
    </w:rPr>
  </w:style>
  <w:style w:type="paragraph" w:customStyle="1" w:styleId="xl26">
    <w:name w:val="xl26"/>
    <w:basedOn w:val="Normal"/>
    <w:rsid w:val="006B2784"/>
    <w:pPr>
      <w:widowControl/>
      <w:spacing w:before="100" w:beforeAutospacing="1" w:after="100" w:afterAutospacing="1"/>
    </w:pPr>
    <w:rPr>
      <w:rFonts w:ascii="Times New Roman" w:eastAsia="Arial Unicode MS" w:hAnsi="Times New Roman"/>
      <w:sz w:val="24"/>
      <w:lang w:val="en-AU" w:bidi="ar-SA"/>
    </w:rPr>
  </w:style>
  <w:style w:type="paragraph" w:customStyle="1" w:styleId="table20">
    <w:name w:val="table2"/>
    <w:basedOn w:val="Normal"/>
    <w:rsid w:val="006B2784"/>
    <w:pPr>
      <w:widowControl/>
      <w:spacing w:before="100" w:beforeAutospacing="1" w:after="100" w:afterAutospacing="1"/>
    </w:pPr>
    <w:rPr>
      <w:rFonts w:ascii="Times New Roman" w:hAnsi="Times New Roman"/>
      <w:sz w:val="24"/>
      <w:lang w:eastAsia="en-GB" w:bidi="ar-SA"/>
    </w:rPr>
  </w:style>
  <w:style w:type="paragraph" w:styleId="NormalWeb">
    <w:name w:val="Normal (Web)"/>
    <w:basedOn w:val="Normal"/>
    <w:uiPriority w:val="99"/>
    <w:unhideWhenUsed/>
    <w:rsid w:val="00AB49F0"/>
    <w:pPr>
      <w:widowControl/>
      <w:spacing w:before="100" w:beforeAutospacing="1" w:after="100" w:afterAutospacing="1"/>
    </w:pPr>
    <w:rPr>
      <w:rFonts w:ascii="Times New Roman" w:hAnsi="Times New Roman"/>
      <w:sz w:val="24"/>
      <w:lang w:eastAsia="en-GB" w:bidi="ar-SA"/>
    </w:rPr>
  </w:style>
  <w:style w:type="paragraph" w:customStyle="1" w:styleId="definition0">
    <w:name w:val="definition"/>
    <w:basedOn w:val="Normal"/>
    <w:rsid w:val="00164740"/>
    <w:pPr>
      <w:widowControl/>
      <w:spacing w:before="100" w:beforeAutospacing="1" w:after="100" w:afterAutospacing="1"/>
    </w:pPr>
    <w:rPr>
      <w:rFonts w:ascii="Times New Roman" w:hAnsi="Times New Roman"/>
      <w:sz w:val="24"/>
      <w:lang w:eastAsia="en-GB" w:bidi="ar-SA"/>
    </w:rPr>
  </w:style>
  <w:style w:type="paragraph" w:styleId="TableofFigures">
    <w:name w:val="table of figures"/>
    <w:basedOn w:val="Normal"/>
    <w:next w:val="Normal"/>
    <w:uiPriority w:val="99"/>
    <w:rsid w:val="00931DF7"/>
    <w:pPr>
      <w:spacing w:before="40" w:after="40"/>
    </w:pPr>
    <w:rPr>
      <w:sz w:val="20"/>
    </w:rPr>
  </w:style>
  <w:style w:type="paragraph" w:customStyle="1" w:styleId="Default">
    <w:name w:val="Default"/>
    <w:rsid w:val="00F156F8"/>
    <w:pPr>
      <w:autoSpaceDE w:val="0"/>
      <w:autoSpaceDN w:val="0"/>
      <w:adjustRightInd w:val="0"/>
    </w:pPr>
    <w:rPr>
      <w:rFonts w:ascii="Arial" w:hAnsi="Arial" w:cs="Arial"/>
      <w:color w:val="000000"/>
      <w:sz w:val="24"/>
      <w:szCs w:val="24"/>
    </w:rPr>
  </w:style>
  <w:style w:type="character" w:customStyle="1" w:styleId="FootnoteTextChar">
    <w:name w:val="Footnote Text Char"/>
    <w:aliases w:val="Footnotes Text Char,FSFootnotes Text Char"/>
    <w:basedOn w:val="DefaultParagraphFont"/>
    <w:link w:val="FootnoteText"/>
    <w:uiPriority w:val="5"/>
    <w:rsid w:val="00E80EAB"/>
    <w:rPr>
      <w:rFonts w:ascii="Arial" w:hAnsi="Arial"/>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footnote text" w:uiPriority="5" w:qFormat="1"/>
    <w:lsdException w:name="caption" w:semiHidden="1" w:unhideWhenUsed="1"/>
    <w:lsdException w:name="table of figures" w:uiPriority="99"/>
    <w:lsdException w:name="footnote reference" w:uiPriority="99"/>
    <w:lsdException w:name="Title" w:uiPriority="10"/>
    <w:lsdException w:name="Default Paragraph Font" w:uiPriority="1"/>
    <w:lsdException w:name="Subtitle" w:uiPriority="11"/>
    <w:lsdException w:name="Hyperlink" w:uiPriority="99"/>
    <w:lsdException w:name="FollowedHyperlink" w:uiPriority="99"/>
    <w:lsdException w:name="Strong" w:uiPriority="22"/>
    <w:lsdException w:name="Emphasis" w:uiPriority="20"/>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AF4FCB"/>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AF4FCB"/>
    <w:pPr>
      <w:widowControl/>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513153"/>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AB53A3"/>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23423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20"/>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20"/>
      </w:numPr>
      <w:spacing w:before="240" w:after="60"/>
      <w:outlineLvl w:val="6"/>
    </w:pPr>
  </w:style>
  <w:style w:type="paragraph" w:styleId="Heading8">
    <w:name w:val="heading 8"/>
    <w:basedOn w:val="Normal"/>
    <w:next w:val="Normal"/>
    <w:link w:val="Heading8Char"/>
    <w:uiPriority w:val="9"/>
    <w:unhideWhenUsed/>
    <w:rsid w:val="00B731D3"/>
    <w:pPr>
      <w:numPr>
        <w:ilvl w:val="7"/>
        <w:numId w:val="20"/>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20"/>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AF4FCB"/>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AF4FCB"/>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13153"/>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AB53A3"/>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23423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430238"/>
    <w:pPr>
      <w:ind w:left="720"/>
      <w:contextualSpacing/>
    </w:pPr>
  </w:style>
  <w:style w:type="paragraph" w:styleId="Caption">
    <w:name w:val="caption"/>
    <w:basedOn w:val="Normal"/>
    <w:next w:val="Normal"/>
    <w:unhideWhenUsed/>
    <w:rsid w:val="006B2784"/>
    <w:pPr>
      <w:spacing w:after="200"/>
    </w:pPr>
    <w:rPr>
      <w:b/>
      <w:bCs/>
      <w:color w:val="4F81BD" w:themeColor="accent1"/>
      <w:sz w:val="18"/>
      <w:szCs w:val="18"/>
    </w:rPr>
  </w:style>
  <w:style w:type="table" w:styleId="LightShading-Accent3">
    <w:name w:val="Light Shading Accent 3"/>
    <w:basedOn w:val="TableNormal"/>
    <w:uiPriority w:val="60"/>
    <w:rsid w:val="006B278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Revision">
    <w:name w:val="Revision"/>
    <w:hidden/>
    <w:uiPriority w:val="99"/>
    <w:semiHidden/>
    <w:rsid w:val="006B2784"/>
    <w:rPr>
      <w:rFonts w:ascii="Arial" w:hAnsi="Arial"/>
      <w:sz w:val="22"/>
      <w:szCs w:val="24"/>
      <w:lang w:eastAsia="en-US" w:bidi="en-US"/>
    </w:rPr>
  </w:style>
  <w:style w:type="paragraph" w:styleId="E-mailSignature">
    <w:name w:val="E-mail Signature"/>
    <w:basedOn w:val="Normal"/>
    <w:link w:val="E-mailSignatureChar"/>
    <w:rsid w:val="006B2784"/>
    <w:pPr>
      <w:widowControl/>
    </w:pPr>
    <w:rPr>
      <w:sz w:val="20"/>
      <w:szCs w:val="20"/>
      <w:lang w:val="en-AU" w:bidi="he-IL"/>
    </w:rPr>
  </w:style>
  <w:style w:type="character" w:customStyle="1" w:styleId="E-mailSignatureChar">
    <w:name w:val="E-mail Signature Char"/>
    <w:basedOn w:val="DefaultParagraphFont"/>
    <w:link w:val="E-mailSignature"/>
    <w:rsid w:val="006B2784"/>
    <w:rPr>
      <w:rFonts w:ascii="Arial" w:hAnsi="Arial"/>
      <w:lang w:val="en-AU" w:eastAsia="en-US" w:bidi="he-IL"/>
    </w:rPr>
  </w:style>
  <w:style w:type="paragraph" w:customStyle="1" w:styleId="Table">
    <w:name w:val="Table"/>
    <w:basedOn w:val="Heading4"/>
    <w:rsid w:val="006B2784"/>
    <w:pPr>
      <w:widowControl/>
      <w:spacing w:after="0"/>
      <w:ind w:left="0" w:firstLine="0"/>
    </w:pPr>
    <w:rPr>
      <w:i w:val="0"/>
      <w:sz w:val="24"/>
      <w:szCs w:val="24"/>
      <w:lang w:val="en-AU"/>
    </w:rPr>
  </w:style>
  <w:style w:type="paragraph" w:styleId="BodyText">
    <w:name w:val="Body Text"/>
    <w:basedOn w:val="Normal"/>
    <w:link w:val="BodyTextChar"/>
    <w:rsid w:val="006B2784"/>
    <w:pPr>
      <w:widowControl/>
      <w:ind w:right="-298"/>
    </w:pPr>
    <w:rPr>
      <w:rFonts w:ascii="Times New Roman" w:hAnsi="Times New Roman"/>
      <w:sz w:val="24"/>
      <w:lang w:bidi="ar-SA"/>
    </w:rPr>
  </w:style>
  <w:style w:type="character" w:customStyle="1" w:styleId="BodyTextChar">
    <w:name w:val="Body Text Char"/>
    <w:basedOn w:val="DefaultParagraphFont"/>
    <w:link w:val="BodyText"/>
    <w:rsid w:val="006B2784"/>
    <w:rPr>
      <w:rFonts w:ascii="Times New Roman" w:hAnsi="Times New Roman"/>
      <w:sz w:val="24"/>
      <w:szCs w:val="24"/>
      <w:lang w:eastAsia="en-US"/>
    </w:rPr>
  </w:style>
  <w:style w:type="paragraph" w:styleId="BodyText2">
    <w:name w:val="Body Text 2"/>
    <w:basedOn w:val="Normal"/>
    <w:link w:val="BodyText2Char"/>
    <w:rsid w:val="006B2784"/>
    <w:pPr>
      <w:widowControl/>
    </w:pPr>
    <w:rPr>
      <w:rFonts w:ascii="Times New Roman" w:hAnsi="Times New Roman"/>
      <w:i/>
      <w:iCs/>
      <w:sz w:val="24"/>
      <w:lang w:bidi="ar-SA"/>
    </w:rPr>
  </w:style>
  <w:style w:type="character" w:customStyle="1" w:styleId="BodyText2Char">
    <w:name w:val="Body Text 2 Char"/>
    <w:basedOn w:val="DefaultParagraphFont"/>
    <w:link w:val="BodyText2"/>
    <w:rsid w:val="006B2784"/>
    <w:rPr>
      <w:rFonts w:ascii="Times New Roman" w:hAnsi="Times New Roman"/>
      <w:i/>
      <w:iCs/>
      <w:sz w:val="24"/>
      <w:szCs w:val="24"/>
      <w:lang w:eastAsia="en-US"/>
    </w:rPr>
  </w:style>
  <w:style w:type="paragraph" w:customStyle="1" w:styleId="xl26">
    <w:name w:val="xl26"/>
    <w:basedOn w:val="Normal"/>
    <w:rsid w:val="006B2784"/>
    <w:pPr>
      <w:widowControl/>
      <w:spacing w:before="100" w:beforeAutospacing="1" w:after="100" w:afterAutospacing="1"/>
    </w:pPr>
    <w:rPr>
      <w:rFonts w:ascii="Times New Roman" w:eastAsia="Arial Unicode MS" w:hAnsi="Times New Roman"/>
      <w:sz w:val="24"/>
      <w:lang w:val="en-AU" w:bidi="ar-SA"/>
    </w:rPr>
  </w:style>
  <w:style w:type="paragraph" w:customStyle="1" w:styleId="table20">
    <w:name w:val="table2"/>
    <w:basedOn w:val="Normal"/>
    <w:rsid w:val="006B2784"/>
    <w:pPr>
      <w:widowControl/>
      <w:spacing w:before="100" w:beforeAutospacing="1" w:after="100" w:afterAutospacing="1"/>
    </w:pPr>
    <w:rPr>
      <w:rFonts w:ascii="Times New Roman" w:hAnsi="Times New Roman"/>
      <w:sz w:val="24"/>
      <w:lang w:eastAsia="en-GB" w:bidi="ar-SA"/>
    </w:rPr>
  </w:style>
  <w:style w:type="paragraph" w:styleId="NormalWeb">
    <w:name w:val="Normal (Web)"/>
    <w:basedOn w:val="Normal"/>
    <w:uiPriority w:val="99"/>
    <w:unhideWhenUsed/>
    <w:rsid w:val="00AB49F0"/>
    <w:pPr>
      <w:widowControl/>
      <w:spacing w:before="100" w:beforeAutospacing="1" w:after="100" w:afterAutospacing="1"/>
    </w:pPr>
    <w:rPr>
      <w:rFonts w:ascii="Times New Roman" w:hAnsi="Times New Roman"/>
      <w:sz w:val="24"/>
      <w:lang w:eastAsia="en-GB" w:bidi="ar-SA"/>
    </w:rPr>
  </w:style>
  <w:style w:type="paragraph" w:customStyle="1" w:styleId="definition0">
    <w:name w:val="definition"/>
    <w:basedOn w:val="Normal"/>
    <w:rsid w:val="00164740"/>
    <w:pPr>
      <w:widowControl/>
      <w:spacing w:before="100" w:beforeAutospacing="1" w:after="100" w:afterAutospacing="1"/>
    </w:pPr>
    <w:rPr>
      <w:rFonts w:ascii="Times New Roman" w:hAnsi="Times New Roman"/>
      <w:sz w:val="24"/>
      <w:lang w:eastAsia="en-GB" w:bidi="ar-SA"/>
    </w:rPr>
  </w:style>
  <w:style w:type="paragraph" w:styleId="TableofFigures">
    <w:name w:val="table of figures"/>
    <w:basedOn w:val="Normal"/>
    <w:next w:val="Normal"/>
    <w:uiPriority w:val="99"/>
    <w:rsid w:val="00931DF7"/>
    <w:pPr>
      <w:spacing w:before="40" w:after="40"/>
    </w:pPr>
    <w:rPr>
      <w:sz w:val="20"/>
    </w:rPr>
  </w:style>
  <w:style w:type="paragraph" w:customStyle="1" w:styleId="Default">
    <w:name w:val="Default"/>
    <w:rsid w:val="00F156F8"/>
    <w:pPr>
      <w:autoSpaceDE w:val="0"/>
      <w:autoSpaceDN w:val="0"/>
      <w:adjustRightInd w:val="0"/>
    </w:pPr>
    <w:rPr>
      <w:rFonts w:ascii="Arial" w:hAnsi="Arial" w:cs="Arial"/>
      <w:color w:val="000000"/>
      <w:sz w:val="24"/>
      <w:szCs w:val="24"/>
    </w:rPr>
  </w:style>
  <w:style w:type="character" w:customStyle="1" w:styleId="FootnoteTextChar">
    <w:name w:val="Footnote Text Char"/>
    <w:aliases w:val="Footnotes Text Char,FSFootnotes Text Char"/>
    <w:basedOn w:val="DefaultParagraphFont"/>
    <w:link w:val="FootnoteText"/>
    <w:uiPriority w:val="5"/>
    <w:rsid w:val="00E80EAB"/>
    <w:rPr>
      <w:rFonts w:ascii="Arial" w:hAnsi="Arial"/>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138">
      <w:bodyDiv w:val="1"/>
      <w:marLeft w:val="0"/>
      <w:marRight w:val="0"/>
      <w:marTop w:val="0"/>
      <w:marBottom w:val="0"/>
      <w:divBdr>
        <w:top w:val="none" w:sz="0" w:space="0" w:color="auto"/>
        <w:left w:val="none" w:sz="0" w:space="0" w:color="auto"/>
        <w:bottom w:val="none" w:sz="0" w:space="0" w:color="auto"/>
        <w:right w:val="none" w:sz="0" w:space="0" w:color="auto"/>
      </w:divBdr>
    </w:div>
    <w:div w:id="6060898">
      <w:bodyDiv w:val="1"/>
      <w:marLeft w:val="0"/>
      <w:marRight w:val="0"/>
      <w:marTop w:val="0"/>
      <w:marBottom w:val="0"/>
      <w:divBdr>
        <w:top w:val="none" w:sz="0" w:space="0" w:color="auto"/>
        <w:left w:val="none" w:sz="0" w:space="0" w:color="auto"/>
        <w:bottom w:val="none" w:sz="0" w:space="0" w:color="auto"/>
        <w:right w:val="none" w:sz="0" w:space="0" w:color="auto"/>
      </w:divBdr>
    </w:div>
    <w:div w:id="6640025">
      <w:bodyDiv w:val="1"/>
      <w:marLeft w:val="0"/>
      <w:marRight w:val="0"/>
      <w:marTop w:val="0"/>
      <w:marBottom w:val="0"/>
      <w:divBdr>
        <w:top w:val="none" w:sz="0" w:space="0" w:color="auto"/>
        <w:left w:val="none" w:sz="0" w:space="0" w:color="auto"/>
        <w:bottom w:val="none" w:sz="0" w:space="0" w:color="auto"/>
        <w:right w:val="none" w:sz="0" w:space="0" w:color="auto"/>
      </w:divBdr>
    </w:div>
    <w:div w:id="9379236">
      <w:bodyDiv w:val="1"/>
      <w:marLeft w:val="0"/>
      <w:marRight w:val="0"/>
      <w:marTop w:val="0"/>
      <w:marBottom w:val="0"/>
      <w:divBdr>
        <w:top w:val="none" w:sz="0" w:space="0" w:color="auto"/>
        <w:left w:val="none" w:sz="0" w:space="0" w:color="auto"/>
        <w:bottom w:val="none" w:sz="0" w:space="0" w:color="auto"/>
        <w:right w:val="none" w:sz="0" w:space="0" w:color="auto"/>
      </w:divBdr>
    </w:div>
    <w:div w:id="17436378">
      <w:bodyDiv w:val="1"/>
      <w:marLeft w:val="0"/>
      <w:marRight w:val="0"/>
      <w:marTop w:val="0"/>
      <w:marBottom w:val="0"/>
      <w:divBdr>
        <w:top w:val="none" w:sz="0" w:space="0" w:color="auto"/>
        <w:left w:val="none" w:sz="0" w:space="0" w:color="auto"/>
        <w:bottom w:val="none" w:sz="0" w:space="0" w:color="auto"/>
        <w:right w:val="none" w:sz="0" w:space="0" w:color="auto"/>
      </w:divBdr>
    </w:div>
    <w:div w:id="34239336">
      <w:bodyDiv w:val="1"/>
      <w:marLeft w:val="0"/>
      <w:marRight w:val="0"/>
      <w:marTop w:val="0"/>
      <w:marBottom w:val="0"/>
      <w:divBdr>
        <w:top w:val="none" w:sz="0" w:space="0" w:color="auto"/>
        <w:left w:val="none" w:sz="0" w:space="0" w:color="auto"/>
        <w:bottom w:val="none" w:sz="0" w:space="0" w:color="auto"/>
        <w:right w:val="none" w:sz="0" w:space="0" w:color="auto"/>
      </w:divBdr>
    </w:div>
    <w:div w:id="50227508">
      <w:bodyDiv w:val="1"/>
      <w:marLeft w:val="0"/>
      <w:marRight w:val="0"/>
      <w:marTop w:val="0"/>
      <w:marBottom w:val="0"/>
      <w:divBdr>
        <w:top w:val="none" w:sz="0" w:space="0" w:color="auto"/>
        <w:left w:val="none" w:sz="0" w:space="0" w:color="auto"/>
        <w:bottom w:val="none" w:sz="0" w:space="0" w:color="auto"/>
        <w:right w:val="none" w:sz="0" w:space="0" w:color="auto"/>
      </w:divBdr>
    </w:div>
    <w:div w:id="74934598">
      <w:bodyDiv w:val="1"/>
      <w:marLeft w:val="0"/>
      <w:marRight w:val="0"/>
      <w:marTop w:val="0"/>
      <w:marBottom w:val="0"/>
      <w:divBdr>
        <w:top w:val="none" w:sz="0" w:space="0" w:color="auto"/>
        <w:left w:val="none" w:sz="0" w:space="0" w:color="auto"/>
        <w:bottom w:val="none" w:sz="0" w:space="0" w:color="auto"/>
        <w:right w:val="none" w:sz="0" w:space="0" w:color="auto"/>
      </w:divBdr>
    </w:div>
    <w:div w:id="76442762">
      <w:bodyDiv w:val="1"/>
      <w:marLeft w:val="0"/>
      <w:marRight w:val="0"/>
      <w:marTop w:val="0"/>
      <w:marBottom w:val="0"/>
      <w:divBdr>
        <w:top w:val="none" w:sz="0" w:space="0" w:color="auto"/>
        <w:left w:val="none" w:sz="0" w:space="0" w:color="auto"/>
        <w:bottom w:val="none" w:sz="0" w:space="0" w:color="auto"/>
        <w:right w:val="none" w:sz="0" w:space="0" w:color="auto"/>
      </w:divBdr>
    </w:div>
    <w:div w:id="79330547">
      <w:bodyDiv w:val="1"/>
      <w:marLeft w:val="0"/>
      <w:marRight w:val="0"/>
      <w:marTop w:val="0"/>
      <w:marBottom w:val="0"/>
      <w:divBdr>
        <w:top w:val="none" w:sz="0" w:space="0" w:color="auto"/>
        <w:left w:val="none" w:sz="0" w:space="0" w:color="auto"/>
        <w:bottom w:val="none" w:sz="0" w:space="0" w:color="auto"/>
        <w:right w:val="none" w:sz="0" w:space="0" w:color="auto"/>
      </w:divBdr>
    </w:div>
    <w:div w:id="99690451">
      <w:bodyDiv w:val="1"/>
      <w:marLeft w:val="0"/>
      <w:marRight w:val="0"/>
      <w:marTop w:val="0"/>
      <w:marBottom w:val="0"/>
      <w:divBdr>
        <w:top w:val="none" w:sz="0" w:space="0" w:color="auto"/>
        <w:left w:val="none" w:sz="0" w:space="0" w:color="auto"/>
        <w:bottom w:val="none" w:sz="0" w:space="0" w:color="auto"/>
        <w:right w:val="none" w:sz="0" w:space="0" w:color="auto"/>
      </w:divBdr>
    </w:div>
    <w:div w:id="111753987">
      <w:bodyDiv w:val="1"/>
      <w:marLeft w:val="0"/>
      <w:marRight w:val="0"/>
      <w:marTop w:val="0"/>
      <w:marBottom w:val="0"/>
      <w:divBdr>
        <w:top w:val="none" w:sz="0" w:space="0" w:color="auto"/>
        <w:left w:val="none" w:sz="0" w:space="0" w:color="auto"/>
        <w:bottom w:val="none" w:sz="0" w:space="0" w:color="auto"/>
        <w:right w:val="none" w:sz="0" w:space="0" w:color="auto"/>
      </w:divBdr>
    </w:div>
    <w:div w:id="148521379">
      <w:bodyDiv w:val="1"/>
      <w:marLeft w:val="0"/>
      <w:marRight w:val="0"/>
      <w:marTop w:val="0"/>
      <w:marBottom w:val="0"/>
      <w:divBdr>
        <w:top w:val="none" w:sz="0" w:space="0" w:color="auto"/>
        <w:left w:val="none" w:sz="0" w:space="0" w:color="auto"/>
        <w:bottom w:val="none" w:sz="0" w:space="0" w:color="auto"/>
        <w:right w:val="none" w:sz="0" w:space="0" w:color="auto"/>
      </w:divBdr>
    </w:div>
    <w:div w:id="158809391">
      <w:bodyDiv w:val="1"/>
      <w:marLeft w:val="0"/>
      <w:marRight w:val="0"/>
      <w:marTop w:val="0"/>
      <w:marBottom w:val="0"/>
      <w:divBdr>
        <w:top w:val="none" w:sz="0" w:space="0" w:color="auto"/>
        <w:left w:val="none" w:sz="0" w:space="0" w:color="auto"/>
        <w:bottom w:val="none" w:sz="0" w:space="0" w:color="auto"/>
        <w:right w:val="none" w:sz="0" w:space="0" w:color="auto"/>
      </w:divBdr>
    </w:div>
    <w:div w:id="160003699">
      <w:bodyDiv w:val="1"/>
      <w:marLeft w:val="0"/>
      <w:marRight w:val="0"/>
      <w:marTop w:val="0"/>
      <w:marBottom w:val="0"/>
      <w:divBdr>
        <w:top w:val="none" w:sz="0" w:space="0" w:color="auto"/>
        <w:left w:val="none" w:sz="0" w:space="0" w:color="auto"/>
        <w:bottom w:val="none" w:sz="0" w:space="0" w:color="auto"/>
        <w:right w:val="none" w:sz="0" w:space="0" w:color="auto"/>
      </w:divBdr>
    </w:div>
    <w:div w:id="214048599">
      <w:bodyDiv w:val="1"/>
      <w:marLeft w:val="0"/>
      <w:marRight w:val="0"/>
      <w:marTop w:val="0"/>
      <w:marBottom w:val="0"/>
      <w:divBdr>
        <w:top w:val="none" w:sz="0" w:space="0" w:color="auto"/>
        <w:left w:val="none" w:sz="0" w:space="0" w:color="auto"/>
        <w:bottom w:val="none" w:sz="0" w:space="0" w:color="auto"/>
        <w:right w:val="none" w:sz="0" w:space="0" w:color="auto"/>
      </w:divBdr>
    </w:div>
    <w:div w:id="219678863">
      <w:bodyDiv w:val="1"/>
      <w:marLeft w:val="0"/>
      <w:marRight w:val="0"/>
      <w:marTop w:val="0"/>
      <w:marBottom w:val="0"/>
      <w:divBdr>
        <w:top w:val="none" w:sz="0" w:space="0" w:color="auto"/>
        <w:left w:val="none" w:sz="0" w:space="0" w:color="auto"/>
        <w:bottom w:val="none" w:sz="0" w:space="0" w:color="auto"/>
        <w:right w:val="none" w:sz="0" w:space="0" w:color="auto"/>
      </w:divBdr>
    </w:div>
    <w:div w:id="222568715">
      <w:bodyDiv w:val="1"/>
      <w:marLeft w:val="0"/>
      <w:marRight w:val="0"/>
      <w:marTop w:val="0"/>
      <w:marBottom w:val="0"/>
      <w:divBdr>
        <w:top w:val="none" w:sz="0" w:space="0" w:color="auto"/>
        <w:left w:val="none" w:sz="0" w:space="0" w:color="auto"/>
        <w:bottom w:val="none" w:sz="0" w:space="0" w:color="auto"/>
        <w:right w:val="none" w:sz="0" w:space="0" w:color="auto"/>
      </w:divBdr>
    </w:div>
    <w:div w:id="262997069">
      <w:bodyDiv w:val="1"/>
      <w:marLeft w:val="0"/>
      <w:marRight w:val="0"/>
      <w:marTop w:val="0"/>
      <w:marBottom w:val="0"/>
      <w:divBdr>
        <w:top w:val="none" w:sz="0" w:space="0" w:color="auto"/>
        <w:left w:val="none" w:sz="0" w:space="0" w:color="auto"/>
        <w:bottom w:val="none" w:sz="0" w:space="0" w:color="auto"/>
        <w:right w:val="none" w:sz="0" w:space="0" w:color="auto"/>
      </w:divBdr>
    </w:div>
    <w:div w:id="280841575">
      <w:bodyDiv w:val="1"/>
      <w:marLeft w:val="0"/>
      <w:marRight w:val="0"/>
      <w:marTop w:val="0"/>
      <w:marBottom w:val="0"/>
      <w:divBdr>
        <w:top w:val="none" w:sz="0" w:space="0" w:color="auto"/>
        <w:left w:val="none" w:sz="0" w:space="0" w:color="auto"/>
        <w:bottom w:val="none" w:sz="0" w:space="0" w:color="auto"/>
        <w:right w:val="none" w:sz="0" w:space="0" w:color="auto"/>
      </w:divBdr>
    </w:div>
    <w:div w:id="298927234">
      <w:bodyDiv w:val="1"/>
      <w:marLeft w:val="0"/>
      <w:marRight w:val="0"/>
      <w:marTop w:val="0"/>
      <w:marBottom w:val="0"/>
      <w:divBdr>
        <w:top w:val="none" w:sz="0" w:space="0" w:color="auto"/>
        <w:left w:val="none" w:sz="0" w:space="0" w:color="auto"/>
        <w:bottom w:val="none" w:sz="0" w:space="0" w:color="auto"/>
        <w:right w:val="none" w:sz="0" w:space="0" w:color="auto"/>
      </w:divBdr>
    </w:div>
    <w:div w:id="355692834">
      <w:bodyDiv w:val="1"/>
      <w:marLeft w:val="0"/>
      <w:marRight w:val="0"/>
      <w:marTop w:val="0"/>
      <w:marBottom w:val="0"/>
      <w:divBdr>
        <w:top w:val="none" w:sz="0" w:space="0" w:color="auto"/>
        <w:left w:val="none" w:sz="0" w:space="0" w:color="auto"/>
        <w:bottom w:val="none" w:sz="0" w:space="0" w:color="auto"/>
        <w:right w:val="none" w:sz="0" w:space="0" w:color="auto"/>
      </w:divBdr>
    </w:div>
    <w:div w:id="382411219">
      <w:bodyDiv w:val="1"/>
      <w:marLeft w:val="0"/>
      <w:marRight w:val="0"/>
      <w:marTop w:val="0"/>
      <w:marBottom w:val="0"/>
      <w:divBdr>
        <w:top w:val="none" w:sz="0" w:space="0" w:color="auto"/>
        <w:left w:val="none" w:sz="0" w:space="0" w:color="auto"/>
        <w:bottom w:val="none" w:sz="0" w:space="0" w:color="auto"/>
        <w:right w:val="none" w:sz="0" w:space="0" w:color="auto"/>
      </w:divBdr>
    </w:div>
    <w:div w:id="391387566">
      <w:bodyDiv w:val="1"/>
      <w:marLeft w:val="0"/>
      <w:marRight w:val="0"/>
      <w:marTop w:val="0"/>
      <w:marBottom w:val="0"/>
      <w:divBdr>
        <w:top w:val="none" w:sz="0" w:space="0" w:color="auto"/>
        <w:left w:val="none" w:sz="0" w:space="0" w:color="auto"/>
        <w:bottom w:val="none" w:sz="0" w:space="0" w:color="auto"/>
        <w:right w:val="none" w:sz="0" w:space="0" w:color="auto"/>
      </w:divBdr>
    </w:div>
    <w:div w:id="397024305">
      <w:bodyDiv w:val="1"/>
      <w:marLeft w:val="0"/>
      <w:marRight w:val="0"/>
      <w:marTop w:val="0"/>
      <w:marBottom w:val="0"/>
      <w:divBdr>
        <w:top w:val="none" w:sz="0" w:space="0" w:color="auto"/>
        <w:left w:val="none" w:sz="0" w:space="0" w:color="auto"/>
        <w:bottom w:val="none" w:sz="0" w:space="0" w:color="auto"/>
        <w:right w:val="none" w:sz="0" w:space="0" w:color="auto"/>
      </w:divBdr>
    </w:div>
    <w:div w:id="411774821">
      <w:bodyDiv w:val="1"/>
      <w:marLeft w:val="0"/>
      <w:marRight w:val="0"/>
      <w:marTop w:val="0"/>
      <w:marBottom w:val="0"/>
      <w:divBdr>
        <w:top w:val="none" w:sz="0" w:space="0" w:color="auto"/>
        <w:left w:val="none" w:sz="0" w:space="0" w:color="auto"/>
        <w:bottom w:val="none" w:sz="0" w:space="0" w:color="auto"/>
        <w:right w:val="none" w:sz="0" w:space="0" w:color="auto"/>
      </w:divBdr>
    </w:div>
    <w:div w:id="428430506">
      <w:bodyDiv w:val="1"/>
      <w:marLeft w:val="0"/>
      <w:marRight w:val="0"/>
      <w:marTop w:val="0"/>
      <w:marBottom w:val="0"/>
      <w:divBdr>
        <w:top w:val="none" w:sz="0" w:space="0" w:color="auto"/>
        <w:left w:val="none" w:sz="0" w:space="0" w:color="auto"/>
        <w:bottom w:val="none" w:sz="0" w:space="0" w:color="auto"/>
        <w:right w:val="none" w:sz="0" w:space="0" w:color="auto"/>
      </w:divBdr>
    </w:div>
    <w:div w:id="436607178">
      <w:bodyDiv w:val="1"/>
      <w:marLeft w:val="0"/>
      <w:marRight w:val="0"/>
      <w:marTop w:val="0"/>
      <w:marBottom w:val="0"/>
      <w:divBdr>
        <w:top w:val="none" w:sz="0" w:space="0" w:color="auto"/>
        <w:left w:val="none" w:sz="0" w:space="0" w:color="auto"/>
        <w:bottom w:val="none" w:sz="0" w:space="0" w:color="auto"/>
        <w:right w:val="none" w:sz="0" w:space="0" w:color="auto"/>
      </w:divBdr>
    </w:div>
    <w:div w:id="516425681">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98295572">
      <w:bodyDiv w:val="1"/>
      <w:marLeft w:val="0"/>
      <w:marRight w:val="0"/>
      <w:marTop w:val="0"/>
      <w:marBottom w:val="0"/>
      <w:divBdr>
        <w:top w:val="none" w:sz="0" w:space="0" w:color="auto"/>
        <w:left w:val="none" w:sz="0" w:space="0" w:color="auto"/>
        <w:bottom w:val="none" w:sz="0" w:space="0" w:color="auto"/>
        <w:right w:val="none" w:sz="0" w:space="0" w:color="auto"/>
      </w:divBdr>
    </w:div>
    <w:div w:id="599148472">
      <w:bodyDiv w:val="1"/>
      <w:marLeft w:val="0"/>
      <w:marRight w:val="0"/>
      <w:marTop w:val="0"/>
      <w:marBottom w:val="0"/>
      <w:divBdr>
        <w:top w:val="none" w:sz="0" w:space="0" w:color="auto"/>
        <w:left w:val="none" w:sz="0" w:space="0" w:color="auto"/>
        <w:bottom w:val="none" w:sz="0" w:space="0" w:color="auto"/>
        <w:right w:val="none" w:sz="0" w:space="0" w:color="auto"/>
      </w:divBdr>
    </w:div>
    <w:div w:id="629634605">
      <w:bodyDiv w:val="1"/>
      <w:marLeft w:val="0"/>
      <w:marRight w:val="0"/>
      <w:marTop w:val="0"/>
      <w:marBottom w:val="0"/>
      <w:divBdr>
        <w:top w:val="none" w:sz="0" w:space="0" w:color="auto"/>
        <w:left w:val="none" w:sz="0" w:space="0" w:color="auto"/>
        <w:bottom w:val="none" w:sz="0" w:space="0" w:color="auto"/>
        <w:right w:val="none" w:sz="0" w:space="0" w:color="auto"/>
      </w:divBdr>
    </w:div>
    <w:div w:id="654185304">
      <w:bodyDiv w:val="1"/>
      <w:marLeft w:val="0"/>
      <w:marRight w:val="0"/>
      <w:marTop w:val="0"/>
      <w:marBottom w:val="0"/>
      <w:divBdr>
        <w:top w:val="none" w:sz="0" w:space="0" w:color="auto"/>
        <w:left w:val="none" w:sz="0" w:space="0" w:color="auto"/>
        <w:bottom w:val="none" w:sz="0" w:space="0" w:color="auto"/>
        <w:right w:val="none" w:sz="0" w:space="0" w:color="auto"/>
      </w:divBdr>
    </w:div>
    <w:div w:id="667099160">
      <w:bodyDiv w:val="1"/>
      <w:marLeft w:val="0"/>
      <w:marRight w:val="0"/>
      <w:marTop w:val="0"/>
      <w:marBottom w:val="0"/>
      <w:divBdr>
        <w:top w:val="none" w:sz="0" w:space="0" w:color="auto"/>
        <w:left w:val="none" w:sz="0" w:space="0" w:color="auto"/>
        <w:bottom w:val="none" w:sz="0" w:space="0" w:color="auto"/>
        <w:right w:val="none" w:sz="0" w:space="0" w:color="auto"/>
      </w:divBdr>
    </w:div>
    <w:div w:id="673841548">
      <w:bodyDiv w:val="1"/>
      <w:marLeft w:val="0"/>
      <w:marRight w:val="0"/>
      <w:marTop w:val="0"/>
      <w:marBottom w:val="0"/>
      <w:divBdr>
        <w:top w:val="none" w:sz="0" w:space="0" w:color="auto"/>
        <w:left w:val="none" w:sz="0" w:space="0" w:color="auto"/>
        <w:bottom w:val="none" w:sz="0" w:space="0" w:color="auto"/>
        <w:right w:val="none" w:sz="0" w:space="0" w:color="auto"/>
      </w:divBdr>
    </w:div>
    <w:div w:id="682510816">
      <w:bodyDiv w:val="1"/>
      <w:marLeft w:val="0"/>
      <w:marRight w:val="0"/>
      <w:marTop w:val="0"/>
      <w:marBottom w:val="0"/>
      <w:divBdr>
        <w:top w:val="none" w:sz="0" w:space="0" w:color="auto"/>
        <w:left w:val="none" w:sz="0" w:space="0" w:color="auto"/>
        <w:bottom w:val="none" w:sz="0" w:space="0" w:color="auto"/>
        <w:right w:val="none" w:sz="0" w:space="0" w:color="auto"/>
      </w:divBdr>
    </w:div>
    <w:div w:id="684746615">
      <w:bodyDiv w:val="1"/>
      <w:marLeft w:val="0"/>
      <w:marRight w:val="0"/>
      <w:marTop w:val="0"/>
      <w:marBottom w:val="0"/>
      <w:divBdr>
        <w:top w:val="none" w:sz="0" w:space="0" w:color="auto"/>
        <w:left w:val="none" w:sz="0" w:space="0" w:color="auto"/>
        <w:bottom w:val="none" w:sz="0" w:space="0" w:color="auto"/>
        <w:right w:val="none" w:sz="0" w:space="0" w:color="auto"/>
      </w:divBdr>
    </w:div>
    <w:div w:id="694693733">
      <w:bodyDiv w:val="1"/>
      <w:marLeft w:val="0"/>
      <w:marRight w:val="0"/>
      <w:marTop w:val="0"/>
      <w:marBottom w:val="0"/>
      <w:divBdr>
        <w:top w:val="none" w:sz="0" w:space="0" w:color="auto"/>
        <w:left w:val="none" w:sz="0" w:space="0" w:color="auto"/>
        <w:bottom w:val="none" w:sz="0" w:space="0" w:color="auto"/>
        <w:right w:val="none" w:sz="0" w:space="0" w:color="auto"/>
      </w:divBdr>
    </w:div>
    <w:div w:id="701246214">
      <w:bodyDiv w:val="1"/>
      <w:marLeft w:val="0"/>
      <w:marRight w:val="0"/>
      <w:marTop w:val="0"/>
      <w:marBottom w:val="0"/>
      <w:divBdr>
        <w:top w:val="none" w:sz="0" w:space="0" w:color="auto"/>
        <w:left w:val="none" w:sz="0" w:space="0" w:color="auto"/>
        <w:bottom w:val="none" w:sz="0" w:space="0" w:color="auto"/>
        <w:right w:val="none" w:sz="0" w:space="0" w:color="auto"/>
      </w:divBdr>
    </w:div>
    <w:div w:id="705057911">
      <w:bodyDiv w:val="1"/>
      <w:marLeft w:val="0"/>
      <w:marRight w:val="0"/>
      <w:marTop w:val="0"/>
      <w:marBottom w:val="0"/>
      <w:divBdr>
        <w:top w:val="none" w:sz="0" w:space="0" w:color="auto"/>
        <w:left w:val="none" w:sz="0" w:space="0" w:color="auto"/>
        <w:bottom w:val="none" w:sz="0" w:space="0" w:color="auto"/>
        <w:right w:val="none" w:sz="0" w:space="0" w:color="auto"/>
      </w:divBdr>
    </w:div>
    <w:div w:id="739328579">
      <w:bodyDiv w:val="1"/>
      <w:marLeft w:val="0"/>
      <w:marRight w:val="0"/>
      <w:marTop w:val="0"/>
      <w:marBottom w:val="0"/>
      <w:divBdr>
        <w:top w:val="none" w:sz="0" w:space="0" w:color="auto"/>
        <w:left w:val="none" w:sz="0" w:space="0" w:color="auto"/>
        <w:bottom w:val="none" w:sz="0" w:space="0" w:color="auto"/>
        <w:right w:val="none" w:sz="0" w:space="0" w:color="auto"/>
      </w:divBdr>
    </w:div>
    <w:div w:id="798962220">
      <w:bodyDiv w:val="1"/>
      <w:marLeft w:val="0"/>
      <w:marRight w:val="0"/>
      <w:marTop w:val="0"/>
      <w:marBottom w:val="0"/>
      <w:divBdr>
        <w:top w:val="none" w:sz="0" w:space="0" w:color="auto"/>
        <w:left w:val="none" w:sz="0" w:space="0" w:color="auto"/>
        <w:bottom w:val="none" w:sz="0" w:space="0" w:color="auto"/>
        <w:right w:val="none" w:sz="0" w:space="0" w:color="auto"/>
      </w:divBdr>
    </w:div>
    <w:div w:id="824512287">
      <w:bodyDiv w:val="1"/>
      <w:marLeft w:val="0"/>
      <w:marRight w:val="0"/>
      <w:marTop w:val="0"/>
      <w:marBottom w:val="0"/>
      <w:divBdr>
        <w:top w:val="none" w:sz="0" w:space="0" w:color="auto"/>
        <w:left w:val="none" w:sz="0" w:space="0" w:color="auto"/>
        <w:bottom w:val="none" w:sz="0" w:space="0" w:color="auto"/>
        <w:right w:val="none" w:sz="0" w:space="0" w:color="auto"/>
      </w:divBdr>
    </w:div>
    <w:div w:id="835610996">
      <w:bodyDiv w:val="1"/>
      <w:marLeft w:val="0"/>
      <w:marRight w:val="0"/>
      <w:marTop w:val="0"/>
      <w:marBottom w:val="0"/>
      <w:divBdr>
        <w:top w:val="none" w:sz="0" w:space="0" w:color="auto"/>
        <w:left w:val="none" w:sz="0" w:space="0" w:color="auto"/>
        <w:bottom w:val="none" w:sz="0" w:space="0" w:color="auto"/>
        <w:right w:val="none" w:sz="0" w:space="0" w:color="auto"/>
      </w:divBdr>
    </w:div>
    <w:div w:id="842210319">
      <w:bodyDiv w:val="1"/>
      <w:marLeft w:val="0"/>
      <w:marRight w:val="0"/>
      <w:marTop w:val="0"/>
      <w:marBottom w:val="0"/>
      <w:divBdr>
        <w:top w:val="none" w:sz="0" w:space="0" w:color="auto"/>
        <w:left w:val="none" w:sz="0" w:space="0" w:color="auto"/>
        <w:bottom w:val="none" w:sz="0" w:space="0" w:color="auto"/>
        <w:right w:val="none" w:sz="0" w:space="0" w:color="auto"/>
      </w:divBdr>
    </w:div>
    <w:div w:id="873887162">
      <w:bodyDiv w:val="1"/>
      <w:marLeft w:val="0"/>
      <w:marRight w:val="0"/>
      <w:marTop w:val="0"/>
      <w:marBottom w:val="0"/>
      <w:divBdr>
        <w:top w:val="none" w:sz="0" w:space="0" w:color="auto"/>
        <w:left w:val="none" w:sz="0" w:space="0" w:color="auto"/>
        <w:bottom w:val="none" w:sz="0" w:space="0" w:color="auto"/>
        <w:right w:val="none" w:sz="0" w:space="0" w:color="auto"/>
      </w:divBdr>
    </w:div>
    <w:div w:id="919678554">
      <w:bodyDiv w:val="1"/>
      <w:marLeft w:val="0"/>
      <w:marRight w:val="0"/>
      <w:marTop w:val="0"/>
      <w:marBottom w:val="0"/>
      <w:divBdr>
        <w:top w:val="none" w:sz="0" w:space="0" w:color="auto"/>
        <w:left w:val="none" w:sz="0" w:space="0" w:color="auto"/>
        <w:bottom w:val="none" w:sz="0" w:space="0" w:color="auto"/>
        <w:right w:val="none" w:sz="0" w:space="0" w:color="auto"/>
      </w:divBdr>
    </w:div>
    <w:div w:id="928543042">
      <w:bodyDiv w:val="1"/>
      <w:marLeft w:val="0"/>
      <w:marRight w:val="0"/>
      <w:marTop w:val="0"/>
      <w:marBottom w:val="0"/>
      <w:divBdr>
        <w:top w:val="none" w:sz="0" w:space="0" w:color="auto"/>
        <w:left w:val="none" w:sz="0" w:space="0" w:color="auto"/>
        <w:bottom w:val="none" w:sz="0" w:space="0" w:color="auto"/>
        <w:right w:val="none" w:sz="0" w:space="0" w:color="auto"/>
      </w:divBdr>
    </w:div>
    <w:div w:id="933787059">
      <w:bodyDiv w:val="1"/>
      <w:marLeft w:val="0"/>
      <w:marRight w:val="0"/>
      <w:marTop w:val="0"/>
      <w:marBottom w:val="0"/>
      <w:divBdr>
        <w:top w:val="none" w:sz="0" w:space="0" w:color="auto"/>
        <w:left w:val="none" w:sz="0" w:space="0" w:color="auto"/>
        <w:bottom w:val="none" w:sz="0" w:space="0" w:color="auto"/>
        <w:right w:val="none" w:sz="0" w:space="0" w:color="auto"/>
      </w:divBdr>
    </w:div>
    <w:div w:id="945115285">
      <w:bodyDiv w:val="1"/>
      <w:marLeft w:val="0"/>
      <w:marRight w:val="0"/>
      <w:marTop w:val="0"/>
      <w:marBottom w:val="0"/>
      <w:divBdr>
        <w:top w:val="none" w:sz="0" w:space="0" w:color="auto"/>
        <w:left w:val="none" w:sz="0" w:space="0" w:color="auto"/>
        <w:bottom w:val="none" w:sz="0" w:space="0" w:color="auto"/>
        <w:right w:val="none" w:sz="0" w:space="0" w:color="auto"/>
      </w:divBdr>
    </w:div>
    <w:div w:id="964239824">
      <w:bodyDiv w:val="1"/>
      <w:marLeft w:val="0"/>
      <w:marRight w:val="0"/>
      <w:marTop w:val="0"/>
      <w:marBottom w:val="0"/>
      <w:divBdr>
        <w:top w:val="none" w:sz="0" w:space="0" w:color="auto"/>
        <w:left w:val="none" w:sz="0" w:space="0" w:color="auto"/>
        <w:bottom w:val="none" w:sz="0" w:space="0" w:color="auto"/>
        <w:right w:val="none" w:sz="0" w:space="0" w:color="auto"/>
      </w:divBdr>
    </w:div>
    <w:div w:id="964853122">
      <w:bodyDiv w:val="1"/>
      <w:marLeft w:val="0"/>
      <w:marRight w:val="0"/>
      <w:marTop w:val="0"/>
      <w:marBottom w:val="0"/>
      <w:divBdr>
        <w:top w:val="none" w:sz="0" w:space="0" w:color="auto"/>
        <w:left w:val="none" w:sz="0" w:space="0" w:color="auto"/>
        <w:bottom w:val="none" w:sz="0" w:space="0" w:color="auto"/>
        <w:right w:val="none" w:sz="0" w:space="0" w:color="auto"/>
      </w:divBdr>
    </w:div>
    <w:div w:id="965089682">
      <w:bodyDiv w:val="1"/>
      <w:marLeft w:val="0"/>
      <w:marRight w:val="0"/>
      <w:marTop w:val="0"/>
      <w:marBottom w:val="0"/>
      <w:divBdr>
        <w:top w:val="none" w:sz="0" w:space="0" w:color="auto"/>
        <w:left w:val="none" w:sz="0" w:space="0" w:color="auto"/>
        <w:bottom w:val="none" w:sz="0" w:space="0" w:color="auto"/>
        <w:right w:val="none" w:sz="0" w:space="0" w:color="auto"/>
      </w:divBdr>
    </w:div>
    <w:div w:id="972979208">
      <w:bodyDiv w:val="1"/>
      <w:marLeft w:val="0"/>
      <w:marRight w:val="0"/>
      <w:marTop w:val="0"/>
      <w:marBottom w:val="0"/>
      <w:divBdr>
        <w:top w:val="none" w:sz="0" w:space="0" w:color="auto"/>
        <w:left w:val="none" w:sz="0" w:space="0" w:color="auto"/>
        <w:bottom w:val="none" w:sz="0" w:space="0" w:color="auto"/>
        <w:right w:val="none" w:sz="0" w:space="0" w:color="auto"/>
      </w:divBdr>
    </w:div>
    <w:div w:id="978267005">
      <w:bodyDiv w:val="1"/>
      <w:marLeft w:val="0"/>
      <w:marRight w:val="0"/>
      <w:marTop w:val="0"/>
      <w:marBottom w:val="0"/>
      <w:divBdr>
        <w:top w:val="none" w:sz="0" w:space="0" w:color="auto"/>
        <w:left w:val="none" w:sz="0" w:space="0" w:color="auto"/>
        <w:bottom w:val="none" w:sz="0" w:space="0" w:color="auto"/>
        <w:right w:val="none" w:sz="0" w:space="0" w:color="auto"/>
      </w:divBdr>
    </w:div>
    <w:div w:id="1051148342">
      <w:bodyDiv w:val="1"/>
      <w:marLeft w:val="0"/>
      <w:marRight w:val="0"/>
      <w:marTop w:val="0"/>
      <w:marBottom w:val="0"/>
      <w:divBdr>
        <w:top w:val="none" w:sz="0" w:space="0" w:color="auto"/>
        <w:left w:val="none" w:sz="0" w:space="0" w:color="auto"/>
        <w:bottom w:val="none" w:sz="0" w:space="0" w:color="auto"/>
        <w:right w:val="none" w:sz="0" w:space="0" w:color="auto"/>
      </w:divBdr>
    </w:div>
    <w:div w:id="1078940375">
      <w:bodyDiv w:val="1"/>
      <w:marLeft w:val="0"/>
      <w:marRight w:val="0"/>
      <w:marTop w:val="0"/>
      <w:marBottom w:val="0"/>
      <w:divBdr>
        <w:top w:val="none" w:sz="0" w:space="0" w:color="auto"/>
        <w:left w:val="none" w:sz="0" w:space="0" w:color="auto"/>
        <w:bottom w:val="none" w:sz="0" w:space="0" w:color="auto"/>
        <w:right w:val="none" w:sz="0" w:space="0" w:color="auto"/>
      </w:divBdr>
    </w:div>
    <w:div w:id="1080828530">
      <w:bodyDiv w:val="1"/>
      <w:marLeft w:val="0"/>
      <w:marRight w:val="0"/>
      <w:marTop w:val="0"/>
      <w:marBottom w:val="0"/>
      <w:divBdr>
        <w:top w:val="none" w:sz="0" w:space="0" w:color="auto"/>
        <w:left w:val="none" w:sz="0" w:space="0" w:color="auto"/>
        <w:bottom w:val="none" w:sz="0" w:space="0" w:color="auto"/>
        <w:right w:val="none" w:sz="0" w:space="0" w:color="auto"/>
      </w:divBdr>
    </w:div>
    <w:div w:id="1095327924">
      <w:bodyDiv w:val="1"/>
      <w:marLeft w:val="0"/>
      <w:marRight w:val="0"/>
      <w:marTop w:val="0"/>
      <w:marBottom w:val="0"/>
      <w:divBdr>
        <w:top w:val="none" w:sz="0" w:space="0" w:color="auto"/>
        <w:left w:val="none" w:sz="0" w:space="0" w:color="auto"/>
        <w:bottom w:val="none" w:sz="0" w:space="0" w:color="auto"/>
        <w:right w:val="none" w:sz="0" w:space="0" w:color="auto"/>
      </w:divBdr>
    </w:div>
    <w:div w:id="1119879708">
      <w:bodyDiv w:val="1"/>
      <w:marLeft w:val="0"/>
      <w:marRight w:val="0"/>
      <w:marTop w:val="0"/>
      <w:marBottom w:val="0"/>
      <w:divBdr>
        <w:top w:val="none" w:sz="0" w:space="0" w:color="auto"/>
        <w:left w:val="none" w:sz="0" w:space="0" w:color="auto"/>
        <w:bottom w:val="none" w:sz="0" w:space="0" w:color="auto"/>
        <w:right w:val="none" w:sz="0" w:space="0" w:color="auto"/>
      </w:divBdr>
    </w:div>
    <w:div w:id="1130441911">
      <w:bodyDiv w:val="1"/>
      <w:marLeft w:val="0"/>
      <w:marRight w:val="0"/>
      <w:marTop w:val="0"/>
      <w:marBottom w:val="0"/>
      <w:divBdr>
        <w:top w:val="none" w:sz="0" w:space="0" w:color="auto"/>
        <w:left w:val="none" w:sz="0" w:space="0" w:color="auto"/>
        <w:bottom w:val="none" w:sz="0" w:space="0" w:color="auto"/>
        <w:right w:val="none" w:sz="0" w:space="0" w:color="auto"/>
      </w:divBdr>
    </w:div>
    <w:div w:id="1142043357">
      <w:bodyDiv w:val="1"/>
      <w:marLeft w:val="0"/>
      <w:marRight w:val="0"/>
      <w:marTop w:val="0"/>
      <w:marBottom w:val="0"/>
      <w:divBdr>
        <w:top w:val="none" w:sz="0" w:space="0" w:color="auto"/>
        <w:left w:val="none" w:sz="0" w:space="0" w:color="auto"/>
        <w:bottom w:val="none" w:sz="0" w:space="0" w:color="auto"/>
        <w:right w:val="none" w:sz="0" w:space="0" w:color="auto"/>
      </w:divBdr>
    </w:div>
    <w:div w:id="1145317574">
      <w:bodyDiv w:val="1"/>
      <w:marLeft w:val="0"/>
      <w:marRight w:val="0"/>
      <w:marTop w:val="0"/>
      <w:marBottom w:val="0"/>
      <w:divBdr>
        <w:top w:val="none" w:sz="0" w:space="0" w:color="auto"/>
        <w:left w:val="none" w:sz="0" w:space="0" w:color="auto"/>
        <w:bottom w:val="none" w:sz="0" w:space="0" w:color="auto"/>
        <w:right w:val="none" w:sz="0" w:space="0" w:color="auto"/>
      </w:divBdr>
    </w:div>
    <w:div w:id="1153062095">
      <w:bodyDiv w:val="1"/>
      <w:marLeft w:val="0"/>
      <w:marRight w:val="0"/>
      <w:marTop w:val="0"/>
      <w:marBottom w:val="0"/>
      <w:divBdr>
        <w:top w:val="none" w:sz="0" w:space="0" w:color="auto"/>
        <w:left w:val="none" w:sz="0" w:space="0" w:color="auto"/>
        <w:bottom w:val="none" w:sz="0" w:space="0" w:color="auto"/>
        <w:right w:val="none" w:sz="0" w:space="0" w:color="auto"/>
      </w:divBdr>
    </w:div>
    <w:div w:id="1157234817">
      <w:bodyDiv w:val="1"/>
      <w:marLeft w:val="0"/>
      <w:marRight w:val="0"/>
      <w:marTop w:val="0"/>
      <w:marBottom w:val="0"/>
      <w:divBdr>
        <w:top w:val="none" w:sz="0" w:space="0" w:color="auto"/>
        <w:left w:val="none" w:sz="0" w:space="0" w:color="auto"/>
        <w:bottom w:val="none" w:sz="0" w:space="0" w:color="auto"/>
        <w:right w:val="none" w:sz="0" w:space="0" w:color="auto"/>
      </w:divBdr>
    </w:div>
    <w:div w:id="1159542323">
      <w:bodyDiv w:val="1"/>
      <w:marLeft w:val="0"/>
      <w:marRight w:val="0"/>
      <w:marTop w:val="0"/>
      <w:marBottom w:val="0"/>
      <w:divBdr>
        <w:top w:val="none" w:sz="0" w:space="0" w:color="auto"/>
        <w:left w:val="none" w:sz="0" w:space="0" w:color="auto"/>
        <w:bottom w:val="none" w:sz="0" w:space="0" w:color="auto"/>
        <w:right w:val="none" w:sz="0" w:space="0" w:color="auto"/>
      </w:divBdr>
    </w:div>
    <w:div w:id="1162357260">
      <w:bodyDiv w:val="1"/>
      <w:marLeft w:val="0"/>
      <w:marRight w:val="0"/>
      <w:marTop w:val="0"/>
      <w:marBottom w:val="0"/>
      <w:divBdr>
        <w:top w:val="none" w:sz="0" w:space="0" w:color="auto"/>
        <w:left w:val="none" w:sz="0" w:space="0" w:color="auto"/>
        <w:bottom w:val="none" w:sz="0" w:space="0" w:color="auto"/>
        <w:right w:val="none" w:sz="0" w:space="0" w:color="auto"/>
      </w:divBdr>
    </w:div>
    <w:div w:id="1170829352">
      <w:bodyDiv w:val="1"/>
      <w:marLeft w:val="0"/>
      <w:marRight w:val="0"/>
      <w:marTop w:val="0"/>
      <w:marBottom w:val="0"/>
      <w:divBdr>
        <w:top w:val="none" w:sz="0" w:space="0" w:color="auto"/>
        <w:left w:val="none" w:sz="0" w:space="0" w:color="auto"/>
        <w:bottom w:val="none" w:sz="0" w:space="0" w:color="auto"/>
        <w:right w:val="none" w:sz="0" w:space="0" w:color="auto"/>
      </w:divBdr>
    </w:div>
    <w:div w:id="1180657752">
      <w:bodyDiv w:val="1"/>
      <w:marLeft w:val="0"/>
      <w:marRight w:val="0"/>
      <w:marTop w:val="0"/>
      <w:marBottom w:val="0"/>
      <w:divBdr>
        <w:top w:val="none" w:sz="0" w:space="0" w:color="auto"/>
        <w:left w:val="none" w:sz="0" w:space="0" w:color="auto"/>
        <w:bottom w:val="none" w:sz="0" w:space="0" w:color="auto"/>
        <w:right w:val="none" w:sz="0" w:space="0" w:color="auto"/>
      </w:divBdr>
    </w:div>
    <w:div w:id="1184589270">
      <w:bodyDiv w:val="1"/>
      <w:marLeft w:val="0"/>
      <w:marRight w:val="0"/>
      <w:marTop w:val="0"/>
      <w:marBottom w:val="0"/>
      <w:divBdr>
        <w:top w:val="none" w:sz="0" w:space="0" w:color="auto"/>
        <w:left w:val="none" w:sz="0" w:space="0" w:color="auto"/>
        <w:bottom w:val="none" w:sz="0" w:space="0" w:color="auto"/>
        <w:right w:val="none" w:sz="0" w:space="0" w:color="auto"/>
      </w:divBdr>
    </w:div>
    <w:div w:id="1215046758">
      <w:bodyDiv w:val="1"/>
      <w:marLeft w:val="0"/>
      <w:marRight w:val="0"/>
      <w:marTop w:val="0"/>
      <w:marBottom w:val="0"/>
      <w:divBdr>
        <w:top w:val="none" w:sz="0" w:space="0" w:color="auto"/>
        <w:left w:val="none" w:sz="0" w:space="0" w:color="auto"/>
        <w:bottom w:val="none" w:sz="0" w:space="0" w:color="auto"/>
        <w:right w:val="none" w:sz="0" w:space="0" w:color="auto"/>
      </w:divBdr>
    </w:div>
    <w:div w:id="1218708289">
      <w:bodyDiv w:val="1"/>
      <w:marLeft w:val="0"/>
      <w:marRight w:val="0"/>
      <w:marTop w:val="0"/>
      <w:marBottom w:val="0"/>
      <w:divBdr>
        <w:top w:val="none" w:sz="0" w:space="0" w:color="auto"/>
        <w:left w:val="none" w:sz="0" w:space="0" w:color="auto"/>
        <w:bottom w:val="none" w:sz="0" w:space="0" w:color="auto"/>
        <w:right w:val="none" w:sz="0" w:space="0" w:color="auto"/>
      </w:divBdr>
    </w:div>
    <w:div w:id="1236470559">
      <w:bodyDiv w:val="1"/>
      <w:marLeft w:val="0"/>
      <w:marRight w:val="0"/>
      <w:marTop w:val="0"/>
      <w:marBottom w:val="0"/>
      <w:divBdr>
        <w:top w:val="none" w:sz="0" w:space="0" w:color="auto"/>
        <w:left w:val="none" w:sz="0" w:space="0" w:color="auto"/>
        <w:bottom w:val="none" w:sz="0" w:space="0" w:color="auto"/>
        <w:right w:val="none" w:sz="0" w:space="0" w:color="auto"/>
      </w:divBdr>
    </w:div>
    <w:div w:id="1250311230">
      <w:bodyDiv w:val="1"/>
      <w:marLeft w:val="0"/>
      <w:marRight w:val="0"/>
      <w:marTop w:val="0"/>
      <w:marBottom w:val="0"/>
      <w:divBdr>
        <w:top w:val="none" w:sz="0" w:space="0" w:color="auto"/>
        <w:left w:val="none" w:sz="0" w:space="0" w:color="auto"/>
        <w:bottom w:val="none" w:sz="0" w:space="0" w:color="auto"/>
        <w:right w:val="none" w:sz="0" w:space="0" w:color="auto"/>
      </w:divBdr>
    </w:div>
    <w:div w:id="1272127027">
      <w:bodyDiv w:val="1"/>
      <w:marLeft w:val="0"/>
      <w:marRight w:val="0"/>
      <w:marTop w:val="0"/>
      <w:marBottom w:val="0"/>
      <w:divBdr>
        <w:top w:val="none" w:sz="0" w:space="0" w:color="auto"/>
        <w:left w:val="none" w:sz="0" w:space="0" w:color="auto"/>
        <w:bottom w:val="none" w:sz="0" w:space="0" w:color="auto"/>
        <w:right w:val="none" w:sz="0" w:space="0" w:color="auto"/>
      </w:divBdr>
    </w:div>
    <w:div w:id="1330710877">
      <w:bodyDiv w:val="1"/>
      <w:marLeft w:val="0"/>
      <w:marRight w:val="0"/>
      <w:marTop w:val="0"/>
      <w:marBottom w:val="0"/>
      <w:divBdr>
        <w:top w:val="none" w:sz="0" w:space="0" w:color="auto"/>
        <w:left w:val="none" w:sz="0" w:space="0" w:color="auto"/>
        <w:bottom w:val="none" w:sz="0" w:space="0" w:color="auto"/>
        <w:right w:val="none" w:sz="0" w:space="0" w:color="auto"/>
      </w:divBdr>
    </w:div>
    <w:div w:id="1355573685">
      <w:bodyDiv w:val="1"/>
      <w:marLeft w:val="0"/>
      <w:marRight w:val="0"/>
      <w:marTop w:val="0"/>
      <w:marBottom w:val="0"/>
      <w:divBdr>
        <w:top w:val="none" w:sz="0" w:space="0" w:color="auto"/>
        <w:left w:val="none" w:sz="0" w:space="0" w:color="auto"/>
        <w:bottom w:val="none" w:sz="0" w:space="0" w:color="auto"/>
        <w:right w:val="none" w:sz="0" w:space="0" w:color="auto"/>
      </w:divBdr>
    </w:div>
    <w:div w:id="1361125954">
      <w:bodyDiv w:val="1"/>
      <w:marLeft w:val="0"/>
      <w:marRight w:val="0"/>
      <w:marTop w:val="0"/>
      <w:marBottom w:val="0"/>
      <w:divBdr>
        <w:top w:val="none" w:sz="0" w:space="0" w:color="auto"/>
        <w:left w:val="none" w:sz="0" w:space="0" w:color="auto"/>
        <w:bottom w:val="none" w:sz="0" w:space="0" w:color="auto"/>
        <w:right w:val="none" w:sz="0" w:space="0" w:color="auto"/>
      </w:divBdr>
    </w:div>
    <w:div w:id="1378892165">
      <w:bodyDiv w:val="1"/>
      <w:marLeft w:val="0"/>
      <w:marRight w:val="0"/>
      <w:marTop w:val="0"/>
      <w:marBottom w:val="0"/>
      <w:divBdr>
        <w:top w:val="none" w:sz="0" w:space="0" w:color="auto"/>
        <w:left w:val="none" w:sz="0" w:space="0" w:color="auto"/>
        <w:bottom w:val="none" w:sz="0" w:space="0" w:color="auto"/>
        <w:right w:val="none" w:sz="0" w:space="0" w:color="auto"/>
      </w:divBdr>
    </w:div>
    <w:div w:id="1386683313">
      <w:bodyDiv w:val="1"/>
      <w:marLeft w:val="0"/>
      <w:marRight w:val="0"/>
      <w:marTop w:val="0"/>
      <w:marBottom w:val="0"/>
      <w:divBdr>
        <w:top w:val="none" w:sz="0" w:space="0" w:color="auto"/>
        <w:left w:val="none" w:sz="0" w:space="0" w:color="auto"/>
        <w:bottom w:val="none" w:sz="0" w:space="0" w:color="auto"/>
        <w:right w:val="none" w:sz="0" w:space="0" w:color="auto"/>
      </w:divBdr>
    </w:div>
    <w:div w:id="1409230749">
      <w:bodyDiv w:val="1"/>
      <w:marLeft w:val="0"/>
      <w:marRight w:val="0"/>
      <w:marTop w:val="0"/>
      <w:marBottom w:val="0"/>
      <w:divBdr>
        <w:top w:val="none" w:sz="0" w:space="0" w:color="auto"/>
        <w:left w:val="none" w:sz="0" w:space="0" w:color="auto"/>
        <w:bottom w:val="none" w:sz="0" w:space="0" w:color="auto"/>
        <w:right w:val="none" w:sz="0" w:space="0" w:color="auto"/>
      </w:divBdr>
    </w:div>
    <w:div w:id="1419670953">
      <w:bodyDiv w:val="1"/>
      <w:marLeft w:val="0"/>
      <w:marRight w:val="0"/>
      <w:marTop w:val="0"/>
      <w:marBottom w:val="0"/>
      <w:divBdr>
        <w:top w:val="none" w:sz="0" w:space="0" w:color="auto"/>
        <w:left w:val="none" w:sz="0" w:space="0" w:color="auto"/>
        <w:bottom w:val="none" w:sz="0" w:space="0" w:color="auto"/>
        <w:right w:val="none" w:sz="0" w:space="0" w:color="auto"/>
      </w:divBdr>
    </w:div>
    <w:div w:id="1447698534">
      <w:bodyDiv w:val="1"/>
      <w:marLeft w:val="0"/>
      <w:marRight w:val="0"/>
      <w:marTop w:val="0"/>
      <w:marBottom w:val="0"/>
      <w:divBdr>
        <w:top w:val="none" w:sz="0" w:space="0" w:color="auto"/>
        <w:left w:val="none" w:sz="0" w:space="0" w:color="auto"/>
        <w:bottom w:val="none" w:sz="0" w:space="0" w:color="auto"/>
        <w:right w:val="none" w:sz="0" w:space="0" w:color="auto"/>
      </w:divBdr>
    </w:div>
    <w:div w:id="1453402403">
      <w:bodyDiv w:val="1"/>
      <w:marLeft w:val="0"/>
      <w:marRight w:val="0"/>
      <w:marTop w:val="0"/>
      <w:marBottom w:val="0"/>
      <w:divBdr>
        <w:top w:val="none" w:sz="0" w:space="0" w:color="auto"/>
        <w:left w:val="none" w:sz="0" w:space="0" w:color="auto"/>
        <w:bottom w:val="none" w:sz="0" w:space="0" w:color="auto"/>
        <w:right w:val="none" w:sz="0" w:space="0" w:color="auto"/>
      </w:divBdr>
    </w:div>
    <w:div w:id="1498575369">
      <w:bodyDiv w:val="1"/>
      <w:marLeft w:val="0"/>
      <w:marRight w:val="0"/>
      <w:marTop w:val="0"/>
      <w:marBottom w:val="0"/>
      <w:divBdr>
        <w:top w:val="none" w:sz="0" w:space="0" w:color="auto"/>
        <w:left w:val="none" w:sz="0" w:space="0" w:color="auto"/>
        <w:bottom w:val="none" w:sz="0" w:space="0" w:color="auto"/>
        <w:right w:val="none" w:sz="0" w:space="0" w:color="auto"/>
      </w:divBdr>
    </w:div>
    <w:div w:id="1506556450">
      <w:bodyDiv w:val="1"/>
      <w:marLeft w:val="0"/>
      <w:marRight w:val="0"/>
      <w:marTop w:val="0"/>
      <w:marBottom w:val="0"/>
      <w:divBdr>
        <w:top w:val="none" w:sz="0" w:space="0" w:color="auto"/>
        <w:left w:val="none" w:sz="0" w:space="0" w:color="auto"/>
        <w:bottom w:val="none" w:sz="0" w:space="0" w:color="auto"/>
        <w:right w:val="none" w:sz="0" w:space="0" w:color="auto"/>
      </w:divBdr>
    </w:div>
    <w:div w:id="1523206562">
      <w:bodyDiv w:val="1"/>
      <w:marLeft w:val="0"/>
      <w:marRight w:val="0"/>
      <w:marTop w:val="0"/>
      <w:marBottom w:val="0"/>
      <w:divBdr>
        <w:top w:val="none" w:sz="0" w:space="0" w:color="auto"/>
        <w:left w:val="none" w:sz="0" w:space="0" w:color="auto"/>
        <w:bottom w:val="none" w:sz="0" w:space="0" w:color="auto"/>
        <w:right w:val="none" w:sz="0" w:space="0" w:color="auto"/>
      </w:divBdr>
    </w:div>
    <w:div w:id="1530679073">
      <w:bodyDiv w:val="1"/>
      <w:marLeft w:val="0"/>
      <w:marRight w:val="0"/>
      <w:marTop w:val="0"/>
      <w:marBottom w:val="0"/>
      <w:divBdr>
        <w:top w:val="none" w:sz="0" w:space="0" w:color="auto"/>
        <w:left w:val="none" w:sz="0" w:space="0" w:color="auto"/>
        <w:bottom w:val="none" w:sz="0" w:space="0" w:color="auto"/>
        <w:right w:val="none" w:sz="0" w:space="0" w:color="auto"/>
      </w:divBdr>
    </w:div>
    <w:div w:id="1532448985">
      <w:bodyDiv w:val="1"/>
      <w:marLeft w:val="0"/>
      <w:marRight w:val="0"/>
      <w:marTop w:val="0"/>
      <w:marBottom w:val="0"/>
      <w:divBdr>
        <w:top w:val="none" w:sz="0" w:space="0" w:color="auto"/>
        <w:left w:val="none" w:sz="0" w:space="0" w:color="auto"/>
        <w:bottom w:val="none" w:sz="0" w:space="0" w:color="auto"/>
        <w:right w:val="none" w:sz="0" w:space="0" w:color="auto"/>
      </w:divBdr>
    </w:div>
    <w:div w:id="1557665973">
      <w:bodyDiv w:val="1"/>
      <w:marLeft w:val="0"/>
      <w:marRight w:val="0"/>
      <w:marTop w:val="0"/>
      <w:marBottom w:val="0"/>
      <w:divBdr>
        <w:top w:val="none" w:sz="0" w:space="0" w:color="auto"/>
        <w:left w:val="none" w:sz="0" w:space="0" w:color="auto"/>
        <w:bottom w:val="none" w:sz="0" w:space="0" w:color="auto"/>
        <w:right w:val="none" w:sz="0" w:space="0" w:color="auto"/>
      </w:divBdr>
    </w:div>
    <w:div w:id="1560824831">
      <w:bodyDiv w:val="1"/>
      <w:marLeft w:val="0"/>
      <w:marRight w:val="0"/>
      <w:marTop w:val="0"/>
      <w:marBottom w:val="0"/>
      <w:divBdr>
        <w:top w:val="none" w:sz="0" w:space="0" w:color="auto"/>
        <w:left w:val="none" w:sz="0" w:space="0" w:color="auto"/>
        <w:bottom w:val="none" w:sz="0" w:space="0" w:color="auto"/>
        <w:right w:val="none" w:sz="0" w:space="0" w:color="auto"/>
      </w:divBdr>
    </w:div>
    <w:div w:id="1562977930">
      <w:bodyDiv w:val="1"/>
      <w:marLeft w:val="0"/>
      <w:marRight w:val="0"/>
      <w:marTop w:val="0"/>
      <w:marBottom w:val="0"/>
      <w:divBdr>
        <w:top w:val="none" w:sz="0" w:space="0" w:color="auto"/>
        <w:left w:val="none" w:sz="0" w:space="0" w:color="auto"/>
        <w:bottom w:val="none" w:sz="0" w:space="0" w:color="auto"/>
        <w:right w:val="none" w:sz="0" w:space="0" w:color="auto"/>
      </w:divBdr>
    </w:div>
    <w:div w:id="1564371533">
      <w:bodyDiv w:val="1"/>
      <w:marLeft w:val="0"/>
      <w:marRight w:val="0"/>
      <w:marTop w:val="0"/>
      <w:marBottom w:val="0"/>
      <w:divBdr>
        <w:top w:val="none" w:sz="0" w:space="0" w:color="auto"/>
        <w:left w:val="none" w:sz="0" w:space="0" w:color="auto"/>
        <w:bottom w:val="none" w:sz="0" w:space="0" w:color="auto"/>
        <w:right w:val="none" w:sz="0" w:space="0" w:color="auto"/>
      </w:divBdr>
    </w:div>
    <w:div w:id="1571773308">
      <w:bodyDiv w:val="1"/>
      <w:marLeft w:val="0"/>
      <w:marRight w:val="0"/>
      <w:marTop w:val="0"/>
      <w:marBottom w:val="0"/>
      <w:divBdr>
        <w:top w:val="none" w:sz="0" w:space="0" w:color="auto"/>
        <w:left w:val="none" w:sz="0" w:space="0" w:color="auto"/>
        <w:bottom w:val="none" w:sz="0" w:space="0" w:color="auto"/>
        <w:right w:val="none" w:sz="0" w:space="0" w:color="auto"/>
      </w:divBdr>
    </w:div>
    <w:div w:id="1582837130">
      <w:bodyDiv w:val="1"/>
      <w:marLeft w:val="0"/>
      <w:marRight w:val="0"/>
      <w:marTop w:val="0"/>
      <w:marBottom w:val="0"/>
      <w:divBdr>
        <w:top w:val="none" w:sz="0" w:space="0" w:color="auto"/>
        <w:left w:val="none" w:sz="0" w:space="0" w:color="auto"/>
        <w:bottom w:val="none" w:sz="0" w:space="0" w:color="auto"/>
        <w:right w:val="none" w:sz="0" w:space="0" w:color="auto"/>
      </w:divBdr>
    </w:div>
    <w:div w:id="158591680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09119273">
      <w:bodyDiv w:val="1"/>
      <w:marLeft w:val="0"/>
      <w:marRight w:val="0"/>
      <w:marTop w:val="0"/>
      <w:marBottom w:val="0"/>
      <w:divBdr>
        <w:top w:val="none" w:sz="0" w:space="0" w:color="auto"/>
        <w:left w:val="none" w:sz="0" w:space="0" w:color="auto"/>
        <w:bottom w:val="none" w:sz="0" w:space="0" w:color="auto"/>
        <w:right w:val="none" w:sz="0" w:space="0" w:color="auto"/>
      </w:divBdr>
    </w:div>
    <w:div w:id="1649896201">
      <w:bodyDiv w:val="1"/>
      <w:marLeft w:val="0"/>
      <w:marRight w:val="0"/>
      <w:marTop w:val="0"/>
      <w:marBottom w:val="0"/>
      <w:divBdr>
        <w:top w:val="none" w:sz="0" w:space="0" w:color="auto"/>
        <w:left w:val="none" w:sz="0" w:space="0" w:color="auto"/>
        <w:bottom w:val="none" w:sz="0" w:space="0" w:color="auto"/>
        <w:right w:val="none" w:sz="0" w:space="0" w:color="auto"/>
      </w:divBdr>
    </w:div>
    <w:div w:id="1650477125">
      <w:bodyDiv w:val="1"/>
      <w:marLeft w:val="0"/>
      <w:marRight w:val="0"/>
      <w:marTop w:val="0"/>
      <w:marBottom w:val="0"/>
      <w:divBdr>
        <w:top w:val="none" w:sz="0" w:space="0" w:color="auto"/>
        <w:left w:val="none" w:sz="0" w:space="0" w:color="auto"/>
        <w:bottom w:val="none" w:sz="0" w:space="0" w:color="auto"/>
        <w:right w:val="none" w:sz="0" w:space="0" w:color="auto"/>
      </w:divBdr>
    </w:div>
    <w:div w:id="1654481448">
      <w:bodyDiv w:val="1"/>
      <w:marLeft w:val="0"/>
      <w:marRight w:val="0"/>
      <w:marTop w:val="0"/>
      <w:marBottom w:val="0"/>
      <w:divBdr>
        <w:top w:val="none" w:sz="0" w:space="0" w:color="auto"/>
        <w:left w:val="none" w:sz="0" w:space="0" w:color="auto"/>
        <w:bottom w:val="none" w:sz="0" w:space="0" w:color="auto"/>
        <w:right w:val="none" w:sz="0" w:space="0" w:color="auto"/>
      </w:divBdr>
    </w:div>
    <w:div w:id="1656690566">
      <w:bodyDiv w:val="1"/>
      <w:marLeft w:val="0"/>
      <w:marRight w:val="0"/>
      <w:marTop w:val="0"/>
      <w:marBottom w:val="0"/>
      <w:divBdr>
        <w:top w:val="none" w:sz="0" w:space="0" w:color="auto"/>
        <w:left w:val="none" w:sz="0" w:space="0" w:color="auto"/>
        <w:bottom w:val="none" w:sz="0" w:space="0" w:color="auto"/>
        <w:right w:val="none" w:sz="0" w:space="0" w:color="auto"/>
      </w:divBdr>
    </w:div>
    <w:div w:id="1681270149">
      <w:bodyDiv w:val="1"/>
      <w:marLeft w:val="0"/>
      <w:marRight w:val="0"/>
      <w:marTop w:val="0"/>
      <w:marBottom w:val="0"/>
      <w:divBdr>
        <w:top w:val="none" w:sz="0" w:space="0" w:color="auto"/>
        <w:left w:val="none" w:sz="0" w:space="0" w:color="auto"/>
        <w:bottom w:val="none" w:sz="0" w:space="0" w:color="auto"/>
        <w:right w:val="none" w:sz="0" w:space="0" w:color="auto"/>
      </w:divBdr>
    </w:div>
    <w:div w:id="1696811809">
      <w:bodyDiv w:val="1"/>
      <w:marLeft w:val="0"/>
      <w:marRight w:val="0"/>
      <w:marTop w:val="0"/>
      <w:marBottom w:val="0"/>
      <w:divBdr>
        <w:top w:val="none" w:sz="0" w:space="0" w:color="auto"/>
        <w:left w:val="none" w:sz="0" w:space="0" w:color="auto"/>
        <w:bottom w:val="none" w:sz="0" w:space="0" w:color="auto"/>
        <w:right w:val="none" w:sz="0" w:space="0" w:color="auto"/>
      </w:divBdr>
    </w:div>
    <w:div w:id="1701978696">
      <w:bodyDiv w:val="1"/>
      <w:marLeft w:val="0"/>
      <w:marRight w:val="0"/>
      <w:marTop w:val="0"/>
      <w:marBottom w:val="0"/>
      <w:divBdr>
        <w:top w:val="none" w:sz="0" w:space="0" w:color="auto"/>
        <w:left w:val="none" w:sz="0" w:space="0" w:color="auto"/>
        <w:bottom w:val="none" w:sz="0" w:space="0" w:color="auto"/>
        <w:right w:val="none" w:sz="0" w:space="0" w:color="auto"/>
      </w:divBdr>
    </w:div>
    <w:div w:id="1724135402">
      <w:bodyDiv w:val="1"/>
      <w:marLeft w:val="0"/>
      <w:marRight w:val="0"/>
      <w:marTop w:val="0"/>
      <w:marBottom w:val="0"/>
      <w:divBdr>
        <w:top w:val="none" w:sz="0" w:space="0" w:color="auto"/>
        <w:left w:val="none" w:sz="0" w:space="0" w:color="auto"/>
        <w:bottom w:val="none" w:sz="0" w:space="0" w:color="auto"/>
        <w:right w:val="none" w:sz="0" w:space="0" w:color="auto"/>
      </w:divBdr>
    </w:div>
    <w:div w:id="1726102092">
      <w:bodyDiv w:val="1"/>
      <w:marLeft w:val="0"/>
      <w:marRight w:val="0"/>
      <w:marTop w:val="0"/>
      <w:marBottom w:val="0"/>
      <w:divBdr>
        <w:top w:val="none" w:sz="0" w:space="0" w:color="auto"/>
        <w:left w:val="none" w:sz="0" w:space="0" w:color="auto"/>
        <w:bottom w:val="none" w:sz="0" w:space="0" w:color="auto"/>
        <w:right w:val="none" w:sz="0" w:space="0" w:color="auto"/>
      </w:divBdr>
    </w:div>
    <w:div w:id="1738047304">
      <w:bodyDiv w:val="1"/>
      <w:marLeft w:val="0"/>
      <w:marRight w:val="0"/>
      <w:marTop w:val="0"/>
      <w:marBottom w:val="0"/>
      <w:divBdr>
        <w:top w:val="none" w:sz="0" w:space="0" w:color="auto"/>
        <w:left w:val="none" w:sz="0" w:space="0" w:color="auto"/>
        <w:bottom w:val="none" w:sz="0" w:space="0" w:color="auto"/>
        <w:right w:val="none" w:sz="0" w:space="0" w:color="auto"/>
      </w:divBdr>
    </w:div>
    <w:div w:id="1764835226">
      <w:bodyDiv w:val="1"/>
      <w:marLeft w:val="0"/>
      <w:marRight w:val="0"/>
      <w:marTop w:val="0"/>
      <w:marBottom w:val="0"/>
      <w:divBdr>
        <w:top w:val="none" w:sz="0" w:space="0" w:color="auto"/>
        <w:left w:val="none" w:sz="0" w:space="0" w:color="auto"/>
        <w:bottom w:val="none" w:sz="0" w:space="0" w:color="auto"/>
        <w:right w:val="none" w:sz="0" w:space="0" w:color="auto"/>
      </w:divBdr>
    </w:div>
    <w:div w:id="1776512149">
      <w:bodyDiv w:val="1"/>
      <w:marLeft w:val="0"/>
      <w:marRight w:val="0"/>
      <w:marTop w:val="0"/>
      <w:marBottom w:val="0"/>
      <w:divBdr>
        <w:top w:val="none" w:sz="0" w:space="0" w:color="auto"/>
        <w:left w:val="none" w:sz="0" w:space="0" w:color="auto"/>
        <w:bottom w:val="none" w:sz="0" w:space="0" w:color="auto"/>
        <w:right w:val="none" w:sz="0" w:space="0" w:color="auto"/>
      </w:divBdr>
    </w:div>
    <w:div w:id="1794211459">
      <w:bodyDiv w:val="1"/>
      <w:marLeft w:val="0"/>
      <w:marRight w:val="0"/>
      <w:marTop w:val="0"/>
      <w:marBottom w:val="0"/>
      <w:divBdr>
        <w:top w:val="none" w:sz="0" w:space="0" w:color="auto"/>
        <w:left w:val="none" w:sz="0" w:space="0" w:color="auto"/>
        <w:bottom w:val="none" w:sz="0" w:space="0" w:color="auto"/>
        <w:right w:val="none" w:sz="0" w:space="0" w:color="auto"/>
      </w:divBdr>
    </w:div>
    <w:div w:id="1800682304">
      <w:bodyDiv w:val="1"/>
      <w:marLeft w:val="0"/>
      <w:marRight w:val="0"/>
      <w:marTop w:val="0"/>
      <w:marBottom w:val="0"/>
      <w:divBdr>
        <w:top w:val="none" w:sz="0" w:space="0" w:color="auto"/>
        <w:left w:val="none" w:sz="0" w:space="0" w:color="auto"/>
        <w:bottom w:val="none" w:sz="0" w:space="0" w:color="auto"/>
        <w:right w:val="none" w:sz="0" w:space="0" w:color="auto"/>
      </w:divBdr>
    </w:div>
    <w:div w:id="1812283794">
      <w:bodyDiv w:val="1"/>
      <w:marLeft w:val="0"/>
      <w:marRight w:val="0"/>
      <w:marTop w:val="0"/>
      <w:marBottom w:val="0"/>
      <w:divBdr>
        <w:top w:val="none" w:sz="0" w:space="0" w:color="auto"/>
        <w:left w:val="none" w:sz="0" w:space="0" w:color="auto"/>
        <w:bottom w:val="none" w:sz="0" w:space="0" w:color="auto"/>
        <w:right w:val="none" w:sz="0" w:space="0" w:color="auto"/>
      </w:divBdr>
    </w:div>
    <w:div w:id="1834567916">
      <w:bodyDiv w:val="1"/>
      <w:marLeft w:val="0"/>
      <w:marRight w:val="0"/>
      <w:marTop w:val="0"/>
      <w:marBottom w:val="0"/>
      <w:divBdr>
        <w:top w:val="none" w:sz="0" w:space="0" w:color="auto"/>
        <w:left w:val="none" w:sz="0" w:space="0" w:color="auto"/>
        <w:bottom w:val="none" w:sz="0" w:space="0" w:color="auto"/>
        <w:right w:val="none" w:sz="0" w:space="0" w:color="auto"/>
      </w:divBdr>
    </w:div>
    <w:div w:id="1882860513">
      <w:bodyDiv w:val="1"/>
      <w:marLeft w:val="0"/>
      <w:marRight w:val="0"/>
      <w:marTop w:val="0"/>
      <w:marBottom w:val="0"/>
      <w:divBdr>
        <w:top w:val="none" w:sz="0" w:space="0" w:color="auto"/>
        <w:left w:val="none" w:sz="0" w:space="0" w:color="auto"/>
        <w:bottom w:val="none" w:sz="0" w:space="0" w:color="auto"/>
        <w:right w:val="none" w:sz="0" w:space="0" w:color="auto"/>
      </w:divBdr>
    </w:div>
    <w:div w:id="1886015603">
      <w:bodyDiv w:val="1"/>
      <w:marLeft w:val="0"/>
      <w:marRight w:val="0"/>
      <w:marTop w:val="0"/>
      <w:marBottom w:val="0"/>
      <w:divBdr>
        <w:top w:val="none" w:sz="0" w:space="0" w:color="auto"/>
        <w:left w:val="none" w:sz="0" w:space="0" w:color="auto"/>
        <w:bottom w:val="none" w:sz="0" w:space="0" w:color="auto"/>
        <w:right w:val="none" w:sz="0" w:space="0" w:color="auto"/>
      </w:divBdr>
    </w:div>
    <w:div w:id="1893225937">
      <w:bodyDiv w:val="1"/>
      <w:marLeft w:val="0"/>
      <w:marRight w:val="0"/>
      <w:marTop w:val="0"/>
      <w:marBottom w:val="0"/>
      <w:divBdr>
        <w:top w:val="none" w:sz="0" w:space="0" w:color="auto"/>
        <w:left w:val="none" w:sz="0" w:space="0" w:color="auto"/>
        <w:bottom w:val="none" w:sz="0" w:space="0" w:color="auto"/>
        <w:right w:val="none" w:sz="0" w:space="0" w:color="auto"/>
      </w:divBdr>
    </w:div>
    <w:div w:id="1912615094">
      <w:bodyDiv w:val="1"/>
      <w:marLeft w:val="0"/>
      <w:marRight w:val="0"/>
      <w:marTop w:val="0"/>
      <w:marBottom w:val="0"/>
      <w:divBdr>
        <w:top w:val="none" w:sz="0" w:space="0" w:color="auto"/>
        <w:left w:val="none" w:sz="0" w:space="0" w:color="auto"/>
        <w:bottom w:val="none" w:sz="0" w:space="0" w:color="auto"/>
        <w:right w:val="none" w:sz="0" w:space="0" w:color="auto"/>
      </w:divBdr>
    </w:div>
    <w:div w:id="1949851438">
      <w:bodyDiv w:val="1"/>
      <w:marLeft w:val="0"/>
      <w:marRight w:val="0"/>
      <w:marTop w:val="0"/>
      <w:marBottom w:val="0"/>
      <w:divBdr>
        <w:top w:val="none" w:sz="0" w:space="0" w:color="auto"/>
        <w:left w:val="none" w:sz="0" w:space="0" w:color="auto"/>
        <w:bottom w:val="none" w:sz="0" w:space="0" w:color="auto"/>
        <w:right w:val="none" w:sz="0" w:space="0" w:color="auto"/>
      </w:divBdr>
    </w:div>
    <w:div w:id="1994481490">
      <w:bodyDiv w:val="1"/>
      <w:marLeft w:val="0"/>
      <w:marRight w:val="0"/>
      <w:marTop w:val="0"/>
      <w:marBottom w:val="0"/>
      <w:divBdr>
        <w:top w:val="none" w:sz="0" w:space="0" w:color="auto"/>
        <w:left w:val="none" w:sz="0" w:space="0" w:color="auto"/>
        <w:bottom w:val="none" w:sz="0" w:space="0" w:color="auto"/>
        <w:right w:val="none" w:sz="0" w:space="0" w:color="auto"/>
      </w:divBdr>
      <w:divsChild>
        <w:div w:id="553279037">
          <w:marLeft w:val="0"/>
          <w:marRight w:val="0"/>
          <w:marTop w:val="0"/>
          <w:marBottom w:val="0"/>
          <w:divBdr>
            <w:top w:val="none" w:sz="0" w:space="0" w:color="auto"/>
            <w:left w:val="none" w:sz="0" w:space="0" w:color="auto"/>
            <w:bottom w:val="none" w:sz="0" w:space="0" w:color="auto"/>
            <w:right w:val="none" w:sz="0" w:space="0" w:color="auto"/>
          </w:divBdr>
          <w:divsChild>
            <w:div w:id="201136544">
              <w:marLeft w:val="0"/>
              <w:marRight w:val="0"/>
              <w:marTop w:val="0"/>
              <w:marBottom w:val="0"/>
              <w:divBdr>
                <w:top w:val="none" w:sz="0" w:space="0" w:color="auto"/>
                <w:left w:val="none" w:sz="0" w:space="0" w:color="auto"/>
                <w:bottom w:val="none" w:sz="0" w:space="0" w:color="auto"/>
                <w:right w:val="none" w:sz="0" w:space="0" w:color="auto"/>
              </w:divBdr>
              <w:divsChild>
                <w:div w:id="340012646">
                  <w:marLeft w:val="0"/>
                  <w:marRight w:val="0"/>
                  <w:marTop w:val="0"/>
                  <w:marBottom w:val="0"/>
                  <w:divBdr>
                    <w:top w:val="none" w:sz="0" w:space="0" w:color="auto"/>
                    <w:left w:val="none" w:sz="0" w:space="0" w:color="auto"/>
                    <w:bottom w:val="none" w:sz="0" w:space="0" w:color="auto"/>
                    <w:right w:val="none" w:sz="0" w:space="0" w:color="auto"/>
                  </w:divBdr>
                  <w:divsChild>
                    <w:div w:id="583995911">
                      <w:marLeft w:val="0"/>
                      <w:marRight w:val="0"/>
                      <w:marTop w:val="0"/>
                      <w:marBottom w:val="0"/>
                      <w:divBdr>
                        <w:top w:val="none" w:sz="0" w:space="0" w:color="auto"/>
                        <w:left w:val="none" w:sz="0" w:space="0" w:color="auto"/>
                        <w:bottom w:val="none" w:sz="0" w:space="0" w:color="auto"/>
                        <w:right w:val="none" w:sz="0" w:space="0" w:color="auto"/>
                      </w:divBdr>
                      <w:divsChild>
                        <w:div w:id="631785137">
                          <w:marLeft w:val="0"/>
                          <w:marRight w:val="0"/>
                          <w:marTop w:val="0"/>
                          <w:marBottom w:val="0"/>
                          <w:divBdr>
                            <w:top w:val="single" w:sz="6" w:space="0" w:color="828282"/>
                            <w:left w:val="single" w:sz="6" w:space="0" w:color="828282"/>
                            <w:bottom w:val="single" w:sz="6" w:space="0" w:color="828282"/>
                            <w:right w:val="single" w:sz="6" w:space="0" w:color="828282"/>
                          </w:divBdr>
                          <w:divsChild>
                            <w:div w:id="234321249">
                              <w:marLeft w:val="0"/>
                              <w:marRight w:val="0"/>
                              <w:marTop w:val="0"/>
                              <w:marBottom w:val="0"/>
                              <w:divBdr>
                                <w:top w:val="none" w:sz="0" w:space="0" w:color="auto"/>
                                <w:left w:val="none" w:sz="0" w:space="0" w:color="auto"/>
                                <w:bottom w:val="none" w:sz="0" w:space="0" w:color="auto"/>
                                <w:right w:val="none" w:sz="0" w:space="0" w:color="auto"/>
                              </w:divBdr>
                              <w:divsChild>
                                <w:div w:id="251159172">
                                  <w:marLeft w:val="0"/>
                                  <w:marRight w:val="0"/>
                                  <w:marTop w:val="0"/>
                                  <w:marBottom w:val="0"/>
                                  <w:divBdr>
                                    <w:top w:val="none" w:sz="0" w:space="0" w:color="auto"/>
                                    <w:left w:val="none" w:sz="0" w:space="0" w:color="auto"/>
                                    <w:bottom w:val="none" w:sz="0" w:space="0" w:color="auto"/>
                                    <w:right w:val="none" w:sz="0" w:space="0" w:color="auto"/>
                                  </w:divBdr>
                                  <w:divsChild>
                                    <w:div w:id="470250347">
                                      <w:marLeft w:val="0"/>
                                      <w:marRight w:val="0"/>
                                      <w:marTop w:val="0"/>
                                      <w:marBottom w:val="0"/>
                                      <w:divBdr>
                                        <w:top w:val="none" w:sz="0" w:space="0" w:color="auto"/>
                                        <w:left w:val="none" w:sz="0" w:space="0" w:color="auto"/>
                                        <w:bottom w:val="none" w:sz="0" w:space="0" w:color="auto"/>
                                        <w:right w:val="none" w:sz="0" w:space="0" w:color="auto"/>
                                      </w:divBdr>
                                      <w:divsChild>
                                        <w:div w:id="724378087">
                                          <w:marLeft w:val="0"/>
                                          <w:marRight w:val="0"/>
                                          <w:marTop w:val="0"/>
                                          <w:marBottom w:val="0"/>
                                          <w:divBdr>
                                            <w:top w:val="none" w:sz="0" w:space="0" w:color="auto"/>
                                            <w:left w:val="none" w:sz="0" w:space="0" w:color="auto"/>
                                            <w:bottom w:val="none" w:sz="0" w:space="0" w:color="auto"/>
                                            <w:right w:val="none" w:sz="0" w:space="0" w:color="auto"/>
                                          </w:divBdr>
                                          <w:divsChild>
                                            <w:div w:id="2138601168">
                                              <w:marLeft w:val="0"/>
                                              <w:marRight w:val="0"/>
                                              <w:marTop w:val="0"/>
                                              <w:marBottom w:val="0"/>
                                              <w:divBdr>
                                                <w:top w:val="none" w:sz="0" w:space="0" w:color="auto"/>
                                                <w:left w:val="none" w:sz="0" w:space="0" w:color="auto"/>
                                                <w:bottom w:val="none" w:sz="0" w:space="0" w:color="auto"/>
                                                <w:right w:val="none" w:sz="0" w:space="0" w:color="auto"/>
                                              </w:divBdr>
                                              <w:divsChild>
                                                <w:div w:id="206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513615">
      <w:bodyDiv w:val="1"/>
      <w:marLeft w:val="0"/>
      <w:marRight w:val="0"/>
      <w:marTop w:val="0"/>
      <w:marBottom w:val="0"/>
      <w:divBdr>
        <w:top w:val="none" w:sz="0" w:space="0" w:color="auto"/>
        <w:left w:val="none" w:sz="0" w:space="0" w:color="auto"/>
        <w:bottom w:val="none" w:sz="0" w:space="0" w:color="auto"/>
        <w:right w:val="none" w:sz="0" w:space="0" w:color="auto"/>
      </w:divBdr>
    </w:div>
    <w:div w:id="2098287688">
      <w:bodyDiv w:val="1"/>
      <w:marLeft w:val="0"/>
      <w:marRight w:val="0"/>
      <w:marTop w:val="0"/>
      <w:marBottom w:val="0"/>
      <w:divBdr>
        <w:top w:val="none" w:sz="0" w:space="0" w:color="auto"/>
        <w:left w:val="none" w:sz="0" w:space="0" w:color="auto"/>
        <w:bottom w:val="none" w:sz="0" w:space="0" w:color="auto"/>
        <w:right w:val="none" w:sz="0" w:space="0" w:color="auto"/>
      </w:divBdr>
    </w:div>
    <w:div w:id="2133206447">
      <w:bodyDiv w:val="1"/>
      <w:marLeft w:val="0"/>
      <w:marRight w:val="0"/>
      <w:marTop w:val="0"/>
      <w:marBottom w:val="0"/>
      <w:divBdr>
        <w:top w:val="none" w:sz="0" w:space="0" w:color="auto"/>
        <w:left w:val="none" w:sz="0" w:space="0" w:color="auto"/>
        <w:bottom w:val="none" w:sz="0" w:space="0" w:color="auto"/>
        <w:right w:val="none" w:sz="0" w:space="0" w:color="auto"/>
      </w:divBdr>
    </w:div>
    <w:div w:id="2134520190">
      <w:bodyDiv w:val="1"/>
      <w:marLeft w:val="0"/>
      <w:marRight w:val="0"/>
      <w:marTop w:val="0"/>
      <w:marBottom w:val="0"/>
      <w:divBdr>
        <w:top w:val="none" w:sz="0" w:space="0" w:color="auto"/>
        <w:left w:val="none" w:sz="0" w:space="0" w:color="auto"/>
        <w:bottom w:val="none" w:sz="0" w:space="0" w:color="auto"/>
        <w:right w:val="none" w:sz="0" w:space="0" w:color="auto"/>
      </w:divBdr>
    </w:div>
    <w:div w:id="2145734419">
      <w:bodyDiv w:val="1"/>
      <w:marLeft w:val="0"/>
      <w:marRight w:val="0"/>
      <w:marTop w:val="0"/>
      <w:marBottom w:val="0"/>
      <w:divBdr>
        <w:top w:val="none" w:sz="0" w:space="0" w:color="auto"/>
        <w:left w:val="none" w:sz="0" w:space="0" w:color="auto"/>
        <w:bottom w:val="none" w:sz="0" w:space="0" w:color="auto"/>
        <w:right w:val="none" w:sz="0" w:space="0" w:color="auto"/>
      </w:divBdr>
    </w:div>
    <w:div w:id="214584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abs.gov.au/AUSSTATS/abs@.nsf/DetailsPage/4364.0.55.0072011-12?OpenDocument" TargetMode="External"/><Relationship Id="rId21" Type="http://schemas.openxmlformats.org/officeDocument/2006/relationships/image" Target="media/image2.emf"/><Relationship Id="rId34" Type="http://schemas.openxmlformats.org/officeDocument/2006/relationships/hyperlink" Target="https://www.nhmrc.gov.au/_files_nhmrc/publications/attachments/n35.pdf"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image" Target="media/image6.emf"/><Relationship Id="rId33" Type="http://schemas.openxmlformats.org/officeDocument/2006/relationships/hyperlink" Target="https://www.google.com/patents/US20110064862?dq=US+patent+Non-dairy,+nut-based+milk+and+method+of+production&amp;hl=en&amp;sa=X&amp;ei=txcrVe7MHIOwmAWwvIAo&amp;ved=0CB4Q6AEwAA"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foodstandards.gov.au/code/applications/documents/A500%20Fort%20of%20cereal-based%20bevs%20FAR%20FINAL.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hyperlink" Target="http://www.foodstandards.gov.au/code/applications/Documents/A1090-VitaminD-CFS-SD1.pdf.%20Accessed%2011%20February%202015"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hyperlink" Target="http://www.foodstandards.gov.au/code/applications/Pages/applicationa470formulatedbeverages/Default.asp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www.foodstandards.gov.au/science/monitoringnutrients/nutrientables/nuttab/Pages/default.aspx.%20Accessed%2011%20February%202015" TargetMode="External"/><Relationship Id="rId35" Type="http://schemas.openxmlformats.org/officeDocument/2006/relationships/hyperlink" Target="http://www.inchem.org/documents/ehc/ehc/ehc240_annex1.pdf" TargetMode="Externa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hyperlink" Target="http://www.ausstats.abs.gov.au/Ausstats/subscriber.nsf/0/31EEAEBF2A09D051CA257DFF000CA865/$File/australian%20health%20survey,%20usual%20nutrient%20intakes%202011-12.pdf" TargetMode="External"/><Relationship Id="rId30" Type="http://schemas.openxmlformats.org/officeDocument/2006/relationships/hyperlink" Target="http://www.foodstandards.gov.au/code/proposals/Pages/proposalp230iodinefo2802.aspx"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A1104</Related_x0020_project>
    <TaxCatchAll xmlns="ec50576e-4a27-4780-a1e1-e59563bc70b8">
      <Value>337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Risk assessment</TermName>
          <TermId xmlns="http://schemas.microsoft.com/office/infopath/2007/PartnerControls">d2ef6396-f429-463e-8df0-9bad668c6cb8</TermId>
        </TermInfo>
      </Terms>
    </bd06d2da0152468b9236b575a71e0e7c>
    <_dlc_DocId xmlns="ff5de93e-c5e8-4efc-a1bd-21450292fcfe">X3VAMR3A5FUY-552-3322</_dlc_DocId>
    <_dlc_DocIdUrl xmlns="ff5de93e-c5e8-4efc-a1bd-21450292fcfe">
      <Url>http://teams/Sections/RAP/_layouts/15/DocIdRedir.aspx?ID=X3VAMR3A5FUY-552-3322</Url>
      <Description>X3VAMR3A5FUY-552-3322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4631CB-9A35-4E3C-9DEC-FF06B1CCADE9}"/>
</file>

<file path=customXml/itemProps2.xml><?xml version="1.0" encoding="utf-8"?>
<ds:datastoreItem xmlns:ds="http://schemas.openxmlformats.org/officeDocument/2006/customXml" ds:itemID="{5A70CD80-DDBB-4837-80C0-D0B607EE296E}"/>
</file>

<file path=customXml/itemProps3.xml><?xml version="1.0" encoding="utf-8"?>
<ds:datastoreItem xmlns:ds="http://schemas.openxmlformats.org/officeDocument/2006/customXml" ds:itemID="{E0420833-69FC-46AB-869E-DE6F2B143DC1}"/>
</file>

<file path=customXml/itemProps4.xml><?xml version="1.0" encoding="utf-8"?>
<ds:datastoreItem xmlns:ds="http://schemas.openxmlformats.org/officeDocument/2006/customXml" ds:itemID="{A40BB635-2401-4A77-BD84-3382BD88004C}"/>
</file>

<file path=customXml/itemProps5.xml><?xml version="1.0" encoding="utf-8"?>
<ds:datastoreItem xmlns:ds="http://schemas.openxmlformats.org/officeDocument/2006/customXml" ds:itemID="{74C736AD-38C3-4EC8-B8C5-0A3D44EC1C5E}"/>
</file>

<file path=customXml/itemProps6.xml><?xml version="1.0" encoding="utf-8"?>
<ds:datastoreItem xmlns:ds="http://schemas.openxmlformats.org/officeDocument/2006/customXml" ds:itemID="{A40BB635-2401-4A77-BD84-3382BD88004C}"/>
</file>

<file path=docProps/app.xml><?xml version="1.0" encoding="utf-8"?>
<Properties xmlns="http://schemas.openxmlformats.org/officeDocument/2006/extended-properties" xmlns:vt="http://schemas.openxmlformats.org/officeDocument/2006/docPropsVTypes">
  <Template>Normal.dotm</Template>
  <TotalTime>886</TotalTime>
  <Pages>64</Pages>
  <Words>20482</Words>
  <Characters>124605</Characters>
  <Application>Microsoft Office Word</Application>
  <DocSecurity>0</DocSecurity>
  <Lines>1038</Lines>
  <Paragraphs>289</Paragraphs>
  <ScaleCrop>false</ScaleCrop>
  <HeadingPairs>
    <vt:vector size="2" baseType="variant">
      <vt:variant>
        <vt:lpstr>Title</vt:lpstr>
      </vt:variant>
      <vt:variant>
        <vt:i4>1</vt:i4>
      </vt:variant>
    </vt:vector>
  </HeadingPairs>
  <TitlesOfParts>
    <vt:vector size="1" baseType="lpstr">
      <vt:lpstr>A1104 SD1</vt:lpstr>
    </vt:vector>
  </TitlesOfParts>
  <Company>ANZFA</Company>
  <LinksUpToDate>false</LinksUpToDate>
  <CharactersWithSpaces>144798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A1104 SD1</dc:title>
  <dc:creator>boormj</dc:creator>
  <cp:keywords>a1104, Nut-based Beverage, Seed-based beverage, Fortification</cp:keywords>
  <cp:lastModifiedBy>humphc</cp:lastModifiedBy>
  <cp:revision>63</cp:revision>
  <cp:lastPrinted>2015-07-31T04:52:00Z</cp:lastPrinted>
  <dcterms:created xsi:type="dcterms:W3CDTF">2015-07-31T04:52:00Z</dcterms:created>
  <dcterms:modified xsi:type="dcterms:W3CDTF">2015-08-18T06:34:00Z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BCS_">
    <vt:lpwstr>337;#Risk assessment|d2ef6396-f429-463e-8df0-9bad668c6cb8</vt:lpwstr>
  </property>
  <property fmtid="{D5CDD505-2E9C-101B-9397-08002B2CF9AE}" pid="4" name="DisposalClass">
    <vt:lpwstr/>
  </property>
  <property fmtid="{D5CDD505-2E9C-101B-9397-08002B2CF9AE}" pid="5" name="_dlc_DocIdItemGuid">
    <vt:lpwstr>3b6c7de8-7bdc-4a9e-96f5-b810e7ab7d3e</vt:lpwstr>
  </property>
  <property fmtid="{D5CDD505-2E9C-101B-9397-08002B2CF9AE}" pid="6" name="a41428b017d04df981d58ffdf035d7b8">
    <vt:lpwstr/>
  </property>
</Properties>
</file>